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plan-de-testing-y-qa"/>
      </w:pPr>
      <w:bookmarkStart w:id="0" w:name="plan_de_testing_y_qa"/>
      <w:r>
        <w:rPr>
          <w:b/>
        </w:rPr>
        <w:t>Emily: Project E — Plan de Testing y QA</w:t>
      </w:r>
      <w:bookmarkEnd w:id="0"/>
    </w:p>
    <w:p>
      <w:r>
        <w:rPr>
          <w:i/>
        </w:rPr>
        <w:t>Documento nuevo · v1.0 · carpeta 11_Testing</w:t>
      </w:r>
    </w:p>
    <w:tbl>
      <w:tblPr>
        <w:tblStyle w:val="CkTable"/>
        <w:tblW w:w="0" w:type="auto"/>
        <w:tblLayout w:type="autofit"/>
        <w:tblLook w:firstRow="0" w:lastRow="0" w:firstColumn="0" w:lastColumn="0" w:noHBand="0" w:noVBand="1"/>
      </w:tblPr>
      <w:tblGrid>
        <w:gridCol/>
      </w:tblGrid>
      <w:tr>
        <w:tc>
          <w:tcPr>
            <w:shd w:val="clear" w:fill="EEF2F7"/>
          </w:tcPr>
          <w:p>
            <w:r>
              <w:rPr>
                <w:b/>
              </w:rPr>
              <w:t>🔷 Nota de alcance</w:t>
            </w:r>
          </w:p>
          <w:p>
            <w:r>
              <w:t>Este documento no cambia ninguna fecha, hora ni criterio ya fijado en el Plan de Producción o en el GDD. Los operacionaliza: convierte las 50 horas de «Testeo con personas y corrección» de la fase F5 y los diez criterios del capítulo 53 del GDD en un protocolo concreto, con plantillas, para que quien ejecute el testing no tenga que improvisarlo la semana 27.</w:t>
            </w:r>
          </w:p>
          <w:p>
            <w:r>
              <w:t>Ante cualquier conflicto de horas, fechas o alcance, ganan el Plan de Producción y el GDD — nunca este documento.</w:t>
            </w:r>
          </w:p>
        </w:tc>
      </w:tr>
    </w:tbl>
    <w:p>
      <w:pPr>
        <w:pStyle w:val="Heading2"/>
        <ck:id v="1-objetivo"/>
      </w:pPr>
      <w:bookmarkStart w:id="1" w:name="_1_objetivo"/>
      <w:r>
        <w:rPr>
          <w:b/>
        </w:rPr>
        <w:t>1. Objetivo</w:t>
      </w:r>
      <w:bookmarkEnd w:id="1"/>
    </w:p>
    <w:p>
      <w:r>
        <w:t>Verificar que la demo cumple, sin excepción, los diez criterios de finalización del capítulo 53 del GDD antes de considerarla entregable — y hacerlo dentro de las 104 horas de la fase F5 (semanas 27 a 30), sin descubrir un problema estructural en la última semana.</w:t>
      </w:r>
    </w:p>
    <w:p>
      <w:r>
        <w:t>El criterio que decide de verdad, tal como lo fija el propio GDD: que cinco personas distintas puedan terminar la demo sin que nadie les explique nada, y que al terminar sepan los hechos que la demo quiere transmitir y ninguna conclusión de más.</w:t>
      </w:r>
    </w:p>
    <w:p>
      <w:pPr>
        <w:pStyle w:val="Heading2"/>
        <ck:id v="2-checklist-de-criterios-de-aceptacin"/>
      </w:pPr>
      <w:bookmarkStart w:id="2" w:name="_2_checklist_de_criterios_de_aceptacin"/>
      <w:r>
        <w:rPr>
          <w:b/>
        </w:rPr>
        <w:t>2. Checklist de criterios de aceptación</w:t>
      </w:r>
      <w:bookmarkEnd w:id="2"/>
    </w:p>
    <w:p>
      <w:r>
        <w:t>Tomado íntegro del capítulo 53 del GDD. La demo no se considera terminada hasta marcar las diez filas.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Área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Criterio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Verificado</w:t>
            </w:r>
          </w:p>
        </w:tc>
      </w:tr>
      <w:tr>
        <w:tc>
          <w:tcPr>
            <w:shd w:val="clear" w:fill="FFFFFF"/>
          </w:tcPr>
          <w:p>
            <w:r>
              <w:t>Recorrido</w:t>
            </w:r>
          </w:p>
        </w:tc>
        <w:tc>
          <w:tcPr>
            <w:shd w:val="clear" w:fill="FFFFFF"/>
          </w:tcPr>
          <w:p>
            <w:r>
              <w:t>Se puede jugar de principio a fin, desde partida nueva, sin bloqueos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Puzzles</w:t>
            </w:r>
          </w:p>
        </w:tc>
        <w:tc>
          <w:tcPr>
            <w:shd w:val="clear" w:fill="F7F9FB"/>
          </w:tcPr>
          <w:p>
            <w:r>
              <w:t>Los tres se resuelven con la información del entorno, sin ayuda externa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Fusibles</w:t>
            </w:r>
          </w:p>
        </w:tc>
        <w:tc>
          <w:tcPr>
            <w:shd w:val="clear" w:fill="FFFFFF"/>
          </w:tcPr>
          <w:p>
            <w:r>
              <w:t>El fusible de 16 A se encuentra, se instala en PUERTA y el sistema abre la puerta industrial. Los de 5 A y 10 A son opcionales: la carga máxima es de dos circuitos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Cinemática</w:t>
            </w:r>
          </w:p>
        </w:tc>
        <w:tc>
          <w:tcPr>
            <w:shd w:val="clear" w:fill="F7F9FB"/>
          </w:tcPr>
          <w:p>
            <w:r>
              <w:t>La aparición de Syairah se compone correctamente desde la posición del jugador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Guardado</w:t>
            </w:r>
          </w:p>
        </w:tc>
        <w:tc>
          <w:tcPr>
            <w:shd w:val="clear" w:fill="FFFFFF"/>
          </w:tcPr>
          <w:p>
            <w:r>
              <w:t>Guardar, cerrar, cargar, continuar y completar funciona en todos los puntos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Rendimiento</w:t>
            </w:r>
          </w:p>
        </w:tc>
        <w:tc>
          <w:tcPr>
            <w:shd w:val="clear" w:fill="F7F9FB"/>
          </w:tcPr>
          <w:p>
            <w:r>
              <w:t>60 FPS estables en el hardware recomendado, sin caídas en momentos críticos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Audio</w:t>
            </w:r>
          </w:p>
        </w:tc>
        <w:tc>
          <w:tcPr>
            <w:shd w:val="clear" w:fill="FFFFFF"/>
          </w:tcPr>
          <w:p>
            <w:r>
              <w:t>Los 47 archivos implementados, con la mezcla equilibrada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Accesibilidad</w:t>
            </w:r>
          </w:p>
        </w:tc>
        <w:tc>
          <w:tcPr>
            <w:shd w:val="clear" w:fill="F7F9FB"/>
          </w:tcPr>
          <w:p>
            <w:r>
              <w:t>Subtítulos, tamaño de texto, sensibilidad, inversión y reducción de movimiento funcionando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Build</w:t>
            </w:r>
          </w:p>
        </w:tc>
        <w:tc>
          <w:tcPr>
            <w:shd w:val="clear" w:fill="FFFFFF"/>
          </w:tcPr>
          <w:p>
            <w:r>
              <w:t>Empaquetada y probada en al menos un ordenador que no sea el de desarrollo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Testing</w:t>
            </w:r>
          </w:p>
        </w:tc>
        <w:tc>
          <w:tcPr>
            <w:shd w:val="clear" w:fill="F7F9FB"/>
          </w:tcPr>
          <w:p>
            <w:r>
              <w:t>Probada por al menos cinco personas distintas sin explicarles nada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</w:tbl>
    <w:p>
      <w:pPr>
        <w:pStyle w:val="Heading2"/>
        <ck:id v="3-protocolo-de-testing-con-personas-externas"/>
      </w:pPr>
      <w:bookmarkStart w:id="3" w:name="_3_protocolo_de_testing_con_personas_ext"/>
      <w:r>
        <w:rPr>
          <w:b/>
        </w:rPr>
        <w:t>3. Protocolo de testing con personas externas</w:t>
      </w:r>
      <w:bookmarkEnd w:id="3"/>
    </w:p>
    <w:p>
      <w:r>
        <w:t>Cubre las 50 horas de la fase F5 asignadas a «Testeo con personas y corrección». Cinco sesiones como mínimo, cada una con una persona distinta que no haya visto el juego ni la documentación.</w:t>
      </w:r>
    </w:p>
    <w:p>
      <w:pPr>
        <w:pStyle w:val="Heading3"/>
        <ck:id v="31-antes-de-la-sesin"/>
      </w:pPr>
      <w:bookmarkStart w:id="4" w:name="_31_antes_de_la_sesin"/>
      <w:r>
        <w:rPr>
          <w:b/>
        </w:rPr>
        <w:t>3.1 Antes de la sesión</w:t>
      </w:r>
      <w:bookmarkEnd w:id="4"/>
    </w:p>
    <w:p>
      <w:pPr>
        <w:pStyle w:val="ListParagraph"/>
        <w:numPr>
          <w:ilvl w:val="0"/>
          <w:numId w:val="1"/>
        </w:numPr>
      </w:pPr>
      <w:r>
        <w:t>No explicar ni el argumento, ni los controles más allá de lo imprescindible, ni la existencia de puzzles.</w:t>
      </w:r>
    </w:p>
    <w:p>
      <w:pPr>
        <w:pStyle w:val="ListParagraph"/>
        <w:numPr>
          <w:ilvl w:val="0"/>
          <w:numId w:val="1"/>
        </w:numPr>
      </w:pPr>
      <w:r>
        <w:t>Preparar la build de la semana en curso — nunca una versión anterior — y confirmar que arranca desde partida nueva.</w:t>
      </w:r>
    </w:p>
    <w:p>
      <w:pPr>
        <w:pStyle w:val="ListParagraph"/>
        <w:numPr>
          <w:ilvl w:val="0"/>
          <w:numId w:val="1"/>
        </w:numPr>
      </w:pPr>
      <w:r>
        <w:t>Tener a mano la plantilla de incidencias del apartado 4 y el mapa de conocimiento del jugador (capítulo 8.3 del GDD), para poder marcar si la persona llega a cada etapa sabiendo lo que debe saber.</w:t>
      </w:r>
    </w:p>
    <w:p>
      <w:pPr>
        <w:pStyle w:val="Heading3"/>
        <ck:id v="32-durante-la-sesin"/>
      </w:pPr>
      <w:bookmarkStart w:id="5" w:name="_32_durante_la_sesin"/>
      <w:r>
        <w:rPr>
          <w:b/>
        </w:rPr>
        <w:t>3.2 Durante la sesión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Observar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Por qué importa</w:t>
            </w:r>
          </w:p>
        </w:tc>
      </w:tr>
      <w:tr>
        <w:tc>
          <w:tcPr>
            <w:shd w:val="clear" w:fill="FFFFFF"/>
          </w:tcPr>
          <w:p>
            <w:r>
              <w:t>Dónde se atasca y cuánto tiempo tarda en desatascarse</w:t>
            </w:r>
          </w:p>
        </w:tc>
        <w:tc>
          <w:tcPr>
            <w:shd w:val="clear" w:fill="FFFFFF"/>
          </w:tcPr>
          <w:p>
            <w:r>
              <w:t>Es la señal directa de un puzzle mal calibrado (riesgo del capítulo 52 del GDD)</w:t>
            </w:r>
          </w:p>
        </w:tc>
      </w:tr>
      <w:tr>
        <w:tc>
          <w:tcPr>
            <w:shd w:val="clear" w:fill="F7F9FB"/>
          </w:tcPr>
          <w:p>
            <w:r>
              <w:t>Si intenta acciones que el juego no contempla</w:t>
            </w:r>
          </w:p>
        </w:tc>
        <w:tc>
          <w:tcPr>
            <w:shd w:val="clear" w:fill="F7F9FB"/>
          </w:tcPr>
          <w:p>
            <w:r>
              <w:t>Indica expectativas no cubiertas por la interacción actual</w:t>
            </w:r>
          </w:p>
        </w:tc>
      </w:tr>
      <w:tr>
        <w:tc>
          <w:tcPr>
            <w:shd w:val="clear" w:fill="FFFFFF"/>
          </w:tcPr>
          <w:p>
            <w:r>
              <w:t>Reacciones durante la progresión emocional (capítulo 12.13)</w:t>
            </w:r>
          </w:p>
        </w:tc>
        <w:tc>
          <w:tcPr>
            <w:shd w:val="clear" w:fill="FFFFFF"/>
          </w:tcPr>
          <w:p>
            <w:r>
              <w:t>Confirma si la tensión sube donde el diseño la espera</w:t>
            </w:r>
          </w:p>
        </w:tc>
      </w:tr>
      <w:tr>
        <w:tc>
          <w:tcPr>
            <w:shd w:val="clear" w:fill="F7F9FB"/>
          </w:tcPr>
          <w:p>
            <w:r>
              <w:t>Comentarios espontáneos en voz alta</w:t>
            </w:r>
          </w:p>
        </w:tc>
        <w:tc>
          <w:tcPr>
            <w:shd w:val="clear" w:fill="F7F9FB"/>
          </w:tcPr>
          <w:p>
            <w:r>
              <w:t>Suelen delatar qué está entendiendo mal, sin necesidad de preguntar</w:t>
            </w:r>
          </w:p>
        </w:tc>
      </w:tr>
    </w:tbl>
    <w:p>
      <w:r>
        <w:t>No intervenir salvo bloqueo técnico real. Un jugador perdido es un dato; un jugador guiado no lo es.</w:t>
      </w:r>
    </w:p>
    <w:p>
      <w:pPr>
        <w:pStyle w:val="Heading3"/>
        <ck:id v="33-despus-de-la-sesin"/>
      </w:pPr>
      <w:bookmarkStart w:id="6" w:name="_33_despus_de_la_sesin"/>
      <w:r>
        <w:rPr>
          <w:b/>
        </w:rPr>
        <w:t>3.3 Después de la sesión</w:t>
      </w:r>
      <w:bookmarkEnd w:id="6"/>
    </w:p>
    <w:p>
      <w:r>
        <w:t>Cuestionario breve, el mismo para las cinco personas, para poder comparar respuestas:</w:t>
      </w:r>
    </w:p>
    <w:p>
      <w:pPr>
        <w:pStyle w:val="ListParagraph"/>
        <w:numPr>
          <w:ilvl w:val="0"/>
          <w:numId w:val="2"/>
        </w:numPr>
      </w:pPr>
      <w:r>
        <w:t>¿Qué crees que ha pasado en esta casa?</w:t>
      </w:r>
    </w:p>
    <w:p>
      <w:pPr>
        <w:pStyle w:val="ListParagraph"/>
        <w:numPr>
          <w:ilvl w:val="0"/>
          <w:numId w:val="2"/>
        </w:numPr>
      </w:pPr>
      <w:r>
        <w:t>¿Quién crees que eres, y qué crees que es el lugar donde has estado?</w:t>
      </w:r>
    </w:p>
    <w:p>
      <w:pPr>
        <w:pStyle w:val="ListParagraph"/>
        <w:numPr>
          <w:ilvl w:val="0"/>
          <w:numId w:val="2"/>
        </w:numPr>
      </w:pPr>
      <w:r>
        <w:t>¿Qué es lo último que has visto, y qué crees que era?</w:t>
      </w:r>
    </w:p>
    <w:p>
      <w:pPr>
        <w:pStyle w:val="ListParagraph"/>
        <w:numPr>
          <w:ilvl w:val="0"/>
          <w:numId w:val="2"/>
        </w:numPr>
      </w:pPr>
      <w:r>
        <w:t>¿Hubo algún momento en el que no supieras qué hacer? ¿Cuál?</w:t>
      </w:r>
    </w:p>
    <w:p>
      <w:pPr>
        <w:pStyle w:val="ListParagraph"/>
        <w:numPr>
          <w:ilvl w:val="0"/>
          <w:numId w:val="2"/>
        </w:numPr>
      </w:pPr>
      <w:r>
        <w:t>Del uno al diez, ¿cuánta tensión sentiste, y en qué momento fue mayor?</w:t>
      </w:r>
    </w:p>
    <w:p>
      <w:r>
        <w:t>Las respuestas a 1-3 se comparan contra el mapa de conocimiento del capítulo 8.3: si alguien responde con una conclusión que la demo no debería haber dado (por ejemplo, nombrar a Syairah o explicar el Campo), es una fuga de información que hay que localizar y corregir, no una respuesta correcta.</w:t>
      </w:r>
    </w:p>
    <w:p>
      <w:pPr>
        <w:pStyle w:val="Heading2"/>
        <ck:id v="4-plantilla-de-registro-de-incidencias"/>
      </w:pPr>
      <w:bookmarkStart w:id="7" w:name="_4_plantilla_de_registro_de_incidencias"/>
      <w:r>
        <w:rPr>
          <w:b/>
        </w:rPr>
        <w:t>4. Plantilla de registro de incidencias</w:t>
      </w:r>
      <w:bookmarkEnd w:id="7"/>
    </w:p>
    <w:p>
      <w:r>
        <w:t>Una fila por incidencia. El identificador usa el prefijo BUG y un número correlativo.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ID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Zona / sistema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Severidad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shd w:val="clear" w:fill="FFFFFF"/>
          </w:tcPr>
          <w:p>
            <w:r>
              <w:t>BUG-001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Abierta</w:t>
            </w:r>
          </w:p>
        </w:tc>
      </w:tr>
    </w:tbl>
    <w:tbl>
      <w:tblPr>
        <w:tblStyle w:val="CkTable"/>
        <w:tblW w:w="0" w:type="auto"/>
        <w:tblLayout w:type="autofit"/>
        <w:tblLook w:firstRow="0" w:lastRow="0" w:firstColumn="0" w:lastColumn="0" w:noHBand="0" w:noVBand="1"/>
      </w:tblPr>
      <w:tblGrid>
        <w:gridCol/>
      </w:tblGrid>
      <w:tr>
        <w:tc>
          <w:tcPr>
            <w:shd w:val="clear" w:fill="EEF2F7"/>
          </w:tcPr>
          <w:p>
            <w:r>
              <w:rPr>
                <w:b/>
              </w:rPr>
              <w:t>Niveles de severidad</w:t>
            </w:r>
          </w:p>
          <w:p>
            <w:r>
              <w:t>Bloqueante — impide terminar la demo o rompe un criterio del capítulo 2. Se corrige antes de cualquier otra tarea de F5.</w:t>
            </w:r>
          </w:p>
          <w:p>
            <w:r>
              <w:t>Alta — un criterio se cumple mal (rendimiento inestable, audio desincronizado, pista de puzzle poco clara). Se corrige dentro de F5.</w:t>
            </w:r>
          </w:p>
          <w:p>
            <w:r>
              <w:t>Media — perceptible pero no rompe ningún criterio (detalle de iluminación, ajuste de mezcla). Se corrige si el tiempo de F5 lo permite.</w:t>
            </w:r>
          </w:p>
          <w:p>
            <w:r>
              <w:t>Baja — cosmético. Entra en la lista de recorte del capítulo 4.3 del GDD si hace falta.</w:t>
            </w:r>
          </w:p>
        </w:tc>
      </w:tr>
    </w:tbl>
    <w:p>
      <w:pPr>
        <w:pStyle w:val="Heading2"/>
        <ck:id v="5-casos-de-prueba-especficos"/>
      </w:pPr>
      <w:bookmarkStart w:id="8" w:name="_5_casos_de_prueba_especficos"/>
      <w:r>
        <w:rPr>
          <w:b/>
        </w:rPr>
        <w:t>5. Casos de prueba específicos</w:t>
      </w:r>
      <w:bookmarkEnd w:id="8"/>
    </w:p>
    <w:p>
      <w:r>
        <w:t>Además de las sesiones con personas externas, estas comprobaciones técnicas, tomadas de los riesgos del capítulo 52 del GDD, se ejecutan aparte y no dependen de un tester externo.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Caso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Cómo probarlo</w:t>
            </w:r>
          </w:p>
        </w:tc>
      </w:tr>
      <w:tr>
        <w:tc>
          <w:tcPr>
            <w:shd w:val="clear" w:fill="FFFFFF"/>
          </w:tcPr>
          <w:p>
            <w:r>
              <w:t>Guardado completo</w:t>
            </w:r>
          </w:p>
        </w:tc>
        <w:tc>
          <w:tcPr>
            <w:shd w:val="clear" w:fill="FFFFFF"/>
          </w:tcPr>
          <w:p>
            <w:r>
              <w:t>Guardar, cerrar el juego, volver a abrir, cargar, continuar y completar la demo, en cada uno de los puntos de guardado</w:t>
            </w:r>
          </w:p>
        </w:tc>
      </w:tr>
      <w:tr>
        <w:tc>
          <w:tcPr>
            <w:shd w:val="clear" w:fill="F7F9FB"/>
          </w:tcPr>
          <w:p>
            <w:r>
              <w:t>Rendimiento en la zona más poblada</w:t>
            </w:r>
          </w:p>
        </w:tc>
        <w:tc>
          <w:tcPr>
            <w:shd w:val="clear" w:fill="F7F9FB"/>
          </w:tcPr>
          <w:p>
            <w:r>
              <w:t>Medir FPS en la zona 08 (la de mayor número de instancias) en el hardware recomendado</w:t>
            </w:r>
          </w:p>
        </w:tc>
      </w:tr>
      <w:tr>
        <w:tc>
          <w:tcPr>
            <w:shd w:val="clear" w:fill="FFFFFF"/>
          </w:tcPr>
          <w:p>
            <w:r>
              <w:t>Cinemática final independiente</w:t>
            </w:r>
          </w:p>
        </w:tc>
        <w:tc>
          <w:tcPr>
            <w:shd w:val="clear" w:fill="FFFFFF"/>
          </w:tcPr>
          <w:p>
            <w:r>
              <w:t>Reproducirla varias veces seguidas, comprobando encuadre, iluminación y sincronía de audio cada vez</w:t>
            </w:r>
          </w:p>
        </w:tc>
      </w:tr>
      <w:tr>
        <w:tc>
          <w:tcPr>
            <w:shd w:val="clear" w:fill="F7F9FB"/>
          </w:tcPr>
          <w:p>
            <w:r>
              <w:t>Build en equipo ajeno</w:t>
            </w:r>
          </w:p>
        </w:tc>
        <w:tc>
          <w:tcPr>
            <w:shd w:val="clear" w:fill="F7F9FB"/>
          </w:tcPr>
          <w:p>
            <w:r>
              <w:t>Empaquetar y ejecutar en un ordenador que no sea el de desarrollo, verificando que no faltan assets ni referencias rotas</w:t>
            </w:r>
          </w:p>
        </w:tc>
      </w:tr>
      <w:tr>
        <w:tc>
          <w:tcPr>
            <w:shd w:val="clear" w:fill="FFFFFF"/>
          </w:tcPr>
          <w:p>
            <w:r>
              <w:t>Accesibilidad</w:t>
            </w:r>
          </w:p>
        </w:tc>
        <w:tc>
          <w:tcPr>
            <w:shd w:val="clear" w:fill="FFFFFF"/>
          </w:tcPr>
          <w:p>
            <w:r>
              <w:t>Activar cada opción (subtítulos, tamaño de texto, sensibilidad, inversión de controles, reducción de movimiento) y confirmar que cambia el comportamiento esperado</w:t>
            </w:r>
          </w:p>
        </w:tc>
      </w:tr>
      <w:tr>
        <w:tc>
          <w:tcPr>
            <w:shd w:val="clear" w:fill="F7F9FB"/>
          </w:tcPr>
          <w:p>
            <w:r>
              <w:t>Rig y animaciones tras cambios</w:t>
            </w:r>
          </w:p>
        </w:tc>
        <w:tc>
          <w:tcPr>
            <w:shd w:val="clear" w:fill="F7F9FB"/>
          </w:tcPr>
          <w:p>
            <w:r>
              <w:t>Repetir esta prueba después de cualquier modificación importante de personajes, no solo al final</w:t>
            </w:r>
          </w:p>
        </w:tc>
      </w:tr>
    </w:tbl>
    <w:p>
      <w:pPr>
        <w:pStyle w:val="Heading2"/>
        <ck:id v="6-calendario"/>
      </w:pPr>
      <w:bookmarkStart w:id="9" w:name="_6_calendario"/>
      <w:r>
        <w:rPr>
          <w:b/>
        </w:rPr>
        <w:t>6. Calendario</w:t>
      </w:r>
      <w:bookmarkEnd w:id="9"/>
    </w:p>
    <w:p>
      <w:r>
        <w:t>Corresponde a la fase F5 del Plan de Producción — semanas 27 a 30, 104 horas totales.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Tarea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Horas</w:t>
            </w:r>
          </w:p>
        </w:tc>
      </w:tr>
      <w:tr>
        <w:tc>
          <w:tcPr>
            <w:shd w:val="clear" w:fill="FFFFFF"/>
          </w:tcPr>
          <w:p>
            <w:r>
              <w:t>Testeo con personas y corrección</w:t>
            </w:r>
          </w:p>
        </w:tc>
        <w:tc>
          <w:tcPr>
            <w:shd w:val="clear" w:fill="FFFFFF"/>
          </w:tcPr>
          <w:p>
            <w:r>
              <w:t>50</w:t>
            </w:r>
          </w:p>
        </w:tc>
      </w:tr>
      <w:tr>
        <w:tc>
          <w:tcPr>
            <w:shd w:val="clear" w:fill="F7F9FB"/>
          </w:tcPr>
          <w:p>
            <w:r>
              <w:t>Accesibilidad y opciones</w:t>
            </w:r>
          </w:p>
        </w:tc>
        <w:tc>
          <w:tcPr>
            <w:shd w:val="clear" w:fill="F7F9FB"/>
          </w:tcPr>
          <w:p>
            <w:r>
              <w:t>15</w:t>
            </w:r>
          </w:p>
        </w:tc>
      </w:tr>
      <w:tr>
        <w:tc>
          <w:tcPr>
            <w:shd w:val="clear" w:fill="FFFFFF"/>
          </w:tcPr>
          <w:p>
            <w:r>
              <w:t>Build y prueba en otro equipo</w:t>
            </w:r>
          </w:p>
        </w:tc>
        <w:tc>
          <w:tcPr>
            <w:shd w:val="clear" w:fill="FFFFFF"/>
          </w:tcPr>
          <w:p>
            <w:r>
              <w:t>15</w:t>
            </w:r>
          </w:p>
        </w:tc>
      </w:tr>
      <w:tr>
        <w:tc>
          <w:tcPr>
            <w:shd w:val="clear" w:fill="F7F9FB"/>
          </w:tcPr>
          <w:p>
            <w:r>
              <w:t>Memoria académica y vídeo</w:t>
            </w:r>
          </w:p>
        </w:tc>
        <w:tc>
          <w:tcPr>
            <w:shd w:val="clear" w:fill="F7F9FB"/>
          </w:tcPr>
          <w:p>
            <w:r>
              <w:t>24</w:t>
            </w:r>
          </w:p>
        </w:tc>
      </w:tr>
    </w:tbl>
    <w:p>
      <w:r>
        <w:t>⚠ El Plan de Producción ya advierte que el primer empaquetado siempre falla, y recomienda un build de prueba en la fase 2 (semana 14). Este plan de testing hereda esa recomendación: no dejar la primera prueba de build para la fase F5.</w:t>
      </w:r>
    </w:p>
    <w:p>
      <w:pPr>
        <w:pStyle w:val="Heading2"/>
        <ck:id v="7-fuentes-y-trazabilidad"/>
      </w:pPr>
      <w:bookmarkStart w:id="10" w:name="_7_fuentes_y_trazabilidad"/>
      <w:r>
        <w:rPr>
          <w:b/>
        </w:rPr>
        <w:t>7. Fuentes y trazabilidad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Documento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Qué aporta a este documento</w:t>
            </w:r>
          </w:p>
        </w:tc>
      </w:tr>
      <w:tr>
        <w:tc>
          <w:tcPr>
            <w:shd w:val="clear" w:fill="FFFFFF"/>
          </w:tcPr>
          <w:p>
            <w:r>
              <w:t>GDD v3.0, capítulo 8.3</w:t>
            </w:r>
          </w:p>
        </w:tc>
        <w:tc>
          <w:tcPr>
            <w:shd w:val="clear" w:fill="FFFFFF"/>
          </w:tcPr>
          <w:p>
            <w:r>
              <w:t>Mapa de conocimiento del jugador, usado para validar las respuestas del cuestionario</w:t>
            </w:r>
          </w:p>
        </w:tc>
      </w:tr>
      <w:tr>
        <w:tc>
          <w:tcPr>
            <w:shd w:val="clear" w:fill="F7F9FB"/>
          </w:tcPr>
          <w:p>
            <w:r>
              <w:t>GDD v3.0, capítulo 52</w:t>
            </w:r>
          </w:p>
        </w:tc>
        <w:tc>
          <w:tcPr>
            <w:shd w:val="clear" w:fill="F7F9FB"/>
          </w:tcPr>
          <w:p>
            <w:r>
              <w:t>Riesgos y contingencias que definen los casos de prueba del apartado 5</w:t>
            </w:r>
          </w:p>
        </w:tc>
      </w:tr>
      <w:tr>
        <w:tc>
          <w:tcPr>
            <w:shd w:val="clear" w:fill="FFFFFF"/>
          </w:tcPr>
          <w:p>
            <w:r>
              <w:t>GDD v3.0, capítulo 53</w:t>
            </w:r>
          </w:p>
        </w:tc>
        <w:tc>
          <w:tcPr>
            <w:shd w:val="clear" w:fill="FFFFFF"/>
          </w:tcPr>
          <w:p>
            <w:r>
              <w:t>Los diez criterios de finalización del apartado 2</w:t>
            </w:r>
          </w:p>
        </w:tc>
      </w:tr>
      <w:tr>
        <w:tc>
          <w:tcPr>
            <w:shd w:val="clear" w:fill="F7F9FB"/>
          </w:tcPr>
          <w:p>
            <w:r>
              <w:t>Plan de Producción v1.3, fase F5</w:t>
            </w:r>
          </w:p>
        </w:tc>
        <w:tc>
          <w:tcPr>
            <w:shd w:val="clear" w:fill="F7F9FB"/>
          </w:tcPr>
          <w:p>
            <w:r>
              <w:t>Horas y calendario del apartado 6</w:t>
            </w:r>
          </w:p>
        </w:tc>
      </w:tr>
    </w:tbl>
    <w:p>
      <w:r>
        <w:rPr>
          <w:i/>
        </w:rPr>
        <w:t>Ante cualquier conflicto entre este documento y cualquiera de los anteriores, ganan ellos — nunca este.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