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356e71dfc0d46f2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 Java language processors combine compilation and interpretation. A Java source program may first be compiled into an intermediate form called bytecodes. The bytecodes are then interpreted by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a virtual machine. A benefit of this arrangement is that bytecodes compiled on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one machine can be interpreted on another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machine, perhaps across a network.3*******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*******After the preprocessed source file is fed to the compiler it might output an assembly, because assembly is easier to produce as output and easier to debug.3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********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/Relationships>
</file>