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65e54aff62ae4cc6" /></Relationships>
</file>

<file path=word/document.xml><?xml version="1.0" encoding="utf-8"?>
<w:document xmlns:w="http://schemas.openxmlformats.org/wordprocessingml/2006/main">
  <w:body>
    <w:sectPr>
      <w:pgSz w:w="11907" w:h="16840"/>
      <w:pgMar w:top="1440" w:right="1440" w:bottom="1440" w:left="1440" w:header="720" w:footer="720" w:gutter="0"/>
      <w:cols w:space="720"/>
      <w:docGrid w:linePitch="360"/>
    </w:sectPr>
    <w:p>
      <w:pPr>
        <w:jc w:val="left"/>
        <w:spacing w:after="0" w:line="240" w:lineRule="auto"/>
        <w:rPr>
          <w:sz w:val="48"/>
          <w:szCs w:val="48"/>
        </w:rPr>
        <w:ind w:start="0" w:end="0"/>
      </w:pPr>
      <w:r/>
      <w:r>
        <w:rPr>
          <w:sz w:val="48"/>
          <w:rFonts w:ascii="Calibri (Body)"/>
        </w:rPr>
        <w:rPr>
          <w:color w:val="252525"/>
        </w:rPr>
        <w:t xml:space="preserve">******* When power is on PLC boots up and loads the firmware,ensuring it knows the connected hardware.Followed by output modules set to their initialization values.17*******</w:t>
      </w:r>
    </w:p>
  </w:body>
</w:document>
</file>