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IKS Book Studio</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Source-Grounded Publishing</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br/>
              <w:t>Approved</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br/>
              <w:t>IKS Book Studio</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br/>
              <w:t>September 2, 2026</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0" w:before="0" w:line="240" w:lineRule="auto"/>
              <w:rPr>
                <w:rFonts w:ascii="Helvetica Neue" w:cs="Helvetica Neue" w:eastAsia="Helvetica Neue" w:hAnsi="Helvetica Neue"/>
                <w:color w:val="000000"/>
              </w:rPr>
            </w:pPr>
            <w:r>
              <w:rPr>
                <w:rFonts w:ascii="Helvetica Neue" w:cs="Helvetica Neue" w:eastAsia="Helvetica Neue" w:hAnsi="Helvetica Neue"/>
                <w:b w:val="1"/>
                <w:bCs w:val="1"/>
                <w:color w:val="000000"/>
                <w:sz w:val="18"/>
                <w:rtl w:val="0"/>
              </w:rPr>
              <w:t>Authors</w:t>
            </w:r>
            <w:r>
              <w:rPr>
                <w:sz w:val="18"/>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Gaurav Gupta</w:t>
            </w:r>
            <w:r>
              <w:rPr>
                <w:rFonts w:ascii="Helvetica Neue" w:cs="Helvetica Neue" w:eastAsia="Helvetica Neue" w:hAnsi="Helvetica Neue"/>
                <w:sz w:val="18"/>
                <w:rtl w:val="0"/>
              </w:rPr>
            </w:r>
            <w:r>
              <w:rPr>
                <w:rFonts w:ascii="Helvetica Neue" w:cs="Helvetica Neue" w:eastAsia="Helvetica Neue" w:hAnsi="Helvetica Neue"/>
                <w:color w:val="233447"/>
                <w:sz w:val="18"/>
                <w:rtl w:val="0"/>
              </w:rPr>
            </w:r>
            <w:r>
              <w:rPr>
                <w:sz w:val="18"/>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0" w:before="0" w:line="240" w:lineRule="auto"/>
              <w:rPr>
                <w:rFonts w:ascii="Helvetica Neue" w:cs="Helvetica Neue" w:eastAsia="Helvetica Neue" w:hAnsi="Helvetica Neue"/>
                <w:color w:val="000000"/>
              </w:rPr>
            </w:pPr>
            <w:r>
              <w:rPr>
                <w:rFonts w:ascii="Helvetica Neue" w:cs="Helvetica Neue" w:eastAsia="Helvetica Neue" w:hAnsi="Helvetica Neue"/>
                <w:b w:val="1"/>
                <w:bCs w:val="1"/>
                <w:color w:val="000000"/>
                <w:sz w:val="18"/>
                <w:rtl w:val="0"/>
              </w:rPr>
              <w:t>Reviewers</w:t>
            </w:r>
            <w:r>
              <w:rPr>
                <w:sz w:val="18"/>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Engineering · publishing operations</w:t>
            </w:r>
            <w:r>
              <w:rPr>
                <w:sz w:val="18"/>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0" w:before="0" w:line="240" w:lineRule="auto"/>
              <w:rPr>
                <w:rFonts w:ascii="Helvetica Neue" w:cs="Helvetica Neue" w:eastAsia="Helvetica Neue" w:hAnsi="Helvetica Neue"/>
                <w:color w:val="000000"/>
              </w:rPr>
            </w:pPr>
            <w:r>
              <w:rPr>
                <w:rFonts w:ascii="Helvetica Neue" w:cs="Helvetica Neue" w:eastAsia="Helvetica Neue" w:hAnsi="Helvetica Neue"/>
                <w:b w:val="1"/>
                <w:bCs w:val="1"/>
                <w:color w:val="000000"/>
                <w:sz w:val="18"/>
                <w:rtl w:val="0"/>
              </w:rPr>
              <w:t>Related docs</w:t>
            </w:r>
            <w:r>
              <w:rPr>
                <w:sz w:val="18"/>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README.md · LOCAL_SETUP.md · hosting.json</w:t>
            </w:r>
            <w:r>
              <w:rPr>
                <w:rFonts w:ascii="Helvetica Neue" w:cs="Helvetica Neue" w:eastAsia="Helvetica Neue" w:hAnsi="Helvetica Neue"/>
                <w:sz w:val="18"/>
                <w:rtl w:val="0"/>
              </w:rPr>
            </w:r>
            <w:r>
              <w:rPr>
                <w:rFonts w:ascii="Helvetica Neue" w:cs="Helvetica Neue" w:eastAsia="Helvetica Neue" w:hAnsi="Helvetica Neue"/>
                <w:color w:val="233447"/>
                <w:sz w:val="18"/>
                <w:rtl w:val="0"/>
              </w:rPr>
            </w:r>
            <w:r>
              <w:rPr>
                <w:sz w:val="18"/>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0" w:before="0" w:line="240" w:lineRule="auto"/>
              <w:rPr>
                <w:rFonts w:ascii="Helvetica Neue" w:cs="Helvetica Neue" w:eastAsia="Helvetica Neue" w:hAnsi="Helvetica Neue"/>
                <w:color w:val="000000"/>
              </w:rPr>
            </w:pPr>
            <w:r>
              <w:rPr>
                <w:rFonts w:ascii="Helvetica Neue" w:cs="Helvetica Neue" w:eastAsia="Helvetica Neue" w:hAnsi="Helvetica Neue"/>
                <w:b w:val="1"/>
                <w:bCs w:val="1"/>
                <w:color w:val="000000"/>
                <w:sz w:val="18"/>
                <w:rtl w:val="0"/>
              </w:rPr>
              <w:t>Scope</w:t>
            </w:r>
            <w:r>
              <w:rPr>
                <w:sz w:val="18"/>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Production architecture, safety boundaries, and hardening plan.</w:t>
            </w:r>
            <w:r>
              <w:rPr>
                <w:sz w:val="18"/>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IKS Book Studio is a single-application publishing workflow that turns PDF, DOCX, TXT, or Markdown sources into structured, editable adaptations for readers aged 7–15. A React/Vinext interface talks to one Cloudflare Worker that owns source ingestion, source intelligence, chapter generation, assets, versioning, and exports. D1 stores project metadata and snapshots; R2 stores source chunks and media; OpenRouter supplies Nemotron generation and OCR when required.</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design prioritizes source traceability, resumable work, explicit publication gates, and preservation of completed chapters when external AI calls fail. It supports one owner-scoped workspace per authenticated email (with a development fallback), deploys through OpenAI Sites on Cloudflare bindings, and intentionally keeps high-fidelity PDF composition in the browser. It does not promise semantic-text PDFs, multi-user real-time editing, or fully automatic factual verification.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 source structure and bounded chapter evidence.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Automatic verification of every factual claim.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safely after provider, quota, or network failure.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Real-time multi-user editing or approval workflows.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projects, versions, sources, and assets owner-scoped.</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Native semantic-text PDF composition in this phase.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Block publication when required content or artwork is incomplete.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Unbounded retries or silent fallback between AI models.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book adaptation crosses several failure-prone boundaries: large or scanned source files, model quotas, long-running chapter generation, editable page design, and print export. Treating this as one opaque generation request would make failures destructive and provenance hard to inspect. The current code instead stores sources in page-aware chunks, caches completed OCR, generates selected chapters, saves projects and checkpoints, and separates draft proofs from publication-ready output.</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browser owns interaction, page design, preview layout, and canvas-based PDF capture. The Worker owns trust-boundary validation, owner scoping, durable persistence, file parsing, AI calls, and server-side DOCX creation. D1 is authoritative for project JSON and checkpoints; R2 is authoritative for uploaded sources and binary assets. A central invariant guides the system: never replace approved or completed work unless the user explicitly requests a new revision and the replacement passes its validation gate.</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title="IKS Book Studio architecture" descr="Diagram showing the browser studio calling a Cloudflare Worker, which uses OpenRouter and writes project metadata to D1, source and asset objects to R2, and produces PDF and DOCX artifact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IKS Book Studio deployment and durable data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React studio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Workflow, editing, preview, client PDF capture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Browser state + D1 through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Keeps unsaved UI state; reports API/export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Vinext Worker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Routing, validation, orchestration, exports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Cloudflare runtime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Typed status/error response; fail closed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 intelligence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Parse, chunk, OCR, outline, chapter 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R2 manifest + chunks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cached batches; preserve prior output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Projects, snapshots, preferences, ownership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Cloudflare D1</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downstream work after required write failure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AI adapter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Nemotron generation and OCR via OpenRouter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No provider payload store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Explicit auth/quota/retryable terminal errors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user uploads a supported source or opens an existing project. The browser sends an owner header and the source, project identifier, audience, language, adaptation mode, and selected chapter scope.</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Worker resolves the owner from the authenticated email header (or the explicit studio header in local use), validates method, type, size, key prefix, and required fields, then normalizes source and project inputs.</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Source objects and manifests are loaded from R2; project JSON, versions, and designer preferences are loaded from D1. The selected BookPersona and source-intelligence plan determine chapter context and page budgets.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Text sources are parsed locally; scans are processed in cached page batches. Nemotron receives only bounded source evidence for the selected chapter and returns structured teaching content that is normalized and scored locally.</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Uploaded source chunks, OCR results, images, and project snapshots are written before later stages depend on them. Completed OCR batches and chapters remain available for resume after quota or network failures.</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Provider calls use fixed token budgets and explicit error classes. Authentication and quota errors stop immediately; temporary network/provider errors are marked retryable, with no hidden unbounded retry loop.</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browser merges accepted results, saves the project, and exposes preview and export. Draft PDFs remain available with a watermark; publication PDFs are unlocked only when publication blockers are clear.</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project identifier; owner-scoped in D1.</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sourceObjectKey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Owner-prefixed R2 manifest/object for imported sources.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bookPersona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Audience, writing mode, language, and design choices.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chapters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Ordered source ranges, page plans, content, and approval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state, usage, provider status, and last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designerPages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Page overrides, history, watermarks, and visibility.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canvaPages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Returned manual page assets and active/history state.</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Worker validates ownership and required input before reading or writing an owner-scoped object or record.</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Projects, versions, uploads, and assets receive stable project IDs or UUID-based keys; source manifests preserve physical page order and chunk boundaries.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Saved project JSON captures persona, source reference, chapters, approvals, design overrides, generation state, and asset references needed to resume or inspect the book.</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D1 project JSON is the durable editing source of truth; R2 is the binary/source object store. Rendered previews and exports are derived artifacts, not authoritative content.</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executable contract is maintained in worker/index.ts, db/schema.ts, and the domain modules under lib/.</w:t>
      </w:r>
      <w:r>
        <w:rPr>
          <w:rtl w:val="0"/>
        </w:rPr>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Contract changes must update those modules, migrations where applicable, and the matching node:test coverage in tests/.</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Project saves use an upsert keyed by project ID and owner; named checkpoints are append-only version rows. R2 keys are owner-prefixed, and OCR batches return cached results when the requested engine already completed that chunk. Chapter generation is resumable rather than transactionally atomic across the whole book: a failed chapter does not erase earlier completions. Mid-request provider/model configuration is read once from the Worker environment; saved book inputs remain authoritative for later resumes.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OCR batch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the cached batch for the same engine.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Avoid duplicate provider cost and preserve page order.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D1/R2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an error before dependent processing.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Later work must not rely on missing durable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Provider quota/network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Stop or mark retryable; keep completed chapters.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is safer than regenerating the whole book.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Configuration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Current request keeps its captured inputs; resume uses saved project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silent changes to accepted chapters.</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Use the platform-provided authenticated email as the owner key; enforce owner predicates on D1 reads/writes and owner-prefixed checks on stored sources.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Send only the selected, bounded source pages to the provider. Never place source text, API keys, private object keys, or full provider payloads in client logs or user-facing errors.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OPENROUTER_API_KEY and optional model configuration are Worker secrets. The browser receives connectivity status and usage metadata, never the credential.</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Fail closed for owner mismatch, unsupported files, oversized images, malformed model output, and publication blockers. Preserve completed work for retry and recovery.</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current repository does not define an automated retention or erasure policy. Before broader use, specify source/asset retention, project deletion semantics, audit needs, and regional requirements.</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blHeader w:val="true"/>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save success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Baseline p95 and error rate; alert on sustained 5xx</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Source/OCR completion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Track batch duration, cached ratio, terminal failures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Chapter generation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Success, retryable, quota, malformed-output by chapter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 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Publication blockers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Zero blockers before publication export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Publishing operations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Export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Sample page count, dimensions, overflow, and filename mode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Publishing 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baseline the existing owner workflow first; canary policy, retention rules, export limits, rollback steps, and alert ownership must be documented before adding collaborators or broader production traffic.</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Browser-only persistence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Simplest prototype and offline editing.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Weak durability, no cross-device recovery, poor source/asset scale.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monolithic AI request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Minimal orchestration code.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Unsafe for large sources, quota failures, provenance, and resume.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Server-render every PDF page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Centralized rendering and repeatability.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Large implementation shift; current Designer uses browser DOM/CSS.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Separate microservices now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Independent scaling and ownership.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Premature operational complexity for the current workload.</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retention period and deletion workflow should apply to R2 sources, OCR caches, images, and D1 version snapshots?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production remain on the free Nemotron route, or adopt a paid model/SLA with explicit cost budgets and fallback policy?</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browser/device matrix and maximum practical book size define the supported client-side PDF export envelope?</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When collaboration is added, who may edit, approve, publish, restore versions, or delete source material within a project?</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Retain the Cloudflare Worker + D1 + R2 boundary and the source-grounded, resumable generation model. Before expanding beyond the owner workflow, formalize retention, instrument existing error classes, measure browser export limits, and design versioned roles for publication approval. Start with operational baselining without changing generation semantics.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0" w:line="240" w:lineRule="auto"/>
              <w:rPr>
                <w:rFonts w:ascii="Helvetica Neue" w:cs="Helvetica Neue" w:eastAsia="Helvetica Neue" w:hAnsi="Helvetica Neue"/>
              </w:rPr>
            </w:pPr>
            <w:r>
              <w:rPr>
                <w:rFonts w:ascii="Helvetica Neue" w:cs="Helvetica Neue" w:eastAsia="Helvetica Neue" w:hAnsi="Helvetica Neue"/>
                <w:b w:val="1"/>
                <w:bCs w:val="1"/>
                <w:color w:val="ffffff"/>
                <w:sz w:val="18"/>
                <w:rtl w:val="0"/>
              </w:rPr>
              <w:t>Milestone</w:t>
            </w:r>
            <w:r>
              <w:rPr>
                <w:sz w:val="18"/>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0" w:line="240" w:lineRule="auto"/>
              <w:rPr>
                <w:rFonts w:ascii="Helvetica Neue" w:cs="Helvetica Neue" w:eastAsia="Helvetica Neue" w:hAnsi="Helvetica Neue"/>
              </w:rPr>
            </w:pPr>
            <w:r>
              <w:rPr>
                <w:rFonts w:ascii="Helvetica Neue" w:cs="Helvetica Neue" w:eastAsia="Helvetica Neue" w:hAnsi="Helvetica Neue"/>
                <w:b w:val="1"/>
                <w:bCs w:val="1"/>
                <w:color w:val="ffffff"/>
                <w:sz w:val="18"/>
                <w:rtl w:val="0"/>
              </w:rPr>
              <w:t>Deliverable</w:t>
            </w:r>
            <w:r>
              <w:rPr>
                <w:sz w:val="18"/>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0" w:line="240" w:lineRule="auto"/>
              <w:rPr>
                <w:rFonts w:ascii="Helvetica Neue" w:cs="Helvetica Neue" w:eastAsia="Helvetica Neue" w:hAnsi="Helvetica Neue"/>
              </w:rPr>
            </w:pPr>
            <w:r>
              <w:rPr>
                <w:rFonts w:ascii="Helvetica Neue" w:cs="Helvetica Neue" w:eastAsia="Helvetica Neue" w:hAnsi="Helvetica Neue"/>
                <w:b w:val="1"/>
                <w:bCs w:val="1"/>
                <w:color w:val="ffffff"/>
                <w:sz w:val="18"/>
                <w:rtl w:val="0"/>
              </w:rPr>
              <w:t>Exit criteria</w:t>
            </w:r>
            <w:r>
              <w:rPr>
                <w:sz w:val="18"/>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M1</w:t>
            </w:r>
            <w:r>
              <w:rPr>
                <w:sz w:val="18"/>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Telemetry baseline</w:t>
            </w:r>
            <w:r>
              <w:rPr>
                <w:sz w:val="18"/>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Errors and export outcomes are measurable</w:t>
            </w:r>
            <w:r>
              <w:rPr>
                <w:sz w:val="18"/>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M2</w:t>
            </w:r>
            <w:r>
              <w:rPr>
                <w:sz w:val="18"/>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Retention policy + recovery drill</w:t>
            </w:r>
            <w:r>
              <w:rPr>
                <w:sz w:val="18"/>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Owner data removes without orphaned objects</w:t>
            </w:r>
            <w:r>
              <w:rPr>
                <w:sz w:val="18"/>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M3</w:t>
            </w:r>
            <w:r>
              <w:rPr>
                <w:sz w:val="18"/>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Export compatibility matrix</w:t>
            </w:r>
            <w:r>
              <w:rPr>
                <w:sz w:val="18"/>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Supported limits pass visual/integrity checks</w:t>
            </w:r>
            <w:r>
              <w:rPr>
                <w:sz w:val="18"/>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M4</w:t>
            </w:r>
            <w:r>
              <w:rPr>
                <w:sz w:val="18"/>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Versioned authorization design</w:t>
            </w:r>
            <w:r>
              <w:rPr>
                <w:sz w:val="18"/>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0" w:before="0" w:line="240" w:lineRule="auto"/>
              <w:rPr>
                <w:rFonts w:ascii="Helvetica Neue" w:cs="Helvetica Neue" w:eastAsia="Helvetica Neue" w:hAnsi="Helvetica Neue"/>
              </w:rPr>
            </w:pPr>
            <w:r>
              <w:rPr>
                <w:rFonts w:ascii="Helvetica Neue" w:cs="Helvetica Neue" w:eastAsia="Helvetica Neue" w:hAnsi="Helvetica Neue"/>
                <w:color w:val="233447"/>
                <w:sz w:val="18"/>
                <w:rtl w:val="0"/>
              </w:rPr>
              <w:t>Roles, approval, audit, and rollback reviewed</w:t>
            </w:r>
            <w:r>
              <w:rPr>
                <w:sz w:val="18"/>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IKS Book Studio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IKS Book Studio — System Design</dc:title>
  <cp:lastModifiedBy>python-docx</cp:lastModifiedBy>
  <cp:revision>1</cp:revision>
  <dcterms:modified xsi:type="dcterms:W3CDTF">2026-09-02T08:12:17Z</dcterms:modified>
  <dc:subject>Architecture, contracts, reliability, security, and operational readiness</dc:subject>
  <dc:creator>Gaurav Gupta</dc:creator>
  <cp:keywords>IKS Book Studio, system design, Cloudflare, D1, R2, OpenRouter, publishing</cp:keywords>
</cp:coreProperties>
</file>