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ТЕМА ВЫПУСКНОЙ КВАЛИФИКАЦИОННОЙ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«Метод функционально-логической верификации программных моделей измерительных процессов в составе информационно-измерительных систем».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Направление подготовки: 12.03.01 «Приборостроение», профиль «Информационно-измерительная техника и технологии» (12.03.01/31).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Студент: Катальшов Данила Алексеевич, группа К2-81Б.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Научный руководитель: к.т.н., доцент, заведующий кафедрой К2 — Комаров Евгений Геннадьевич.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Выпускающая кафедра: К2 «Информационно-измерительная техника и технологии», Космический факультет, Мытищинский филиал МГТУ им. Н.Э. Баумана.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Раздел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Стр.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Реферат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Перечень сокращений и условных обозначений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Введение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1. Аналитический обзор существующих подходов к верификации программных моделей измерительных процессов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1.1. Информационно-измерительные системы и метрологическая надёжность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1.2. Программные модели измерительных протоколов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13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1.3. Существующие подходы к верификации в составе информационно-измерительных систем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16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1.4. Формальные методы верификации в реальном времени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1.5. Семантический разрыв между нормативной методикой и программной реализацией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26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1.6. Постановка задачи исследования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2. Метод функционально-логической верификации и формальная модель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2.1. Концепция метода функционально-логической верификации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2.2. Предметно-ориентированный язык описания нормативной модели методики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33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2.3. Формальная модель измерительного процесса в виде расширенного тайм-автомата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37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2.4. Алгоритм сопоставления трассы исполнения с формальной моделью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41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2.5. Каталог нарушений и привязка к нормативным документам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2.6. Гибридная LLM-формальная архитектура верификации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47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3. Программная реализация модуля и симулятора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3.1. Pluggable-фреймворк функционально-логической верификации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3.2. Программный симулятор измерительного стенда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3.3. Реализация подсистемы метрологической неопределённости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3.4. Интерактивная визуализация и средства анализа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4. Экспериментальное исследование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4.1. Методика проведения эксперимента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4.2. Описание стенда S1 и каталога инъекций нарушений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4.3. Результаты прогонов и метрики детекции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67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4.4. Статистическая обработка результатов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72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4.5. Обсуждение и threats to validity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76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Заключение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78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Список использованных источников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81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А. Полная DSL-спецификация эталонной методики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85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Б. JSON Schema формата журнала событий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88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В. Листинги ключевых модулей программной реализации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90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Г. Дополнительные результаты экспериментального исследования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95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Итоговый объём пояснительной записки — приблизительно 80 страниц основного текста с введением и заключением, плюс 15–20 страниц приложений. Объём соответствует требованиям пункта объёма ВКР Положения о порядке подготовки и защиты ВКР бакалавриата МГТУ им. Н.Э. Баумана от 12.10.2015 (50–80 страниц основного текста) и ГОСТ 7.32-2017 «Отчёт о научно-исследовательской работе. Структура и правила оформления».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КРАТКОЕ ОПИСАНИЕ РАЗДЕЛОВ И ОРИЕНТИРОВОЧНЫЙ ОБЪЁМ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таблице ниже сведено краткое содержание каждого структурного элемента пояснительной записки и ориентировочный объём в страницах. Объёмы соответствуют требованиям ГОСТ 7.32-2017 и Положению о ВКРБ МГТУ им. Н.Э. Баумана.</w:t>
      </w:r>
    </w:p>
    <w:p>
      <w:pPr>
        <w:spacing w:line="360" w:lineRule="auto"/>
        <w:jc w:val="left"/>
      </w:pPr>
      <w:r>
        <w:rPr>
          <w:rFonts w:ascii="Times New Roman" w:hAnsi="Times New Roman" w:cs="Times New Roman" w:eastAsia="Times New Roman"/>
          <w:sz w:val="28"/>
        </w:rPr>
        <w:t>Таблица 1 — Краткое содержание и ориентировочный объём разделов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Раздел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Что включено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Объём, стр.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Титульный лист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Шапка университета, факультет К2, кафедра, тема, студент, руководитель, год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Реферат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Объём отчёта, число иллюстраций и таблиц, число использованных источников, перечень от 5 до 15 ключевых слов прописными через запятые, краткое изложение цели, методов и результатов работы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Перечень сокращений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Расшифровка ИИС, ПЗ, FLV, FSM, STL, MTL, RV, DSL, SCPI, VISA, PT100, АЦП, ШИМ и иных нестандартных сокращений, использованных в тексте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1–2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Содержание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Автоматически генерируемое оглавление с указанием номеров страниц всех разделов, подразделов до третьего уровня, а также приложений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1–2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Введение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Актуальность темы, формулировка цели, перечень из семи задач, описание объекта и предмета исследования, четыре пункта научной новизны, практическая значимость, методы исследования, краткая структура работы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5–6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1. Аналитический обзор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Обзор существующих подходов к верификации программных моделей измерительных процессов: NI TestStand Sequence Analyzer, NI VI Analyzer Toolkit, NI Requirements Gateway; runtime-verification и темпоральная логика (RTAMT, Breach, py-metric-temporal-logic, MonPoly/VeriMon, TeLEx); model checking тайм-автоматов (UPPAAL). Обоснование семантического разрыва между нормативной методикой и программной реализацией. Постановка задачи исследования с привязкой к ГОСТ Р 8.563-2009 и ГОСТ Р 8.596-2002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18–22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2. Метод и формальная модель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Концепция функционально-логической верификации. Предметно-ориентированный язык описания методик в формате YAML с валидацией по JSON Schema. Расширенный тайм-автомат с гард-условиями и каталогом нарушений как формальная основа. Алгоритм сопоставления трассы с моделью. Каталог семи кодов нарушений с привязкой к пунктам нормативных документов. Гибридная LLM-формальная архитектура с тремя ролями LLM по архитектурному решению ADR-002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17–20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3. Программная реализация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Pluggable-фреймворк функционально-логической верификации с четырьмя точками расширения через стандартный python entry-points механизм. Программный симулятор измерительного стенда S1 (термокамера со стабилизацией PT100) с физически адекватной моделью теплопередачи. Подсистема метрологической неопределённости по ГОСТ 8.207-76 и Руководству JCGM 100:2008. Интерактивная трёхмерная визуализация в браузере и live-дашборд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12–14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Глава 4. Экспериментальное исследование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Методика эксперимента с парным сравнением подходов baseline и proposed. Каталог инъекций нарушений на основе семи кодов из главы 2. Результаты не менее ста прогонов: метрики детекции (TPR/TNR/FPR/FNR), временной точности (J&lt;sub&gt;timing&lt;/sub&gt;), последовательности (K&lt;sub&gt;seq&lt;/sub&gt;), производительности. Статистическая обработка результатов: тест Мак-Немара для парных бинарных исходов, критерий Вилкоксона для непрерывных метрик, размер эффекта по Коэну, доверительные интервалы методом бутстрэпа. Обсуждение результатов и анализ ограничений работы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16–18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Заключение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Сводка решённых задач с привязкой к семи задачам введения. Главные численные результаты эксперимента. Подтверждение научной новизны и практической значимости. Перспективы развития: подключение реальной информационно-измерительной системы кафедры К2, расширение через RTAMT для непрерывных сигналов, переход в режим online-мониторинга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2–3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Список источников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Не менее тридцати записей по ГОСТ 7.0.5-2008. Распределение по типам: семь государственных стандартов Российской Федерации, десять русскоязычных академических работ, десять иностранных академических работ, три учебно-методических пособия МГТУ имени Н. Э. Баумана. Все источники проверены на соответствие реестрам Министерства юстиции Российской Федерации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3–4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Приложение А — полная DSL-спецификация эталонной методики измерения. Приложение Б — JSON Schema формата журнала событий с примерами записей. Приложение В — листинги ключевых модулей программной реализации (детерминированный матчер, LLM-извлечение спецификации). Приложение Г — дополнительные результаты экспериментального исследования: матрицы ошибок, гистограммы, диаграммы рассеяния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12–18</w:t>
            </w:r>
          </w:p>
        </w:tc>
      </w:tr>
    </w:tbl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СООТВЕТСТВИЕ ТРЕБОВАНИЯМ К ОФОРМЛЕНИЮ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таблице 2 приведены параметры оформления пояснительной записки в соответствии с ГОСТ 7.32-2017 и ГОСТ 2.105-95.</w:t>
      </w:r>
    </w:p>
    <w:p>
      <w:pPr>
        <w:spacing w:line="360" w:lineRule="auto"/>
        <w:jc w:val="left"/>
      </w:pPr>
      <w:r>
        <w:rPr>
          <w:rFonts w:ascii="Times New Roman" w:hAnsi="Times New Roman" w:cs="Times New Roman" w:eastAsia="Times New Roman"/>
          <w:sz w:val="28"/>
        </w:rPr>
        <w:t>Таблица 2 — Требования к оформлению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Значение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Шрифт основного текста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Times New Roman 14 pt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Межстрочный интервал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1,5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Поле левое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30 мм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Поле правое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10 мм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Поле верхнее, нижнее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 мм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Абзацный отступ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1,25 см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Выравнивание основного текста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 ширине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Нумерация страниц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арабскими цифрами в правом верхнем углу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Заголовки разделов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прописными буквами, по центру, без точки в конце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Иллюстрации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подпись снизу: «Рисунок N — Название»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Таблицы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подпись сверху: «Таблица N — Название»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Ссылки на источники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в квадратных скобках по номеру в списке использованных источников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Список использованных источников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 ГОСТ 7.0.5-2008 в порядке упоминания в тексте</w:t>
            </w:r>
          </w:p>
        </w:tc>
      </w:tr>
    </w:tbl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СООТВЕТСТВИЕ НОРМАТИВНОЙ БАЗЕ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Пояснительная записка опирается на следующие действующие нормативные документы.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части оформления — ГОСТ 7.32-2017 «СИБИД. Отчёт о научно-исследовательской работе. Структура и правила оформления», ГОСТ 7.0.5-2008 «СИБИД. Библиографическая ссылка», ГОСТ 2.105-95 «ЕСКД. Общие требования к текстовым документам», Положение о порядке подготовки и защиты выпускной квалификационной работы студентов МГТУ им. Н. Э. Баумана, обучающихся по основным образовательным программам бакалавриата от 12 октября 2015 года.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части содержания — ГОСТ Р 8.563-2009 «Государственная система обеспечения единства измерений. Методики (методы) измерений», ГОСТ Р 8.596-2002 «Метрологическое обеспечение измерительных систем», ГОСТ 8.207-76 «Прямые измерения с многократными наблюдениями. Методы обработки результатов наблюдений», ГОСТ 6651-2009 «Термопреобразователи сопротивления из платины, меди и никеля», ГОСТ 8.009-84 «Нормируемые метрологические характеристики средств измерений». Дополнительно учитывается рекомендация Объединённого комитета по руководствам в области метрологии JCGM 100:2008 «Guide to the Expression of Uncertainty in Measurement».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Образовательная компонента работы определяется Федеральным государственным образовательным стандартом высшего образования по направлению 12.03.01 «Приборостроение», утверждённым приказом Министерства образования и науки Российской Федерации от 19 сентября 2017 года № 945 в редакции приказа от 8 февраля 2021 года.</w:t>
      </w:r>
    </w:p>
    <w:p>
      <w:pPr>
        <w:keepNext/>
        <w:spacing w:line="360" w:lineRule="auto" w:before="240" w:after="12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КАЛЕНДАРНЫЙ ПЛАН ОСТАВШИХСЯ РАБОТ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таблице 3 приведён календарный план оставшихся фаз работы с привязкой к датам сдачи на нормоконтроль и предзащиты.</w:t>
      </w:r>
    </w:p>
    <w:p>
      <w:pPr>
        <w:spacing w:line="360" w:lineRule="auto"/>
        <w:jc w:val="left"/>
      </w:pPr>
      <w:r>
        <w:rPr>
          <w:rFonts w:ascii="Times New Roman" w:hAnsi="Times New Roman" w:cs="Times New Roman" w:eastAsia="Times New Roman"/>
          <w:sz w:val="28"/>
        </w:rPr>
        <w:t>Таблица 3 — Календарный план оставшихся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Период</w:t>
            </w:r>
          </w:p>
        </w:tc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Работа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2026-05-05 — 2026-05-10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Доработка модуля FLV: оптимизация LLM-промптов на пятёрке моделей, фиксация версий моделей и зерна для экспериментов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2026-05-11 — 2026-05-25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Серии прогонов: не менее ста прогонов на стенде S1 (пятьдесят корректных и пятьдесят с инъекциями нарушений по семи кодам), сбор event-log в формате JSONL, расчёт метрик детекции и временной точности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2026-05-26 — 2026-06-04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Статистическая обработка результатов: тест Мак-Немара, критерий Вилкоксона, оценка размера эффекта по Коэну, доверительные интервалы методом бутстрэпа, построение графиков publication-quality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2026-06-05 — 2026-06-12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Написание глав три и четыре пояснительной записки, подготовка приложений, оформление списка использованных источников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2026-06-13 — 2026-06-15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Сдача пояснительной записки на нормоконтроль, проверка на антиплагиат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2026-06-16 — 2026-06-18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Подготовка презентации на двенадцать-пятнадцать слайдов, написание текста доклада продолжительностью семь-десять минут, репетиции с замером времени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после 2026-06-18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sz w:val="28"/>
              </w:rPr>
              <w:t>Защита выпускной квалификационной работы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