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thinThickSmallGap" w:sz="24" w:space="1" w:color="000000"/>
        </w:pBdr>
        <w:jc w:val="center"/>
        <w:rPr>
          <w:b/>
          <w:sz w:val="6"/>
        </w:rPr>
      </w:pPr>
      <w:r>
        <w:rPr>
          <w:b/>
          <w:sz w:val="6"/>
        </w:rPr>
      </w:r>
    </w:p>
    <w:p>
      <w:pPr>
        <w:pStyle w:val="Normal"/>
        <w:jc w:val="center"/>
        <w:rPr>
          <w:b/>
          <w:sz w:val="6"/>
        </w:rPr>
      </w:pPr>
      <w:r>
        <w:rPr>
          <w:b/>
          <w:sz w:val="6"/>
        </w:rPr>
      </w:r>
    </w:p>
    <w:p>
      <w:pPr>
        <w:pStyle w:val="Normal"/>
        <w:rPr/>
      </w:pPr>
      <w:r>
        <w:rPr/>
        <w:t>ФАКУЛЬТЕТ Космический</w:t>
      </w:r>
    </w:p>
    <w:p>
      <w:pPr>
        <w:pStyle w:val="Normal"/>
        <w:rPr/>
      </w:pPr>
      <w:r>
        <w:rPr/>
      </w:r>
    </w:p>
    <w:p>
      <w:pPr>
        <w:pStyle w:val="Normal"/>
        <w:rPr/>
      </w:pPr>
      <w:r>
        <w:rPr/>
        <w:t>КАФЕДРА К2 «Информационно-измерительная техника и технологии»</w:t>
      </w:r>
      <w:r>
        <w:rPr>
          <w:iCs/>
        </w:rPr>
      </w:r>
    </w:p>
    <w:p>
      <w:pPr>
        <w:pStyle w:val="Normal"/>
        <w:rPr>
          <w:i/>
          <w:iCs/>
        </w:rPr>
      </w:pPr>
      <w:r>
        <w:rPr>
          <w:i/>
          <w:iCs/>
        </w:rPr>
      </w:r>
    </w:p>
    <w:p>
      <w:pPr>
        <w:pStyle w:val="Normal"/>
        <w:rPr>
          <w:i/>
        </w:rPr>
      </w:pPr>
      <w:r>
        <w:rPr>
          <w:i/>
        </w:rPr>
      </w:r>
    </w:p>
    <w:p>
      <w:pPr>
        <w:pStyle w:val="Normal"/>
        <w:rPr>
          <w:i/>
          <w:sz w:val="32"/>
        </w:rPr>
      </w:pPr>
      <w:r>
        <w:rPr>
          <w:i/>
          <w:sz w:val="32"/>
        </w:rPr>
      </w:r>
    </w:p>
    <w:p>
      <w:pPr>
        <w:pStyle w:val="Normal"/>
        <w:jc w:val="center"/>
        <w:rPr>
          <w:b/>
          <w:sz w:val="44"/>
        </w:rPr>
      </w:pPr>
      <w:r>
        <w:rPr>
          <w:b/>
          <w:sz w:val="44"/>
        </w:rPr>
        <w:t>РАСЧЕТНО-ПОЯСНИТЕЛЬНАЯ ЗАПИСКА</w:t>
      </w:r>
    </w:p>
    <w:p>
      <w:pPr>
        <w:pStyle w:val="Normal"/>
        <w:jc w:val="center"/>
        <w:rPr>
          <w:b/>
          <w:i/>
          <w:sz w:val="44"/>
        </w:rPr>
      </w:pPr>
      <w:r>
        <w:rPr>
          <w:b/>
          <w:i/>
          <w:sz w:val="44"/>
        </w:rPr>
      </w:r>
    </w:p>
    <w:p>
      <w:pPr>
        <w:pStyle w:val="Normal"/>
        <w:jc w:val="center"/>
        <w:rPr>
          <w:b/>
          <w:i/>
          <w:sz w:val="40"/>
        </w:rPr>
      </w:pPr>
      <w:r>
        <w:rPr>
          <w:b/>
          <w:i/>
          <w:sz w:val="40"/>
        </w:rPr>
        <w:t xml:space="preserve">К ВЫПУСКНОЙ КВАЛИФИКАЦИОННОЙ РАБОТЕ </w:t>
      </w:r>
    </w:p>
    <w:p>
      <w:pPr>
        <w:pStyle w:val="Normal"/>
        <w:jc w:val="center"/>
        <w:rPr>
          <w:b/>
          <w:i/>
          <w:sz w:val="28"/>
        </w:rPr>
      </w:pPr>
      <w:r>
        <w:rPr>
          <w:b/>
          <w:i/>
          <w:sz w:val="28"/>
        </w:rPr>
      </w:r>
    </w:p>
    <w:p>
      <w:pPr>
        <w:pStyle w:val="Normal"/>
        <w:jc w:val="center"/>
        <w:rPr>
          <w:b/>
          <w:i/>
          <w:sz w:val="40"/>
        </w:rPr>
      </w:pPr>
      <w:r>
        <w:rPr>
          <w:b/>
          <w:i/>
          <w:sz w:val="40"/>
        </w:rPr>
        <w:t>НА ТЕМУ:</w:t>
      </w:r>
    </w:p>
    <w:p>
      <w:pPr>
        <w:pStyle w:val="Normal"/>
        <w:rPr>
          <w:b/>
          <w:i/>
          <w:sz w:val="40"/>
        </w:rPr>
      </w:pPr>
      <w:r>
        <w:rPr>
          <w:b/>
          <w:i/>
          <w:sz w:val="40"/>
        </w:rPr>
        <w:t>Метод функционально-логической верификации программных</w:t>
      </w:r>
    </w:p>
    <w:p>
      <w:pPr>
        <w:pStyle w:val="Normal"/>
        <w:rPr>
          <w:b/>
          <w:i/>
          <w:sz w:val="40"/>
        </w:rPr>
      </w:pPr>
      <w:r>
        <w:rPr>
          <w:b/>
          <w:i/>
          <w:sz w:val="40"/>
        </w:rPr>
        <w:t>моделей измерительных процессов в составе</w:t>
      </w:r>
    </w:p>
    <w:p>
      <w:pPr>
        <w:pStyle w:val="Normal"/>
        <w:rPr>
          <w:b/>
          <w:i/>
          <w:sz w:val="40"/>
        </w:rPr>
      </w:pPr>
      <w:r>
        <w:rPr>
          <w:b/>
          <w:i/>
          <w:sz w:val="40"/>
        </w:rPr>
        <w:t>информационно-измерительных систем</w:t>
      </w:r>
    </w:p>
    <w:p>
      <w:pPr>
        <w:pStyle w:val="Normal"/>
        <w:rPr>
          <w:b/>
          <w:i/>
          <w:sz w:val="40"/>
        </w:rPr>
      </w:pPr>
      <w:r>
        <w:rPr>
          <w:b/>
          <w:i/>
          <w:sz w:val="40"/>
        </w:rPr>
      </w:r>
    </w:p>
    <w:p>
      <w:pPr>
        <w:pStyle w:val="Normal"/>
        <w:rPr/>
      </w:pPr>
      <w:r>
        <w:rPr>
          <w:b/>
          <w:i/>
          <w:sz w:val="40"/>
        </w:rPr>
      </w:r>
    </w:p>
    <w:p>
      <w:pPr>
        <w:pStyle w:val="Normal"/>
        <w:rPr>
          <w:b/>
          <w:i/>
          <w:sz w:val="40"/>
        </w:rPr>
      </w:pPr>
      <w:r>
        <w:rPr>
          <w:b/>
          <w:i/>
          <w:sz w:val="40"/>
        </w:rPr>
      </w:r>
    </w:p>
    <w:p>
      <w:pPr>
        <w:pStyle w:val="Normal"/>
        <w:rPr/>
      </w:pPr>
      <w:r>
        <w:rPr/>
      </w:r>
    </w:p>
    <w:p>
      <w:pPr>
        <w:pStyle w:val="Normal"/>
        <w:rPr/>
      </w:pPr>
      <w:r>
        <w:rPr/>
      </w:r>
    </w:p>
    <w:p>
      <w:pPr>
        <w:pStyle w:val="Normal"/>
        <w:rPr/>
      </w:pPr>
      <w:r>
        <w:rPr/>
        <w:t>Студент К2-81Б</w:t>
        <w:tab/>
        <w:tab/>
        <w:tab/>
        <w:tab/>
      </w:r>
      <w:r>
        <w:rPr>
          <w:b/>
        </w:rPr>
        <w:t xml:space="preserve">_________________  Катальшов Д.А. </w:t>
      </w:r>
    </w:p>
    <w:p>
      <w:pPr>
        <w:pStyle w:val="Normal"/>
        <w:ind w:firstLine="709" w:start="709" w:end="565"/>
        <w:rPr>
          <w:sz w:val="18"/>
          <w:szCs w:val="18"/>
        </w:rPr>
      </w:pPr>
      <w:r>
        <w:rPr>
          <w:sz w:val="18"/>
          <w:szCs w:val="18"/>
        </w:rPr>
        <w:t>(Группа)</w:t>
        <w:tab/>
        <w:tab/>
        <w:tab/>
        <w:tab/>
        <w:tab/>
        <w:t xml:space="preserve">         (Подпись, дата)                             (И.О.Фамилия)            </w:t>
      </w:r>
    </w:p>
    <w:p>
      <w:pPr>
        <w:pStyle w:val="Normal"/>
        <w:jc w:val="both"/>
        <w:rPr>
          <w:sz w:val="18"/>
          <w:szCs w:val="18"/>
        </w:rPr>
      </w:pPr>
      <w:r>
        <w:rPr>
          <w:sz w:val="18"/>
          <w:szCs w:val="18"/>
        </w:rPr>
      </w:r>
    </w:p>
    <w:p>
      <w:pPr>
        <w:pStyle w:val="Normal"/>
        <w:rPr/>
      </w:pPr>
      <w:r>
        <w:rPr/>
        <w:t>Руководитель ВКР, к.т.н., доцент, заведующий кафедрой К2</w:t>
        <w:tab/>
        <w:tab/>
        <w:tab/>
      </w:r>
      <w:r>
        <w:rPr>
          <w:b/>
        </w:rPr>
        <w:t xml:space="preserve">_________________  Е.Г. Комаров </w:t>
      </w:r>
    </w:p>
    <w:p>
      <w:pPr>
        <w:pStyle w:val="Normal"/>
        <w:ind w:end="565"/>
        <w:jc w:val="end"/>
        <w:rPr>
          <w:sz w:val="18"/>
          <w:szCs w:val="18"/>
        </w:rPr>
      </w:pPr>
      <w:r>
        <w:rPr>
          <w:sz w:val="18"/>
          <w:szCs w:val="18"/>
        </w:rPr>
        <w:t xml:space="preserve">(Подпись, дата)                             (И.О.Фамилия)            </w:t>
      </w:r>
    </w:p>
    <w:p>
      <w:pPr>
        <w:pStyle w:val="Normal"/>
        <w:jc w:val="both"/>
        <w:rPr>
          <w:sz w:val="18"/>
          <w:szCs w:val="18"/>
        </w:rPr>
      </w:pPr>
      <w:r>
        <w:rPr>
          <w:sz w:val="18"/>
          <w:szCs w:val="18"/>
        </w:rPr>
      </w:r>
    </w:p>
    <w:p>
      <w:pPr>
        <w:pStyle w:val="Normal"/>
        <w:rPr/>
      </w:pPr>
      <w:r>
        <w:rPr/>
        <w:t xml:space="preserve">Консультант </w:t>
        <w:tab/>
        <w:tab/>
        <w:tab/>
        <w:tab/>
        <w:tab/>
        <w:tab/>
      </w:r>
      <w:r>
        <w:rPr>
          <w:b/>
        </w:rPr>
        <w:t xml:space="preserve">_________________  ____________________ </w:t>
      </w:r>
    </w:p>
    <w:p>
      <w:pPr>
        <w:pStyle w:val="Normal"/>
        <w:ind w:end="565"/>
        <w:jc w:val="end"/>
        <w:rPr>
          <w:sz w:val="18"/>
          <w:szCs w:val="18"/>
        </w:rPr>
      </w:pPr>
      <w:r>
        <w:rPr>
          <w:sz w:val="18"/>
          <w:szCs w:val="18"/>
        </w:rPr>
        <w:t xml:space="preserve">(Подпись, дата)                             (И.О.Фамилия)            </w:t>
      </w:r>
    </w:p>
    <w:p>
      <w:pPr>
        <w:pStyle w:val="Normal"/>
        <w:rPr>
          <w:sz w:val="18"/>
          <w:szCs w:val="18"/>
        </w:rPr>
      </w:pPr>
      <w:r>
        <w:rPr>
          <w:sz w:val="18"/>
          <w:szCs w:val="18"/>
        </w:rPr>
      </w:r>
    </w:p>
    <w:p>
      <w:pPr>
        <w:pStyle w:val="Normal"/>
        <w:rPr/>
      </w:pPr>
      <w:r>
        <w:rPr/>
        <w:t>Консультант</w:t>
        <w:tab/>
        <w:tab/>
        <w:tab/>
        <w:tab/>
        <w:tab/>
        <w:tab/>
      </w:r>
      <w:r>
        <w:rPr>
          <w:b/>
        </w:rPr>
        <w:t xml:space="preserve">_________________  ____________________ </w:t>
      </w:r>
    </w:p>
    <w:p>
      <w:pPr>
        <w:pStyle w:val="Normal"/>
        <w:ind w:end="565"/>
        <w:jc w:val="end"/>
        <w:rPr>
          <w:sz w:val="18"/>
          <w:szCs w:val="18"/>
        </w:rPr>
      </w:pPr>
      <w:r>
        <w:rPr>
          <w:sz w:val="18"/>
          <w:szCs w:val="18"/>
        </w:rPr>
        <w:t xml:space="preserve">(Подпись, дата)                             (И.О.Фамилия)            </w:t>
      </w:r>
    </w:p>
    <w:p>
      <w:pPr>
        <w:pStyle w:val="Normal"/>
        <w:jc w:val="both"/>
        <w:rPr>
          <w:sz w:val="18"/>
          <w:szCs w:val="18"/>
        </w:rPr>
      </w:pPr>
      <w:r>
        <w:rPr>
          <w:sz w:val="18"/>
          <w:szCs w:val="18"/>
        </w:rPr>
      </w:r>
    </w:p>
    <w:p>
      <w:pPr>
        <w:pStyle w:val="Normal"/>
        <w:rPr/>
      </w:pPr>
      <w:r>
        <w:rPr/>
        <w:t xml:space="preserve">Нормоконтролер </w:t>
        <w:tab/>
        <w:tab/>
        <w:tab/>
        <w:tab/>
        <w:tab/>
      </w:r>
      <w:r>
        <w:rPr>
          <w:b/>
        </w:rPr>
        <w:t xml:space="preserve">_________________  ____________________ </w:t>
      </w:r>
    </w:p>
    <w:p>
      <w:pPr>
        <w:pStyle w:val="Normal"/>
        <w:ind w:end="565"/>
        <w:jc w:val="end"/>
        <w:rPr>
          <w:sz w:val="18"/>
          <w:szCs w:val="18"/>
        </w:rPr>
      </w:pPr>
      <w:r>
        <w:rPr>
          <w:sz w:val="18"/>
          <w:szCs w:val="18"/>
        </w:rPr>
        <w:t xml:space="preserve">(Подпись, дата)                             (И.О.Фамилия)            </w:t>
      </w:r>
    </w:p>
    <w:p>
      <w:pPr>
        <w:pStyle w:val="Normal"/>
        <w:jc w:val="both"/>
        <w:rPr>
          <w:sz w:val="18"/>
          <w:szCs w:val="18"/>
        </w:rPr>
      </w:pPr>
      <w:r>
        <w:rPr>
          <w:sz w:val="18"/>
          <w:szCs w:val="18"/>
        </w:rPr>
      </w:r>
    </w:p>
    <w:p>
      <w:pPr>
        <w:pStyle w:val="Normal"/>
        <w:jc w:val="center"/>
        <w:rPr>
          <w:iCs/>
        </w:rPr>
      </w:pPr>
      <w:r>
        <w:rPr>
          <w:iCs/>
        </w:rPr>
      </w:r>
    </w:p>
    <w:p>
      <w:pPr>
        <w:pStyle w:val="Normal"/>
        <w:jc w:val="center"/>
        <w:rPr>
          <w:iCs/>
        </w:rPr>
      </w:pPr>
      <w:r>
        <w:rPr>
          <w:iCs/>
        </w:rPr>
      </w:r>
    </w:p>
    <w:p>
      <w:pPr>
        <w:pStyle w:val="Normal"/>
        <w:jc w:val="center"/>
        <w:rPr>
          <w:iCs/>
        </w:rPr>
      </w:pPr>
      <w:r>
        <w:rPr>
          <w:iCs/>
        </w:rPr>
      </w:r>
    </w:p>
    <w:p>
      <w:pPr>
        <w:pStyle w:val="Normal"/>
        <w:jc w:val="center"/>
        <w:rPr/>
      </w:pPr>
      <w:r>
        <w:rPr>
          <w:i/>
          <w:sz w:val="28"/>
        </w:rPr>
        <w:t>г. Мытищи, 2026 г.</w:t>
      </w:r>
    </w:p>
    <w:p>
      <w:r>
        <w:br w:type="page"/>
      </w:r>
    </w:p>
    <w:p>
      <w:pPr>
        <w:spacing w:line="360" w:lineRule="auto"/>
        <w:jc w:val="center"/>
      </w:pPr>
      <w:r>
        <w:rPr>
          <w:rFonts w:ascii="Times New Roman" w:hAnsi="Times New Roman" w:cs="Times New Roman" w:eastAsia="Times New Roman"/>
          <w:b/>
          <w:sz w:val="28"/>
        </w:rPr>
        <w:t>1. ВВЕДЕНИЕ</w:t>
      </w:r>
    </w:p>
    <w:p>
      <w:pPr>
        <w:spacing w:line="360" w:lineRule="auto"/>
        <w:ind w:firstLine="709"/>
        <w:jc w:val="left"/>
      </w:pPr>
      <w:r>
        <w:rPr>
          <w:rFonts w:ascii="Times New Roman" w:hAnsi="Times New Roman" w:cs="Times New Roman" w:eastAsia="Times New Roman"/>
          <w:b/>
          <w:sz w:val="28"/>
        </w:rPr>
        <w:t>1.1. Актуальность темы</w:t>
      </w:r>
    </w:p>
    <w:p>
      <w:pPr>
        <w:spacing w:line="360" w:lineRule="auto"/>
        <w:ind w:firstLine="709"/>
        <w:jc w:val="both"/>
      </w:pPr>
      <w:r>
        <w:rPr>
          <w:rFonts w:ascii="Times New Roman" w:hAnsi="Times New Roman" w:cs="Times New Roman" w:eastAsia="Times New Roman"/>
          <w:sz w:val="28"/>
        </w:rPr>
        <w:t xml:space="preserve">Современные информационно-измерительные системы (ИИС) реализуют методики измерений, нормативно описанные в ГОСТ Р 8.563-2009 «Государственная система обеспечения единства измерений. Методики (методы) измерений», в форме программных сценариев (LabVIEW VI, NI TestStand, Python-скрипты, прошивки микроконтроллеров). При переносе методики из текстового документа в исполняемый код возникает «семантический разрыв»: код синтаксически корректен, но фактическое поведение программы может отклоняться от нормативного описания. Типичная иллюстрация — методика требует выдержки 300 секунд после стабилизации температуры, а в коде ошибочно записано </w:t>
      </w:r>
      <w:r>
        <w:rPr>
          <w:rFonts w:ascii="Consolas" w:hAnsi="Consolas" w:cs="Times New Roman" w:eastAsia="Times New Roman"/>
          <w:sz w:val="28"/>
        </w:rPr>
        <w:t>wait(30)</w:t>
      </w:r>
      <w:r>
        <w:rPr>
          <w:rFonts w:ascii="Times New Roman" w:hAnsi="Times New Roman" w:cs="Times New Roman" w:eastAsia="Times New Roman"/>
          <w:sz w:val="28"/>
        </w:rPr>
        <w:t xml:space="preserve">. Синтаксические анализаторы и юнит-тесты такие отклонения не выявляют, поскольку проверяют не </w:t>
      </w:r>
      <w:r>
        <w:rPr>
          <w:rFonts w:ascii="Times New Roman" w:hAnsi="Times New Roman" w:cs="Times New Roman" w:eastAsia="Times New Roman"/>
          <w:b/>
          <w:sz w:val="28"/>
        </w:rPr>
        <w:t>семантику методики</w:t>
      </w:r>
      <w:r>
        <w:rPr>
          <w:rFonts w:ascii="Times New Roman" w:hAnsi="Times New Roman" w:cs="Times New Roman" w:eastAsia="Times New Roman"/>
          <w:sz w:val="28"/>
        </w:rPr>
        <w:t>, а отдельные характеристики кода.</w:t>
      </w:r>
    </w:p>
    <w:p>
      <w:pPr>
        <w:spacing w:line="360" w:lineRule="auto"/>
        <w:ind w:firstLine="709"/>
        <w:jc w:val="both"/>
      </w:pPr>
      <w:r>
        <w:rPr>
          <w:rFonts w:ascii="Times New Roman" w:hAnsi="Times New Roman" w:cs="Times New Roman" w:eastAsia="Times New Roman"/>
          <w:sz w:val="28"/>
        </w:rPr>
        <w:t>Существующие средства верификации программ ИИС работают на разных уровнях абстракции, не покрывающих описанную проблему. NI TestStand Sequence Analyzer и LabVIEW VI Analyzer Toolkit выполняют статический анализ стиля кода. NI Requirements Gateway обеспечивает трассируемость требование ↔ артефакт без проверки фактического поведения. Библиотеки runtime-верификации с использованием Signal Temporal Logic (RTAMT, Breach) контролируют свойства непрерывных сигналов, но не работают с прикладной DSL для описания методики измерения и не интегрированы в типовой контур ИИС. Model checking на тайм-автоматах (UPPAAL) применим на этапе проектирования и не обеспечивает контроль исполнения.</w:t>
      </w:r>
    </w:p>
    <w:p>
      <w:pPr>
        <w:spacing w:line="360" w:lineRule="auto"/>
        <w:ind w:firstLine="709"/>
        <w:jc w:val="both"/>
      </w:pPr>
      <w:r>
        <w:rPr>
          <w:rFonts w:ascii="Times New Roman" w:hAnsi="Times New Roman" w:cs="Times New Roman" w:eastAsia="Times New Roman"/>
          <w:sz w:val="28"/>
        </w:rPr>
        <w:t>Цена семантической ошибки в ИИС высока: повторные испытания, расход дорогих реагентов, потеря доверия к результатам, нарушение метрологической прослеживаемости. Тенденция роста сложности методик и автоматизации измерений делает задачу автоматической функционально-логической верификации программных моделей измерительных процессов актуальной как для академических исследований, так и для промышленного применения.</w:t>
      </w:r>
    </w:p>
    <w:p>
      <w:pPr>
        <w:spacing w:line="360" w:lineRule="auto"/>
        <w:ind w:firstLine="709"/>
        <w:jc w:val="left"/>
      </w:pPr>
      <w:r>
        <w:rPr>
          <w:rFonts w:ascii="Times New Roman" w:hAnsi="Times New Roman" w:cs="Times New Roman" w:eastAsia="Times New Roman"/>
          <w:b/>
          <w:sz w:val="28"/>
        </w:rPr>
        <w:t>1.2. Цель и задачи работы</w:t>
      </w:r>
    </w:p>
    <w:p>
      <w:pPr>
        <w:spacing w:line="360" w:lineRule="auto"/>
        <w:ind w:firstLine="709"/>
        <w:jc w:val="both"/>
      </w:pPr>
      <w:r>
        <w:rPr>
          <w:rFonts w:ascii="Times New Roman" w:hAnsi="Times New Roman" w:cs="Times New Roman" w:eastAsia="Times New Roman"/>
          <w:b/>
          <w:sz w:val="28"/>
        </w:rPr>
        <w:t>Цель:</w:t>
      </w:r>
      <w:r>
        <w:rPr>
          <w:rFonts w:ascii="Times New Roman" w:hAnsi="Times New Roman" w:cs="Times New Roman" w:eastAsia="Times New Roman"/>
          <w:sz w:val="28"/>
        </w:rPr>
        <w:t xml:space="preserve"> разработать и экспериментально исследовать метод функционально-логической верификации (FLV) программных моделей измерительных процессов, обеспечивающий автоматическую проверку соответствия фактической трассы исполнения сценария ИИС нормативной методике измерения.</w:t>
      </w:r>
    </w:p>
    <w:p>
      <w:pPr>
        <w:spacing w:line="360" w:lineRule="auto"/>
        <w:ind w:firstLine="709"/>
        <w:jc w:val="both"/>
      </w:pPr>
      <w:r>
        <w:rPr>
          <w:rFonts w:ascii="Times New Roman" w:hAnsi="Times New Roman" w:cs="Times New Roman" w:eastAsia="Times New Roman"/>
          <w:b/>
          <w:sz w:val="28"/>
        </w:rPr>
        <w:t>Задачи:</w:t>
      </w:r>
    </w:p>
    <w:p>
      <w:pPr>
        <w:spacing w:line="360" w:lineRule="auto"/>
        <w:ind w:firstLine="709"/>
        <w:jc w:val="both"/>
      </w:pPr>
      <w:r>
        <w:rPr>
          <w:rFonts w:ascii="Times New Roman" w:hAnsi="Times New Roman" w:cs="Times New Roman" w:eastAsia="Times New Roman"/>
          <w:sz w:val="28"/>
        </w:rPr>
        <w:t>1. Провести аналитический обзор существующих подходов к верификации программных моделей ИИС, выявить ограничения и обосновать научную нишу метода FLV. 2. Разработать формальную модель измерительного процесса в виде расширенного тайм-автомата с гард-условиями и каталогом нарушений, соответствующим требованиям ГОСТ Р 8.563-2009 и ГОСТ 8.207-76. 3. Спроектировать предметно-ориентированный язык (DSL) для описания нормативной модели методики измерения и формат журнала событий исполнения сценария ИИС. 4. Реализовать программный модуль FLV в виде гибридной архитектуры с использованием большой языковой модели на этапе извлечения нормативной спецификации из текста и формирования объяснений вердиктов, а детерминированного матчера — на этапе сопоставления трассы со спецификацией. 5. Разработать программный симулятор измерительного стенда (термокамера со стабилизацией температуры, чувствительный элемент PT100) с физически адекватной моделью теплопередачи, шумов и квантования. 6. Провести экспериментальное исследование: серии прогонов эталонного сценария и сценариев с инъекциями нарушений семи типов, оценка метрик детекции (TPR, TNR, FPR, FNR), временной точности (Jₜᵢₘᵢₙ𝓰) и производительности; статистическая обработка результатов (McNemar, Wilcoxon, Cohen's d, доверительные интервалы). 7. Подготовить пояснительную записку и материалы защиты в соответствии с ГОСТ 7.32-2017, ГОСТ 7.0.5-2008 и Положением о порядке подготовки и защиты ВКР МГТУ им. Н.Э. Баумана от 12.10.2015.</w:t>
      </w:r>
    </w:p>
    <w:p>
      <w:pPr>
        <w:spacing w:line="360" w:lineRule="auto"/>
        <w:ind w:firstLine="709"/>
        <w:jc w:val="left"/>
      </w:pPr>
      <w:r>
        <w:rPr>
          <w:rFonts w:ascii="Times New Roman" w:hAnsi="Times New Roman" w:cs="Times New Roman" w:eastAsia="Times New Roman"/>
          <w:b/>
          <w:sz w:val="28"/>
        </w:rPr>
        <w:t>1.3. Объект и предмет исследования</w:t>
      </w:r>
    </w:p>
    <w:p>
      <w:pPr>
        <w:spacing w:line="360" w:lineRule="auto"/>
        <w:ind w:firstLine="709"/>
        <w:jc w:val="both"/>
      </w:pPr>
      <w:r>
        <w:rPr>
          <w:rFonts w:ascii="Times New Roman" w:hAnsi="Times New Roman" w:cs="Times New Roman" w:eastAsia="Times New Roman"/>
          <w:b/>
          <w:sz w:val="28"/>
        </w:rPr>
        <w:t>Объект исследования:</w:t>
      </w:r>
      <w:r>
        <w:rPr>
          <w:rFonts w:ascii="Times New Roman" w:hAnsi="Times New Roman" w:cs="Times New Roman" w:eastAsia="Times New Roman"/>
          <w:sz w:val="28"/>
        </w:rPr>
        <w:t xml:space="preserve"> информационно-измерительные системы, исполняющие программные сценарии измерений в соответствии с нормативно-методической документацией.</w:t>
      </w:r>
    </w:p>
    <w:p>
      <w:pPr>
        <w:spacing w:line="360" w:lineRule="auto"/>
        <w:ind w:firstLine="709"/>
        <w:jc w:val="both"/>
      </w:pPr>
      <w:r>
        <w:rPr>
          <w:rFonts w:ascii="Times New Roman" w:hAnsi="Times New Roman" w:cs="Times New Roman" w:eastAsia="Times New Roman"/>
          <w:b/>
          <w:sz w:val="28"/>
        </w:rPr>
        <w:t>Предмет исследования:</w:t>
      </w:r>
      <w:r>
        <w:rPr>
          <w:rFonts w:ascii="Times New Roman" w:hAnsi="Times New Roman" w:cs="Times New Roman" w:eastAsia="Times New Roman"/>
          <w:sz w:val="28"/>
        </w:rPr>
        <w:t xml:space="preserve"> методы функционально-логической верификации программных моделей измерительных процессов и алгоритмы сопоставления трасс исполнения с формализованными нормативными требованиями.</w:t>
      </w:r>
    </w:p>
    <w:p>
      <w:pPr>
        <w:spacing w:line="360" w:lineRule="auto"/>
        <w:ind w:firstLine="709"/>
        <w:jc w:val="left"/>
      </w:pPr>
      <w:r>
        <w:rPr>
          <w:rFonts w:ascii="Times New Roman" w:hAnsi="Times New Roman" w:cs="Times New Roman" w:eastAsia="Times New Roman"/>
          <w:b/>
          <w:sz w:val="28"/>
        </w:rPr>
        <w:t>1.4. Научная новизна</w:t>
      </w:r>
    </w:p>
    <w:p>
      <w:pPr>
        <w:spacing w:line="360" w:lineRule="auto"/>
        <w:ind w:firstLine="709"/>
        <w:jc w:val="both"/>
      </w:pPr>
      <w:r>
        <w:rPr>
          <w:rFonts w:ascii="Times New Roman" w:hAnsi="Times New Roman" w:cs="Times New Roman" w:eastAsia="Times New Roman"/>
          <w:sz w:val="28"/>
        </w:rPr>
        <w:t>Научная новизна работы определяется четырьмя положениями.</w:t>
      </w:r>
    </w:p>
    <w:p>
      <w:pPr>
        <w:spacing w:line="360" w:lineRule="auto"/>
        <w:ind w:firstLine="709"/>
        <w:jc w:val="both"/>
      </w:pPr>
      <w:r>
        <w:rPr>
          <w:rFonts w:ascii="Times New Roman" w:hAnsi="Times New Roman" w:cs="Times New Roman" w:eastAsia="Times New Roman"/>
          <w:b/>
          <w:sz w:val="28"/>
        </w:rPr>
        <w:t>Первое.</w:t>
      </w:r>
      <w:r>
        <w:rPr>
          <w:rFonts w:ascii="Times New Roman" w:hAnsi="Times New Roman" w:cs="Times New Roman" w:eastAsia="Times New Roman"/>
          <w:sz w:val="28"/>
        </w:rPr>
        <w:t xml:space="preserve"> Сформулирована формальная модель нормативной измерительной методики в виде кортежа 𝓜 = ⟨𝒮, s₀, 𝒱, 𝒫, 𝒯, 𝒞, 𝒢, 𝒥⟩, расширяющего тайм-автоматы Алура–Дилла явным каталогом 𝒥 кодов нарушений, привязанных к пунктам нормативных документов.</w:t>
      </w:r>
    </w:p>
    <w:p>
      <w:pPr>
        <w:spacing w:line="360" w:lineRule="auto"/>
        <w:ind w:firstLine="709"/>
        <w:jc w:val="both"/>
      </w:pPr>
      <w:r>
        <w:rPr>
          <w:rFonts w:ascii="Times New Roman" w:hAnsi="Times New Roman" w:cs="Times New Roman" w:eastAsia="Times New Roman"/>
          <w:b/>
          <w:sz w:val="28"/>
        </w:rPr>
        <w:t>Второе.</w:t>
      </w:r>
      <w:r>
        <w:rPr>
          <w:rFonts w:ascii="Times New Roman" w:hAnsi="Times New Roman" w:cs="Times New Roman" w:eastAsia="Times New Roman"/>
          <w:sz w:val="28"/>
        </w:rPr>
        <w:t xml:space="preserve"> Предложен предметно-ориентированный язык описания методик измерений в форме YAML-спецификации, валидируемой по JSON Schema, с семантикой приёма трассы, формализованной в трёх условиях: последовательности переходов, длительностей состояний и предикатов.</w:t>
      </w:r>
    </w:p>
    <w:p>
      <w:pPr>
        <w:spacing w:line="360" w:lineRule="auto"/>
        <w:ind w:firstLine="709"/>
        <w:jc w:val="both"/>
      </w:pPr>
      <w:r>
        <w:rPr>
          <w:rFonts w:ascii="Times New Roman" w:hAnsi="Times New Roman" w:cs="Times New Roman" w:eastAsia="Times New Roman"/>
          <w:b/>
          <w:sz w:val="28"/>
        </w:rPr>
        <w:t>Третье.</w:t>
      </w:r>
      <w:r>
        <w:rPr>
          <w:rFonts w:ascii="Times New Roman" w:hAnsi="Times New Roman" w:cs="Times New Roman" w:eastAsia="Times New Roman"/>
          <w:sz w:val="28"/>
        </w:rPr>
        <w:t xml:space="preserve"> Разработана гибридная LLM-формальная архитектура верификации, в которой роль большой языковой модели жёстко ограничена двумя этапами — извлечением спецификации из текста методики и формированием объяснения вердикта, — а детерминированный матчер обеспечивает юридически воспроизводимый результат проверки.</w:t>
      </w:r>
    </w:p>
    <w:p>
      <w:pPr>
        <w:spacing w:line="360" w:lineRule="auto"/>
        <w:ind w:firstLine="709"/>
        <w:jc w:val="both"/>
      </w:pPr>
      <w:r>
        <w:rPr>
          <w:rFonts w:ascii="Times New Roman" w:hAnsi="Times New Roman" w:cs="Times New Roman" w:eastAsia="Times New Roman"/>
          <w:b/>
          <w:sz w:val="28"/>
        </w:rPr>
        <w:t>Четвёртое.</w:t>
      </w:r>
      <w:r>
        <w:rPr>
          <w:rFonts w:ascii="Times New Roman" w:hAnsi="Times New Roman" w:cs="Times New Roman" w:eastAsia="Times New Roman"/>
          <w:sz w:val="28"/>
        </w:rPr>
        <w:t xml:space="preserve"> Введены метрики функционально-логической прослеживаемости (TPR/TNR/FPR/FNR детекции нарушений, Jₜᵢₘᵢₙ𝓰 как средняя относительная ошибка по критическим временным окнам, Kₛₑ𝓆 как доля прогонов без нарушения порядка переходов) для количественной оценки соответствия программной реализации нормативной методике.</w:t>
      </w:r>
    </w:p>
    <w:p>
      <w:pPr>
        <w:spacing w:line="360" w:lineRule="auto"/>
        <w:ind w:firstLine="709"/>
        <w:jc w:val="left"/>
      </w:pPr>
      <w:r>
        <w:rPr>
          <w:rFonts w:ascii="Times New Roman" w:hAnsi="Times New Roman" w:cs="Times New Roman" w:eastAsia="Times New Roman"/>
          <w:b/>
          <w:sz w:val="28"/>
        </w:rPr>
        <w:t>1.5. Практическая значимость</w:t>
      </w:r>
    </w:p>
    <w:p>
      <w:pPr>
        <w:spacing w:line="360" w:lineRule="auto"/>
        <w:ind w:firstLine="709"/>
        <w:jc w:val="both"/>
      </w:pPr>
      <w:r>
        <w:rPr>
          <w:rFonts w:ascii="Times New Roman" w:hAnsi="Times New Roman" w:cs="Times New Roman" w:eastAsia="Times New Roman"/>
          <w:sz w:val="28"/>
        </w:rPr>
        <w:t>Метод FLV может быть встроен в типовой контур ИИС между блоком исполнения сценария и блоком архивации результатов. Каждый зарегистрированный измерительный результат сопровождается формальным вердиктом FLV, поддерживающим метрологическую прослеживаемость по ГОСТ Р 8.596-2002. Прогоны с обнаруженными нарушениями отбрасываются или повторяются автоматически, что снижает долю недостоверных результатов и позволяет ранее обнаруживать семантические ошибки в коде сценария. Документированная привязка вердиктов к пунктам нормативных документов снижает зависимость качества испытаний от опыта оператора.</w:t>
      </w:r>
    </w:p>
    <w:p>
      <w:pPr>
        <w:spacing w:line="360" w:lineRule="auto"/>
        <w:ind w:firstLine="709"/>
        <w:jc w:val="left"/>
      </w:pPr>
      <w:r>
        <w:rPr>
          <w:rFonts w:ascii="Times New Roman" w:hAnsi="Times New Roman" w:cs="Times New Roman" w:eastAsia="Times New Roman"/>
          <w:b/>
          <w:sz w:val="28"/>
        </w:rPr>
        <w:t>1.6. Методы исследования</w:t>
      </w:r>
    </w:p>
    <w:p>
      <w:pPr>
        <w:spacing w:line="360" w:lineRule="auto"/>
        <w:ind w:firstLine="709"/>
        <w:jc w:val="both"/>
      </w:pPr>
      <w:r>
        <w:rPr>
          <w:rFonts w:ascii="Times New Roman" w:hAnsi="Times New Roman" w:cs="Times New Roman" w:eastAsia="Times New Roman"/>
          <w:sz w:val="28"/>
        </w:rPr>
        <w:t>В работе применяются методы теории конечных автоматов и тайм-автоматов, формальной семантики, теории runtime-верификации и темпоральной логики, методы моделирования физических процессов теплопередачи, методы теории вероятностей и математической статистики. Программная реализация выполнена на языке Python 3.11 с использованием библиотек профессионального научного стека (</w:t>
      </w:r>
      <w:r>
        <w:rPr>
          <w:rFonts w:ascii="Consolas" w:hAnsi="Consolas" w:cs="Times New Roman" w:eastAsia="Times New Roman"/>
          <w:sz w:val="28"/>
        </w:rPr>
        <w:t>scipy.integrate</w:t>
      </w:r>
      <w:r>
        <w:rPr>
          <w:rFonts w:ascii="Times New Roman" w:hAnsi="Times New Roman" w:cs="Times New Roman" w:eastAsia="Times New Roman"/>
          <w:sz w:val="28"/>
        </w:rPr>
        <w:t xml:space="preserve">, </w:t>
      </w:r>
      <w:r>
        <w:rPr>
          <w:rFonts w:ascii="Consolas" w:hAnsi="Consolas" w:cs="Times New Roman" w:eastAsia="Times New Roman"/>
          <w:sz w:val="28"/>
        </w:rPr>
        <w:t>simpy</w:t>
      </w:r>
      <w:r>
        <w:rPr>
          <w:rFonts w:ascii="Times New Roman" w:hAnsi="Times New Roman" w:cs="Times New Roman" w:eastAsia="Times New Roman"/>
          <w:sz w:val="28"/>
        </w:rPr>
        <w:t xml:space="preserve">, </w:t>
      </w:r>
      <w:r>
        <w:rPr>
          <w:rFonts w:ascii="Consolas" w:hAnsi="Consolas" w:cs="Times New Roman" w:eastAsia="Times New Roman"/>
          <w:sz w:val="28"/>
        </w:rPr>
        <w:t>pint</w:t>
      </w:r>
      <w:r>
        <w:rPr>
          <w:rFonts w:ascii="Times New Roman" w:hAnsi="Times New Roman" w:cs="Times New Roman" w:eastAsia="Times New Roman"/>
          <w:sz w:val="28"/>
        </w:rPr>
        <w:t xml:space="preserve">, </w:t>
      </w:r>
      <w:r>
        <w:rPr>
          <w:rFonts w:ascii="Consolas" w:hAnsi="Consolas" w:cs="Times New Roman" w:eastAsia="Times New Roman"/>
          <w:sz w:val="28"/>
        </w:rPr>
        <w:t>uncertainties</w:t>
      </w:r>
      <w:r>
        <w:rPr>
          <w:rFonts w:ascii="Times New Roman" w:hAnsi="Times New Roman" w:cs="Times New Roman" w:eastAsia="Times New Roman"/>
          <w:sz w:val="28"/>
        </w:rPr>
        <w:t xml:space="preserve">, </w:t>
      </w:r>
      <w:r>
        <w:rPr>
          <w:rFonts w:ascii="Consolas" w:hAnsi="Consolas" w:cs="Times New Roman" w:eastAsia="Times New Roman"/>
          <w:sz w:val="28"/>
        </w:rPr>
        <w:t>python-control</w:t>
      </w:r>
      <w:r>
        <w:rPr>
          <w:rFonts w:ascii="Times New Roman" w:hAnsi="Times New Roman" w:cs="Times New Roman" w:eastAsia="Times New Roman"/>
          <w:sz w:val="28"/>
        </w:rPr>
        <w:t xml:space="preserve">); экспериментальное исследование проводится средствами </w:t>
      </w:r>
      <w:r>
        <w:rPr>
          <w:rFonts w:ascii="Consolas" w:hAnsi="Consolas" w:cs="Times New Roman" w:eastAsia="Times New Roman"/>
          <w:sz w:val="28"/>
        </w:rPr>
        <w:t>pandas</w:t>
      </w:r>
      <w:r>
        <w:rPr>
          <w:rFonts w:ascii="Times New Roman" w:hAnsi="Times New Roman" w:cs="Times New Roman" w:eastAsia="Times New Roman"/>
          <w:sz w:val="28"/>
        </w:rPr>
        <w:t xml:space="preserve">, </w:t>
      </w:r>
      <w:r>
        <w:rPr>
          <w:rFonts w:ascii="Consolas" w:hAnsi="Consolas" w:cs="Times New Roman" w:eastAsia="Times New Roman"/>
          <w:sz w:val="28"/>
        </w:rPr>
        <w:t>scipy.stats</w:t>
      </w:r>
      <w:r>
        <w:rPr>
          <w:rFonts w:ascii="Times New Roman" w:hAnsi="Times New Roman" w:cs="Times New Roman" w:eastAsia="Times New Roman"/>
          <w:sz w:val="28"/>
        </w:rPr>
        <w:t xml:space="preserve">, </w:t>
      </w:r>
      <w:r>
        <w:rPr>
          <w:rFonts w:ascii="Consolas" w:hAnsi="Consolas" w:cs="Times New Roman" w:eastAsia="Times New Roman"/>
          <w:sz w:val="28"/>
        </w:rPr>
        <w:t>statsmodels</w:t>
      </w:r>
      <w:r>
        <w:rPr>
          <w:rFonts w:ascii="Times New Roman" w:hAnsi="Times New Roman" w:cs="Times New Roman" w:eastAsia="Times New Roman"/>
          <w:sz w:val="28"/>
        </w:rPr>
        <w:t xml:space="preserve">, визуализация — </w:t>
      </w:r>
      <w:r>
        <w:rPr>
          <w:rFonts w:ascii="Consolas" w:hAnsi="Consolas" w:cs="Times New Roman" w:eastAsia="Times New Roman"/>
          <w:sz w:val="28"/>
        </w:rPr>
        <w:t>matplotlib</w:t>
      </w:r>
      <w:r>
        <w:rPr>
          <w:rFonts w:ascii="Times New Roman" w:hAnsi="Times New Roman" w:cs="Times New Roman" w:eastAsia="Times New Roman"/>
          <w:sz w:val="28"/>
        </w:rPr>
        <w:t xml:space="preserve">, </w:t>
      </w:r>
      <w:r>
        <w:rPr>
          <w:rFonts w:ascii="Consolas" w:hAnsi="Consolas" w:cs="Times New Roman" w:eastAsia="Times New Roman"/>
          <w:sz w:val="28"/>
        </w:rPr>
        <w:t>seaborn</w:t>
      </w:r>
      <w:r>
        <w:rPr>
          <w:rFonts w:ascii="Times New Roman" w:hAnsi="Times New Roman" w:cs="Times New Roman" w:eastAsia="Times New Roman"/>
          <w:sz w:val="28"/>
        </w:rPr>
        <w:t xml:space="preserve">, интерактивная — </w:t>
      </w:r>
      <w:r>
        <w:rPr>
          <w:rFonts w:ascii="Consolas" w:hAnsi="Consolas" w:cs="Times New Roman" w:eastAsia="Times New Roman"/>
          <w:sz w:val="28"/>
        </w:rPr>
        <w:t>pyvista</w:t>
      </w:r>
      <w:r>
        <w:rPr>
          <w:rFonts w:ascii="Times New Roman" w:hAnsi="Times New Roman" w:cs="Times New Roman" w:eastAsia="Times New Roman"/>
          <w:sz w:val="28"/>
        </w:rPr>
        <w:t xml:space="preserve"> и </w:t>
      </w:r>
      <w:r>
        <w:rPr>
          <w:rFonts w:ascii="Consolas" w:hAnsi="Consolas" w:cs="Times New Roman" w:eastAsia="Times New Roman"/>
          <w:sz w:val="28"/>
        </w:rPr>
        <w:t>plotly.dash</w:t>
      </w:r>
      <w:r>
        <w:rPr>
          <w:rFonts w:ascii="Times New Roman" w:hAnsi="Times New Roman" w:cs="Times New Roman" w:eastAsia="Times New Roman"/>
          <w:sz w:val="28"/>
        </w:rPr>
        <w:t>.</w:t>
      </w:r>
    </w:p>
    <w:p>
      <w:pPr>
        <w:spacing w:line="360" w:lineRule="auto"/>
        <w:ind w:firstLine="709"/>
        <w:jc w:val="left"/>
      </w:pPr>
      <w:r>
        <w:rPr>
          <w:rFonts w:ascii="Times New Roman" w:hAnsi="Times New Roman" w:cs="Times New Roman" w:eastAsia="Times New Roman"/>
          <w:b/>
          <w:sz w:val="28"/>
        </w:rPr>
        <w:t>1.7. Структура работы</w:t>
      </w:r>
    </w:p>
    <w:p>
      <w:pPr>
        <w:spacing w:line="360" w:lineRule="auto"/>
        <w:ind w:firstLine="709"/>
        <w:jc w:val="both"/>
      </w:pPr>
      <w:r>
        <w:rPr>
          <w:rFonts w:ascii="Times New Roman" w:hAnsi="Times New Roman" w:cs="Times New Roman" w:eastAsia="Times New Roman"/>
          <w:sz w:val="28"/>
        </w:rPr>
        <w:t>Пояснительная записка содержит введение, четыре основные главы, заключение, список использованных источников и приложения. В первой главе приведён аналитический обзор существующих подходов к верификации ИИС и обоснована постановка задачи. Во второй главе описаны формальная модель FLV, гибридная архитектура с LLM-ролями и каталог нарушений. В третьей главе представлена программная реализация модуля FLV и симулятора измерительного стенда. В четвёртой главе изложены методика и результаты экспериментального исследования с их статистической обработкой. В заключении сформулированы итоги работы и направления дальнейших исследований.</w:t>
      </w:r>
    </w:p>
    <w:p>
      <w:pPr>
        <w:spacing w:line="360" w:lineRule="auto"/>
        <w:jc w:val="center"/>
      </w:pPr>
      <w:r>
        <w:rPr>
          <w:rFonts w:ascii="Times New Roman" w:hAnsi="Times New Roman" w:cs="Times New Roman" w:eastAsia="Times New Roman"/>
          <w:b/>
          <w:sz w:val="28"/>
        </w:rPr>
        <w:t>2. ПЛАН ВЫПОЛНЕНИЯ РАБОТЫ И ТЕКУЩИЙ СТАТУС</w:t>
      </w:r>
    </w:p>
    <w:p>
      <w:pPr>
        <w:spacing w:line="360" w:lineRule="auto"/>
        <w:ind w:firstLine="709"/>
        <w:jc w:val="left"/>
      </w:pPr>
      <w:r>
        <w:rPr>
          <w:rFonts w:ascii="Times New Roman" w:hAnsi="Times New Roman" w:cs="Times New Roman" w:eastAsia="Times New Roman"/>
          <w:b/>
          <w:sz w:val="28"/>
        </w:rPr>
        <w:t>2.1. Декомпозиция работы</w:t>
      </w:r>
    </w:p>
    <w:p>
      <w:pPr>
        <w:spacing w:line="360" w:lineRule="auto"/>
        <w:ind w:firstLine="709"/>
        <w:jc w:val="both"/>
      </w:pPr>
      <w:r>
        <w:rPr>
          <w:rFonts w:ascii="Times New Roman" w:hAnsi="Times New Roman" w:cs="Times New Roman" w:eastAsia="Times New Roman"/>
          <w:sz w:val="28"/>
        </w:rPr>
        <w:t>Работа над ВКР организована в виде последовательно-параллельных фаз. Концептуализация темы и предварительный обзор источников проводились с сентября по ноябрь 2025 года в рамках научно-исследовательской работы студента (НИРС) и профессиональной подготовки в ходе учебной практики. Программный симулятор измерительного стенда S1 был разработан в течение преддипломной практики весеннего семестра 2025/26 учебного года как самостоятельный артефакт; в настоящей ВКР симулятор применяется как инструмент экспериментального исследования метода FLV. Эта преемственность результатов НИРС и практики с темой ВКР соответствует положениям пункта о допустимом использовании материалов НИРС, курсовых работ и всех видов практик в составе ВКР, закреплённым в Положении о порядке подготовки и защиты выпускной квалификационной работы бакалавра МГТУ им. Н.Э. Баумана (Учёный совет, 12.10.2015).</w:t>
      </w:r>
    </w:p>
    <w:p>
      <w:pPr>
        <w:spacing w:line="360" w:lineRule="auto"/>
        <w:ind w:firstLine="709"/>
        <w:jc w:val="both"/>
      </w:pPr>
      <w:r>
        <w:rPr>
          <w:rFonts w:ascii="Times New Roman" w:hAnsi="Times New Roman" w:cs="Times New Roman" w:eastAsia="Times New Roman"/>
          <w:sz w:val="28"/>
        </w:rPr>
        <w:t>Текущее состояние работы по фазам приведено в таблице 1.</w:t>
      </w:r>
    </w:p>
    <w:p>
      <w:pPr>
        <w:spacing w:line="360" w:lineRule="auto"/>
        <w:jc w:val="left"/>
      </w:pPr>
      <w:r>
        <w:rPr>
          <w:rFonts w:ascii="Times New Roman" w:hAnsi="Times New Roman" w:cs="Times New Roman" w:eastAsia="Times New Roman"/>
          <w:sz w:val="28"/>
        </w:rPr>
        <w:t>Таблица 1 — Декомпозиция и текущий статус работы</w:t>
      </w:r>
    </w:p>
    <w:tbl>
      <w:tblPr>
        <w:tblW w:type="auto" w:w="0"/>
        <w:jc w:val="center"/>
        <w:tblLook w:firstColumn="1" w:firstRow="1" w:lastColumn="0" w:lastRow="0" w:noHBand="0" w:noVBand="1" w:val="04A0"/>
      </w:tblPr>
      <w:tblGrid>
        <w:gridCol w:w="2409"/>
        <w:gridCol w:w="2409"/>
        <w:gridCol w:w="2409"/>
        <w:gridCol w:w="2409"/>
      </w:tblGrid>
      <w:tr>
        <w:tc>
          <w:tcPr>
            <w:tcW w:type="dxa" w:w="2409"/>
            <w:tcBorders>
              <w:top w:val="single" w:sz="4" w:color="000000" w:space="0"/>
              <w:left w:val="single" w:sz="4" w:color="000000" w:space="0"/>
              <w:bottom w:val="single" w:sz="4" w:color="000000" w:space="0"/>
              <w:right w:val="single" w:sz="4" w:color="000000" w:space="0"/>
            </w:tcBorders>
            <w:vAlign w:val="center"/>
          </w:tcPr>
          <w:p>
            <w:pPr>
              <w:jc w:val="center"/>
            </w:pPr>
            <w:r/>
            <w:r>
              <w:rPr>
                <w:rFonts w:ascii="Times New Roman" w:hAnsi="Times New Roman" w:cs="Times New Roman" w:eastAsia="Times New Roman"/>
                <w:b/>
                <w:sz w:val="28"/>
              </w:rPr>
              <w:t>№</w:t>
            </w:r>
          </w:p>
        </w:tc>
        <w:tc>
          <w:tcPr>
            <w:tcW w:type="dxa" w:w="2409"/>
            <w:tcBorders>
              <w:top w:val="single" w:sz="4" w:color="000000" w:space="0"/>
              <w:left w:val="single" w:sz="4" w:color="000000" w:space="0"/>
              <w:bottom w:val="single" w:sz="4" w:color="000000" w:space="0"/>
              <w:right w:val="single" w:sz="4" w:color="000000" w:space="0"/>
            </w:tcBorders>
            <w:vAlign w:val="center"/>
          </w:tcPr>
          <w:p>
            <w:pPr>
              <w:jc w:val="center"/>
            </w:pPr>
            <w:r/>
            <w:r>
              <w:rPr>
                <w:rFonts w:ascii="Times New Roman" w:hAnsi="Times New Roman" w:cs="Times New Roman" w:eastAsia="Times New Roman"/>
                <w:b/>
                <w:sz w:val="28"/>
              </w:rPr>
              <w:t>Фаза</w:t>
            </w:r>
          </w:p>
        </w:tc>
        <w:tc>
          <w:tcPr>
            <w:tcW w:type="dxa" w:w="2409"/>
            <w:tcBorders>
              <w:top w:val="single" w:sz="4" w:color="000000" w:space="0"/>
              <w:left w:val="single" w:sz="4" w:color="000000" w:space="0"/>
              <w:bottom w:val="single" w:sz="4" w:color="000000" w:space="0"/>
              <w:right w:val="single" w:sz="4" w:color="000000" w:space="0"/>
            </w:tcBorders>
            <w:vAlign w:val="center"/>
          </w:tcPr>
          <w:p>
            <w:pPr>
              <w:jc w:val="center"/>
            </w:pPr>
            <w:r/>
            <w:r>
              <w:rPr>
                <w:rFonts w:ascii="Times New Roman" w:hAnsi="Times New Roman" w:cs="Times New Roman" w:eastAsia="Times New Roman"/>
                <w:b/>
                <w:sz w:val="28"/>
              </w:rPr>
              <w:t>Содержание</w:t>
            </w:r>
          </w:p>
        </w:tc>
        <w:tc>
          <w:tcPr>
            <w:tcW w:type="dxa" w:w="2409"/>
            <w:tcBorders>
              <w:top w:val="single" w:sz="4" w:color="000000" w:space="0"/>
              <w:left w:val="single" w:sz="4" w:color="000000" w:space="0"/>
              <w:bottom w:val="single" w:sz="4" w:color="000000" w:space="0"/>
              <w:right w:val="single" w:sz="4" w:color="000000" w:space="0"/>
            </w:tcBorders>
            <w:vAlign w:val="center"/>
          </w:tcPr>
          <w:p>
            <w:pPr>
              <w:jc w:val="center"/>
            </w:pPr>
            <w:r/>
            <w:r>
              <w:rPr>
                <w:rFonts w:ascii="Times New Roman" w:hAnsi="Times New Roman" w:cs="Times New Roman" w:eastAsia="Times New Roman"/>
                <w:b/>
                <w:sz w:val="28"/>
              </w:rPr>
              <w:t>Статус</w:t>
            </w:r>
          </w:p>
        </w:tc>
      </w:tr>
      <w:tr>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0</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Концептуализация (НИРС)</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Формулировка темы, обзор проблематики, согласование с научруком</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завершено (ноябрь 2025)</w:t>
            </w:r>
          </w:p>
        </w:tc>
      </w:tr>
      <w:tr>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1</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Сбор информации</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Литература по runtime-верификации, ГОСТы, ФГОС, аналоги</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завершено</w:t>
            </w:r>
          </w:p>
        </w:tc>
      </w:tr>
      <w:tr>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2</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Спецификация и архитектура</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DSL, JSON Schema, формальная модель, каталог нарушений, архитектура модуля FLV</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завершено</w:t>
            </w:r>
          </w:p>
        </w:tc>
      </w:tr>
      <w:tr>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3</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Симулятор стенда (преддипломная практика)</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Физическая модель термокамеры, PT100, АЦП, инжектор нарушений, интерактивная визуализация</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завершено</w:t>
            </w:r>
          </w:p>
        </w:tc>
      </w:tr>
      <w:tr>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4</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Реализация модуля FLV</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Загрузчик спецификации, парсер логов, матчеры, агрегатор вердиктов, LLM-роли</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в работе</w:t>
            </w:r>
          </w:p>
        </w:tc>
      </w:tr>
      <w:tr>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5</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Эксперименты и статистика</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Серии прогонов, расчёт метрик, статистическая обработка</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предстоит</w:t>
            </w:r>
          </w:p>
        </w:tc>
      </w:tr>
      <w:tr>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6</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Написание пояснительной записки</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Главы 1-4, заключение, оформление по ГОСТ 7.32</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в работе параллельно</w:t>
            </w:r>
          </w:p>
        </w:tc>
      </w:tr>
      <w:tr>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7</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Презентация и защита</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Слайды, доклад, демонстрация</w:t>
            </w:r>
          </w:p>
        </w:tc>
        <w:tc>
          <w:tcPr>
            <w:tcW w:type="dxa" w:w="2409"/>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предстоит</w:t>
            </w:r>
          </w:p>
        </w:tc>
      </w:tr>
    </w:tbl>
    <w:p>
      <w:pPr>
        <w:spacing w:line="360" w:lineRule="auto"/>
        <w:ind w:firstLine="709"/>
        <w:jc w:val="left"/>
      </w:pPr>
      <w:r>
        <w:rPr>
          <w:rFonts w:ascii="Times New Roman" w:hAnsi="Times New Roman" w:cs="Times New Roman" w:eastAsia="Times New Roman"/>
          <w:b/>
          <w:sz w:val="28"/>
        </w:rPr>
        <w:t>2.2. Опорные нормативные документы</w:t>
      </w:r>
    </w:p>
    <w:p>
      <w:pPr>
        <w:spacing w:line="360" w:lineRule="auto"/>
        <w:ind w:firstLine="709"/>
        <w:jc w:val="both"/>
      </w:pPr>
      <w:r>
        <w:rPr>
          <w:rFonts w:ascii="Times New Roman" w:hAnsi="Times New Roman" w:cs="Times New Roman" w:eastAsia="Times New Roman"/>
          <w:sz w:val="28"/>
        </w:rPr>
        <w:t>Работа выполняется с опорой на следующие нормативные документы.</w:t>
      </w:r>
    </w:p>
    <w:p>
      <w:pPr>
        <w:spacing w:line="360" w:lineRule="auto"/>
        <w:ind w:firstLine="709"/>
        <w:jc w:val="both"/>
      </w:pPr>
      <w:r>
        <w:rPr>
          <w:rFonts w:ascii="Times New Roman" w:hAnsi="Times New Roman" w:cs="Times New Roman" w:eastAsia="Times New Roman"/>
          <w:sz w:val="28"/>
        </w:rPr>
        <w:t>В части оформления — ГОСТ 7.32-2017 «Отчёт о научно-исследовательской работе. Структура и правила оформления», ГОСТ 7.0.5-2008 «Библиографическая ссылка», Положение о порядке подготовки и защиты ВКР бакалавра МГТУ им. Н.Э. Баумана от 12.10.2015.</w:t>
      </w:r>
    </w:p>
    <w:p>
      <w:pPr>
        <w:spacing w:line="360" w:lineRule="auto"/>
        <w:ind w:firstLine="709"/>
        <w:jc w:val="both"/>
      </w:pPr>
      <w:r>
        <w:rPr>
          <w:rFonts w:ascii="Times New Roman" w:hAnsi="Times New Roman" w:cs="Times New Roman" w:eastAsia="Times New Roman"/>
          <w:sz w:val="28"/>
        </w:rPr>
        <w:t>В части содержания — ГОСТ Р 8.563-2009 «Методики (методы) измерений», ГОСТ Р 8.596-2002 «Метрологическое обеспечение измерительных систем», ГОСТ 8.207-76 «Прямые измерения с многократными наблюдениями», ГОСТ 6651-2009 «Термопреобразователи сопротивления из платины, меди и никеля. Общие технические требования и методы испытаний», ГОСТ 8.009-84 «Нормируемые метрологические характеристики средств измерений». Дополнительно учитывается рекомендация JCGM 100:2008 «Guide to the Expression of Uncertainty in Measurement» (GUM) в части композиции неопределённостей измерений.</w:t>
      </w:r>
    </w:p>
    <w:p>
      <w:pPr>
        <w:spacing w:line="360" w:lineRule="auto"/>
        <w:ind w:firstLine="709"/>
        <w:jc w:val="both"/>
      </w:pPr>
      <w:r>
        <w:rPr>
          <w:rFonts w:ascii="Times New Roman" w:hAnsi="Times New Roman" w:cs="Times New Roman" w:eastAsia="Times New Roman"/>
          <w:sz w:val="28"/>
        </w:rPr>
        <w:t>Образовательная компонента работы определяется ФГОС ВО по направлению 12.03.01 «Приборостроение», утверждённым приказом Минобрнауки России от 19.09.2017 № 945 (в редакции от 08.02.2021).</w:t>
      </w:r>
    </w:p>
    <w:p>
      <w:pPr>
        <w:spacing w:line="360" w:lineRule="auto"/>
        <w:ind w:firstLine="709"/>
        <w:jc w:val="left"/>
      </w:pPr>
      <w:r>
        <w:rPr>
          <w:rFonts w:ascii="Times New Roman" w:hAnsi="Times New Roman" w:cs="Times New Roman" w:eastAsia="Times New Roman"/>
          <w:b/>
          <w:sz w:val="28"/>
        </w:rPr>
        <w:t>2.3. Календарный план до защиты</w:t>
      </w:r>
    </w:p>
    <w:p>
      <w:pPr>
        <w:spacing w:line="360" w:lineRule="auto"/>
        <w:ind w:firstLine="709"/>
        <w:jc w:val="both"/>
      </w:pPr>
      <w:r>
        <w:rPr>
          <w:rFonts w:ascii="Times New Roman" w:hAnsi="Times New Roman" w:cs="Times New Roman" w:eastAsia="Times New Roman"/>
          <w:sz w:val="28"/>
        </w:rPr>
        <w:t>Защита ВКР запланирована на период после 18 июня 2026 года. График работ на оставшийся период приведён в таблице 2.</w:t>
      </w:r>
    </w:p>
    <w:p>
      <w:pPr>
        <w:spacing w:line="360" w:lineRule="auto"/>
        <w:jc w:val="left"/>
      </w:pPr>
      <w:r>
        <w:rPr>
          <w:rFonts w:ascii="Times New Roman" w:hAnsi="Times New Roman" w:cs="Times New Roman" w:eastAsia="Times New Roman"/>
          <w:sz w:val="28"/>
        </w:rPr>
        <w:t>Таблица 2 — Календарный план оставшихся работ</w:t>
      </w:r>
    </w:p>
    <w:tbl>
      <w:tblPr>
        <w:tblW w:type="auto" w:w="0"/>
        <w:jc w:val="center"/>
        <w:tblLook w:firstColumn="1" w:firstRow="1" w:lastColumn="0" w:lastRow="0" w:noHBand="0" w:noVBand="1" w:val="04A0"/>
      </w:tblPr>
      <w:tblGrid>
        <w:gridCol w:w="4818"/>
        <w:gridCol w:w="4818"/>
      </w:tblGrid>
      <w:tr>
        <w:tc>
          <w:tcPr>
            <w:tcW w:type="dxa" w:w="4818"/>
            <w:tcBorders>
              <w:top w:val="single" w:sz="4" w:color="000000" w:space="0"/>
              <w:left w:val="single" w:sz="4" w:color="000000" w:space="0"/>
              <w:bottom w:val="single" w:sz="4" w:color="000000" w:space="0"/>
              <w:right w:val="single" w:sz="4" w:color="000000" w:space="0"/>
            </w:tcBorders>
            <w:vAlign w:val="center"/>
          </w:tcPr>
          <w:p>
            <w:pPr>
              <w:jc w:val="center"/>
            </w:pPr>
            <w:r/>
            <w:r>
              <w:rPr>
                <w:rFonts w:ascii="Times New Roman" w:hAnsi="Times New Roman" w:cs="Times New Roman" w:eastAsia="Times New Roman"/>
                <w:b/>
                <w:sz w:val="28"/>
              </w:rPr>
              <w:t>Период</w:t>
            </w:r>
          </w:p>
        </w:tc>
        <w:tc>
          <w:tcPr>
            <w:tcW w:type="dxa" w:w="4818"/>
            <w:tcBorders>
              <w:top w:val="single" w:sz="4" w:color="000000" w:space="0"/>
              <w:left w:val="single" w:sz="4" w:color="000000" w:space="0"/>
              <w:bottom w:val="single" w:sz="4" w:color="000000" w:space="0"/>
              <w:right w:val="single" w:sz="4" w:color="000000" w:space="0"/>
            </w:tcBorders>
            <w:vAlign w:val="center"/>
          </w:tcPr>
          <w:p>
            <w:pPr>
              <w:jc w:val="center"/>
            </w:pPr>
            <w:r/>
            <w:r>
              <w:rPr>
                <w:rFonts w:ascii="Times New Roman" w:hAnsi="Times New Roman" w:cs="Times New Roman" w:eastAsia="Times New Roman"/>
                <w:b/>
                <w:sz w:val="28"/>
              </w:rPr>
              <w:t>Работа</w:t>
            </w:r>
          </w:p>
        </w:tc>
      </w:tr>
      <w:tr>
        <w:tc>
          <w:tcPr>
            <w:tcW w:type="dxa" w:w="4818"/>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2026-05-04…05-17</w:t>
            </w:r>
          </w:p>
        </w:tc>
        <w:tc>
          <w:tcPr>
            <w:tcW w:type="dxa" w:w="4818"/>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Реализация модуля FLV: загрузчик DSL, парсер event-log, матчеры последовательности, временных окон и предикатов, агрегатор вердиктов</w:t>
            </w:r>
          </w:p>
        </w:tc>
      </w:tr>
      <w:tr>
        <w:tc>
          <w:tcPr>
            <w:tcW w:type="dxa" w:w="4818"/>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2026-05-18…05-24</w:t>
            </w:r>
          </w:p>
        </w:tc>
        <w:tc>
          <w:tcPr>
            <w:tcW w:type="dxa" w:w="4818"/>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Реализация LLM-ролей: извлечение спецификации, объяснение вердиктов, антигаллюцинационный фильтр</w:t>
            </w:r>
          </w:p>
        </w:tc>
      </w:tr>
      <w:tr>
        <w:tc>
          <w:tcPr>
            <w:tcW w:type="dxa" w:w="4818"/>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2026-05-25…05-30</w:t>
            </w:r>
          </w:p>
        </w:tc>
        <w:tc>
          <w:tcPr>
            <w:tcW w:type="dxa" w:w="4818"/>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Серии экспериментов: 100+ прогонов эталона и инъекций, расчёт метрик, статистическая обработка</w:t>
            </w:r>
          </w:p>
        </w:tc>
      </w:tr>
      <w:tr>
        <w:tc>
          <w:tcPr>
            <w:tcW w:type="dxa" w:w="4818"/>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2026-05-31…06-11</w:t>
            </w:r>
          </w:p>
        </w:tc>
        <w:tc>
          <w:tcPr>
            <w:tcW w:type="dxa" w:w="4818"/>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Написание пояснительной записки: главы 3-4, заключение, оформление по ГОСТ</w:t>
            </w:r>
          </w:p>
        </w:tc>
      </w:tr>
      <w:tr>
        <w:tc>
          <w:tcPr>
            <w:tcW w:type="dxa" w:w="4818"/>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2026-06-12…06-15</w:t>
            </w:r>
          </w:p>
        </w:tc>
        <w:tc>
          <w:tcPr>
            <w:tcW w:type="dxa" w:w="4818"/>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Сдача на нормоконтроль, антиплагиат, предзащита</w:t>
            </w:r>
          </w:p>
        </w:tc>
      </w:tr>
      <w:tr>
        <w:tc>
          <w:tcPr>
            <w:tcW w:type="dxa" w:w="4818"/>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2026-06-16…06-18</w:t>
            </w:r>
          </w:p>
        </w:tc>
        <w:tc>
          <w:tcPr>
            <w:tcW w:type="dxa" w:w="4818"/>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Подготовка презентации и доклада</w:t>
            </w:r>
          </w:p>
        </w:tc>
      </w:tr>
      <w:tr>
        <w:tc>
          <w:tcPr>
            <w:tcW w:type="dxa" w:w="4818"/>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после 2026-06-18</w:t>
            </w:r>
          </w:p>
        </w:tc>
        <w:tc>
          <w:tcPr>
            <w:tcW w:type="dxa" w:w="4818"/>
            <w:tcBorders>
              <w:top w:val="single" w:sz="4" w:color="000000" w:space="0"/>
              <w:left w:val="single" w:sz="4" w:color="000000" w:space="0"/>
              <w:bottom w:val="single" w:sz="4" w:color="000000" w:space="0"/>
              <w:right w:val="single" w:sz="4" w:color="000000" w:space="0"/>
            </w:tcBorders>
            <w:vAlign w:val="top"/>
          </w:tcPr>
          <w:p>
            <w:pPr>
              <w:jc w:val="left"/>
            </w:pPr>
            <w:r/>
            <w:r>
              <w:rPr>
                <w:rFonts w:ascii="Times New Roman" w:hAnsi="Times New Roman" w:cs="Times New Roman" w:eastAsia="Times New Roman"/>
                <w:sz w:val="28"/>
              </w:rPr>
              <w:t>Защита ВКР</w:t>
            </w:r>
          </w:p>
        </w:tc>
      </w:tr>
    </w:tbl>
    <w:p>
      <w:pPr>
        <w:spacing w:line="360" w:lineRule="auto"/>
        <w:jc w:val="center"/>
      </w:pPr>
      <w:r>
        <w:rPr>
          <w:rFonts w:ascii="Times New Roman" w:hAnsi="Times New Roman" w:cs="Times New Roman" w:eastAsia="Times New Roman"/>
          <w:b/>
          <w:sz w:val="28"/>
        </w:rPr>
        <w:t>3. ОБОСНОВАНИЕ ЭКСПЕРИМЕНТАЛЬНОЙ БАЗЫ</w:t>
      </w:r>
    </w:p>
    <w:p>
      <w:pPr>
        <w:spacing w:line="360" w:lineRule="auto"/>
        <w:ind w:firstLine="709"/>
        <w:jc w:val="left"/>
      </w:pPr>
      <w:r>
        <w:rPr>
          <w:rFonts w:ascii="Times New Roman" w:hAnsi="Times New Roman" w:cs="Times New Roman" w:eastAsia="Times New Roman"/>
          <w:b/>
          <w:sz w:val="28"/>
        </w:rPr>
        <w:t>3.1. Использование программного симулятора как преемственность результатов практики</w:t>
      </w:r>
    </w:p>
    <w:p>
      <w:pPr>
        <w:spacing w:line="360" w:lineRule="auto"/>
        <w:ind w:firstLine="709"/>
        <w:jc w:val="both"/>
      </w:pPr>
      <w:r>
        <w:rPr>
          <w:rFonts w:ascii="Times New Roman" w:hAnsi="Times New Roman" w:cs="Times New Roman" w:eastAsia="Times New Roman"/>
          <w:sz w:val="28"/>
        </w:rPr>
        <w:t>Экспериментальная часть работы опирается на программный симулятор измерительного стенда S1 — термокамеры со стабилизацией температуры и чувствительным элементом PT100. Симулятор разработан в среде Python 3.11 с применением профессиональных научно-инженерных библиотек: численного интегрирования обыкновенных дифференциальных уравнений (</w:t>
      </w:r>
      <w:r>
        <w:rPr>
          <w:rFonts w:ascii="Consolas" w:hAnsi="Consolas" w:cs="Times New Roman" w:eastAsia="Times New Roman"/>
          <w:sz w:val="28"/>
        </w:rPr>
        <w:t>scipy.integrate.solve_ivp</w:t>
      </w:r>
      <w:r>
        <w:rPr>
          <w:rFonts w:ascii="Times New Roman" w:hAnsi="Times New Roman" w:cs="Times New Roman" w:eastAsia="Times New Roman"/>
          <w:sz w:val="28"/>
        </w:rPr>
        <w:t>), дискретно-событийного моделирования (</w:t>
      </w:r>
      <w:r>
        <w:rPr>
          <w:rFonts w:ascii="Consolas" w:hAnsi="Consolas" w:cs="Times New Roman" w:eastAsia="Times New Roman"/>
          <w:sz w:val="28"/>
        </w:rPr>
        <w:t>simpy</w:t>
      </w:r>
      <w:r>
        <w:rPr>
          <w:rFonts w:ascii="Times New Roman" w:hAnsi="Times New Roman" w:cs="Times New Roman" w:eastAsia="Times New Roman"/>
          <w:sz w:val="28"/>
        </w:rPr>
        <w:t>), строгой работы с физическими единицами измерения (</w:t>
      </w:r>
      <w:r>
        <w:rPr>
          <w:rFonts w:ascii="Consolas" w:hAnsi="Consolas" w:cs="Times New Roman" w:eastAsia="Times New Roman"/>
          <w:sz w:val="28"/>
        </w:rPr>
        <w:t>pint</w:t>
      </w:r>
      <w:r>
        <w:rPr>
          <w:rFonts w:ascii="Times New Roman" w:hAnsi="Times New Roman" w:cs="Times New Roman" w:eastAsia="Times New Roman"/>
          <w:sz w:val="28"/>
        </w:rPr>
        <w:t>), автоматической пропагации погрешностей (</w:t>
      </w:r>
      <w:r>
        <w:rPr>
          <w:rFonts w:ascii="Consolas" w:hAnsi="Consolas" w:cs="Times New Roman" w:eastAsia="Times New Roman"/>
          <w:sz w:val="28"/>
        </w:rPr>
        <w:t>uncertainties</w:t>
      </w:r>
      <w:r>
        <w:rPr>
          <w:rFonts w:ascii="Times New Roman" w:hAnsi="Times New Roman" w:cs="Times New Roman" w:eastAsia="Times New Roman"/>
          <w:sz w:val="28"/>
        </w:rPr>
        <w:t>), теории автоматического управления (</w:t>
      </w:r>
      <w:r>
        <w:rPr>
          <w:rFonts w:ascii="Consolas" w:hAnsi="Consolas" w:cs="Times New Roman" w:eastAsia="Times New Roman"/>
          <w:sz w:val="28"/>
        </w:rPr>
        <w:t>python-control</w:t>
      </w:r>
      <w:r>
        <w:rPr>
          <w:rFonts w:ascii="Times New Roman" w:hAnsi="Times New Roman" w:cs="Times New Roman" w:eastAsia="Times New Roman"/>
          <w:sz w:val="28"/>
        </w:rPr>
        <w:t>). Симулятор реализует физически адекватную модель: теплопередачу первого порядка с окрашенным гауссовским шумом, нелинейную характеристику R(T) PT100 по ГОСТ 6651-2009, квантование 16-битного аналого-цифрового преобразователя, тепловую инерцию чувствительного элемента, дрейф нуля АЦП, замкнутый контур регулирования с пропорционально-интегрально-дифференциальным регулятором.</w:t>
      </w:r>
    </w:p>
    <w:p>
      <w:pPr>
        <w:spacing w:line="360" w:lineRule="auto"/>
        <w:ind w:firstLine="709"/>
        <w:jc w:val="both"/>
      </w:pPr>
      <w:r>
        <w:rPr>
          <w:rFonts w:ascii="Times New Roman" w:hAnsi="Times New Roman" w:cs="Times New Roman" w:eastAsia="Times New Roman"/>
          <w:sz w:val="28"/>
        </w:rPr>
        <w:t>Разработка симулятора выполнена в рамках преддипломной практики весеннего семестра 2025/26 учебного года и зачётной части научно-исследовательской работы студента; этот результат используется в настоящей ВКР как инструмент проведения экспериментального исследования метода FLV. Преемственность результатов всех видов практик и научно-исследовательской работы студента с темой ВКР прямо предусмотрена Положением о порядке подготовки и защиты ВКР бакалавра МГТУ им. Н.Э. Баумана от 12.10.2015.</w:t>
      </w:r>
    </w:p>
    <w:p>
      <w:pPr>
        <w:spacing w:line="360" w:lineRule="auto"/>
        <w:ind w:firstLine="709"/>
        <w:jc w:val="left"/>
      </w:pPr>
      <w:r>
        <w:rPr>
          <w:rFonts w:ascii="Times New Roman" w:hAnsi="Times New Roman" w:cs="Times New Roman" w:eastAsia="Times New Roman"/>
          <w:b/>
          <w:sz w:val="28"/>
        </w:rPr>
        <w:t>3.2. Метрологическая корректность модели</w:t>
      </w:r>
    </w:p>
    <w:p>
      <w:pPr>
        <w:spacing w:line="360" w:lineRule="auto"/>
        <w:ind w:firstLine="709"/>
        <w:jc w:val="both"/>
      </w:pPr>
      <w:r>
        <w:rPr>
          <w:rFonts w:ascii="Times New Roman" w:hAnsi="Times New Roman" w:cs="Times New Roman" w:eastAsia="Times New Roman"/>
          <w:sz w:val="28"/>
        </w:rPr>
        <w:t>Параметры симулятора полностью согласованы с действующей нормативной базой. Коэффициенты квадратичной аппроксимации R(T) платинового чувствительного элемента взяты по формуле Каллендар–Ван Дюссена (ГОСТ 6651-2009 п. 5.1.1) и обеспечивают нормативное соотношение W₁₀₀ = R(100 °C) / R(0 °C) = 1,385, соответствующее температурному коэффициенту α₀ = 0,00385 °C⁻¹ по ГОСТ 6651-2009 и IEC 60751. Допуски чувствительного элемента классов A и B заданы по таблице A.1 ГОСТ 6651-2009. Самонагрев чувствительного элемента от тока возбуждения учтён согласно пункту 5.4 этого же стандарта.</w:t>
      </w:r>
    </w:p>
    <w:p>
      <w:pPr>
        <w:spacing w:line="360" w:lineRule="auto"/>
        <w:ind w:firstLine="709"/>
        <w:jc w:val="both"/>
      </w:pPr>
      <w:r>
        <w:rPr>
          <w:rFonts w:ascii="Times New Roman" w:hAnsi="Times New Roman" w:cs="Times New Roman" w:eastAsia="Times New Roman"/>
          <w:sz w:val="28"/>
        </w:rPr>
        <w:t>Бюджет неопределённости результата измерения сформирован по ГОСТ 8.207-76 и Руководству JCGM 100:2008. В составе бюджета рассматриваются стандартные неопределённости класса A (стандартное отклонение среднего по выборке отсчётов в режиме MEASURE), класса B (допуск чувствительного элемента, самонагрев, квантование АЦП, шум АЦП, дрейф нуля). Суммарная стандартная неопределённость рассчитывается как корень из суммы квадратов некоррелированных составляющих. Расширенная неопределённость при доверительной вероятности 0,95 определяется через коэффициент Стьюдента t_{0,95, n−1} в соответствии с пунктом 3.2 ГОСТ 8.207-76; для выборки объёмом 20 наблюдений коэффициент составляет 2,093. В сводном отчёте о неопределённости явно диагностируется отношение систематической и случайной составляющих (ГОСТ 8.207-76 п. 5).</w:t>
      </w:r>
    </w:p>
    <w:p>
      <w:pPr>
        <w:spacing w:line="360" w:lineRule="auto"/>
        <w:ind w:firstLine="709"/>
        <w:jc w:val="left"/>
      </w:pPr>
      <w:r>
        <w:rPr>
          <w:rFonts w:ascii="Times New Roman" w:hAnsi="Times New Roman" w:cs="Times New Roman" w:eastAsia="Times New Roman"/>
          <w:b/>
          <w:sz w:val="28"/>
        </w:rPr>
        <w:t>3.3. Воспроизводимость и переносимость</w:t>
      </w:r>
    </w:p>
    <w:p>
      <w:pPr>
        <w:spacing w:line="360" w:lineRule="auto"/>
        <w:ind w:firstLine="709"/>
        <w:jc w:val="both"/>
      </w:pPr>
      <w:r>
        <w:rPr>
          <w:rFonts w:ascii="Times New Roman" w:hAnsi="Times New Roman" w:cs="Times New Roman" w:eastAsia="Times New Roman"/>
          <w:sz w:val="28"/>
        </w:rPr>
        <w:t>Все случайные процессы в симуляторе параметризованы единым зерном генератора (</w:t>
      </w:r>
      <w:r>
        <w:rPr>
          <w:rFonts w:ascii="Consolas" w:hAnsi="Consolas" w:cs="Times New Roman" w:eastAsia="Times New Roman"/>
          <w:sz w:val="28"/>
        </w:rPr>
        <w:t>seed</w:t>
      </w:r>
      <w:r>
        <w:rPr>
          <w:rFonts w:ascii="Times New Roman" w:hAnsi="Times New Roman" w:cs="Times New Roman" w:eastAsia="Times New Roman"/>
          <w:sz w:val="28"/>
        </w:rPr>
        <w:t xml:space="preserve">). При фиксированном зерне прогон полностью воспроизводим. В каждый журнал событий записываются версия симулятора, версия формата журнала и зерно, что позволяет воспроизвести любой результат третьим лицом. Связь симулятора с модулем функционально-логической верификации обеспечена только через формат журнала событий (JSONL по схеме </w:t>
      </w:r>
      <w:r>
        <w:rPr>
          <w:rFonts w:ascii="Consolas" w:hAnsi="Consolas" w:cs="Times New Roman" w:eastAsia="Times New Roman"/>
          <w:sz w:val="28"/>
        </w:rPr>
        <w:t>event_log.schema.json</w:t>
      </w:r>
      <w:r>
        <w:rPr>
          <w:rFonts w:ascii="Times New Roman" w:hAnsi="Times New Roman" w:cs="Times New Roman" w:eastAsia="Times New Roman"/>
          <w:sz w:val="28"/>
        </w:rPr>
        <w:t>), что допускает замену симулятора на реальный измерительный стенд или эмулятор микроконтроллера (Wokwi, Velxio) без изменения модуля верификации.</w:t>
      </w:r>
    </w:p>
    <w:p>
      <w:pPr>
        <w:spacing w:line="360" w:lineRule="auto"/>
        <w:jc w:val="center"/>
      </w:pPr>
      <w:r>
        <w:rPr>
          <w:rFonts w:ascii="Times New Roman" w:hAnsi="Times New Roman" w:cs="Times New Roman" w:eastAsia="Times New Roman"/>
          <w:b/>
          <w:sz w:val="28"/>
        </w:rPr>
        <w:t>4. ТЕКУЩИЙ ОБЪЁМ ПРОДЕЛАННОЙ РАБОТЫ</w:t>
      </w:r>
    </w:p>
    <w:p>
      <w:pPr>
        <w:spacing w:line="360" w:lineRule="auto"/>
        <w:ind w:firstLine="709"/>
        <w:jc w:val="left"/>
      </w:pPr>
      <w:r>
        <w:rPr>
          <w:rFonts w:ascii="Times New Roman" w:hAnsi="Times New Roman" w:cs="Times New Roman" w:eastAsia="Times New Roman"/>
          <w:b/>
          <w:sz w:val="28"/>
        </w:rPr>
        <w:t>4.1. База источников</w:t>
      </w:r>
    </w:p>
    <w:p>
      <w:pPr>
        <w:spacing w:line="360" w:lineRule="auto"/>
        <w:ind w:firstLine="709"/>
        <w:jc w:val="both"/>
      </w:pPr>
      <w:r>
        <w:rPr>
          <w:rFonts w:ascii="Times New Roman" w:hAnsi="Times New Roman" w:cs="Times New Roman" w:eastAsia="Times New Roman"/>
          <w:sz w:val="28"/>
        </w:rPr>
        <w:t>Подготовлен список из 30 источников. В составе списка семь государственных стандартов в полнотекстовом виде (ГОСТ 7.32-2017, ГОСТ 7.0.5-2008, ГОСТ 2.105-95, ГОСТ Р 8.563-2009, ГОСТ Р 8.596-2002, ГОСТ 8.207-76, ГОСТ 6651-2009), Федеральный государственный образовательный стандарт высшего образования по направлению 12.03.01 в действующей редакции, локальное Положение о ВКРБ МГТУ. Десять русскоязычных академических работ покрывают темы метрологической надёжности информационно-измерительных систем, обработки результатов многократных измерений, применения LabVIEW для построения систем мониторинга, использования теории конечных автоматов в моделировании сложных систем; источники получены преимущественно через CyberLeninka (открытый доступ, лицензия CC BY) и из ЭБС МГТУ. Десять иностранных академических работ охватывают теорию тайм-автоматов (Alur, Dill, 1994), Signal Temporal Logic (Maler, Nickovic, 2004; Donzé, 2010), runtime-верификацию (Bartocci и др., 2018; Reinbacher и др., 2014), открытые программные инструменты RTAMT (Nickovic, Yamaguchi, 2020), а также онлайн-мониторинг STL с количественной семантикой (Deshmukh и др., 2017). Дополнительно в состав библиографии включены три учебно-методических пособия МГТУ им. Н.Э. Баумана из перечня учебных материалов специальности 12.03.01/31. Все источники проверены на соответствие действующему законодательству Российской Федерации в части реестров иностранных агентов, нежелательных организаций и экстремистских материалов.</w:t>
      </w:r>
    </w:p>
    <w:p>
      <w:pPr>
        <w:spacing w:line="360" w:lineRule="auto"/>
        <w:ind w:firstLine="709"/>
        <w:jc w:val="left"/>
      </w:pPr>
      <w:r>
        <w:rPr>
          <w:rFonts w:ascii="Times New Roman" w:hAnsi="Times New Roman" w:cs="Times New Roman" w:eastAsia="Times New Roman"/>
          <w:b/>
          <w:sz w:val="28"/>
        </w:rPr>
        <w:t>4.2. Спецификация и архитектура</w:t>
      </w:r>
    </w:p>
    <w:p>
      <w:pPr>
        <w:spacing w:line="360" w:lineRule="auto"/>
        <w:ind w:firstLine="709"/>
        <w:jc w:val="both"/>
      </w:pPr>
      <w:r>
        <w:rPr>
          <w:rFonts w:ascii="Times New Roman" w:hAnsi="Times New Roman" w:cs="Times New Roman" w:eastAsia="Times New Roman"/>
          <w:sz w:val="28"/>
        </w:rPr>
        <w:t xml:space="preserve">Подготовлен полный пакет спецификационных артефактов: предметно-ориентированный язык описания нормативной модели измерительного процесса (YAML), JSON Schema для валидации и Python-валидатор </w:t>
      </w:r>
      <w:r>
        <w:rPr>
          <w:rFonts w:ascii="Consolas" w:hAnsi="Consolas" w:cs="Times New Roman" w:eastAsia="Times New Roman"/>
          <w:sz w:val="28"/>
        </w:rPr>
        <w:t>validate.py</w:t>
      </w:r>
      <w:r>
        <w:rPr>
          <w:rFonts w:ascii="Times New Roman" w:hAnsi="Times New Roman" w:cs="Times New Roman" w:eastAsia="Times New Roman"/>
          <w:sz w:val="28"/>
        </w:rPr>
        <w:t>, формат журнала событий (JSONL) с сопровождающей JSON Schema, документ формальной модели с математической нотацией и пошаговым примером прогона, каталог семи кодов нарушений с привязкой к пунктам нормативных документов и сценариям инъекций, программная архитектура модуля функционально-логической верификации с цветовым разделением LLM-компонент и детерминированного ядра, архитектура программного симулятора стенда. Дополнительно подготовлены три архитектурные записи о принятых проектных решениях (ADR), фиксирующие выбор инструментов эмуляции микроконтроллера, роль большой языковой модели в гибридной архитектуре и инженерный стек симулятора.</w:t>
      </w:r>
    </w:p>
    <w:p>
      <w:pPr>
        <w:spacing w:line="360" w:lineRule="auto"/>
        <w:ind w:firstLine="709"/>
        <w:jc w:val="left"/>
      </w:pPr>
      <w:r>
        <w:rPr>
          <w:rFonts w:ascii="Times New Roman" w:hAnsi="Times New Roman" w:cs="Times New Roman" w:eastAsia="Times New Roman"/>
          <w:b/>
          <w:sz w:val="28"/>
        </w:rPr>
        <w:t>4.3. Программный симулятор</w:t>
      </w:r>
    </w:p>
    <w:p>
      <w:pPr>
        <w:spacing w:line="360" w:lineRule="auto"/>
        <w:ind w:firstLine="709"/>
        <w:jc w:val="both"/>
      </w:pPr>
      <w:r>
        <w:rPr>
          <w:rFonts w:ascii="Times New Roman" w:hAnsi="Times New Roman" w:cs="Times New Roman" w:eastAsia="Times New Roman"/>
          <w:sz w:val="28"/>
        </w:rPr>
        <w:t xml:space="preserve">Реализован программный симулятор стенда S1 объёмом около двух тысяч строк кода Python 3.11. В состав симулятора входят: модуль конфигурации с физическими параметрами, оформленными через </w:t>
      </w:r>
      <w:r>
        <w:rPr>
          <w:rFonts w:ascii="Consolas" w:hAnsi="Consolas" w:cs="Times New Roman" w:eastAsia="Times New Roman"/>
          <w:sz w:val="28"/>
        </w:rPr>
        <w:t>pint</w:t>
      </w:r>
      <w:r>
        <w:rPr>
          <w:rFonts w:ascii="Times New Roman" w:hAnsi="Times New Roman" w:cs="Times New Roman" w:eastAsia="Times New Roman"/>
          <w:sz w:val="28"/>
        </w:rPr>
        <w:t xml:space="preserve">; модуль теплопередачи с интегрированием через </w:t>
      </w:r>
      <w:r>
        <w:rPr>
          <w:rFonts w:ascii="Consolas" w:hAnsi="Consolas" w:cs="Times New Roman" w:eastAsia="Times New Roman"/>
          <w:sz w:val="28"/>
        </w:rPr>
        <w:t>scipy.integrate.solve_ivp</w:t>
      </w:r>
      <w:r>
        <w:rPr>
          <w:rFonts w:ascii="Times New Roman" w:hAnsi="Times New Roman" w:cs="Times New Roman" w:eastAsia="Times New Roman"/>
          <w:sz w:val="28"/>
        </w:rPr>
        <w:t xml:space="preserve"> методом RK45 и контролем локальной ошибки 10⁻⁶ относительной точности; модуль метрологической неопределённости с разделением составляющих класса A и класса B и опциональным расчётом коэффициента Стьюдента; модуль чувствительного элемента и аналого-цифрового преобразователя с тепловой инерцией, шумом и дрейфом; модуль контура управления с пропорционально-интегрально-дифференциальным регулятором, поддержкой антинасыщения и средствами анализа устойчивости (передаточные функции, диаграммы Боде, запасы устойчивости через библиотеку </w:t>
      </w:r>
      <w:r>
        <w:rPr>
          <w:rFonts w:ascii="Consolas" w:hAnsi="Consolas" w:cs="Times New Roman" w:eastAsia="Times New Roman"/>
          <w:sz w:val="28"/>
        </w:rPr>
        <w:t>python-control</w:t>
      </w:r>
      <w:r>
        <w:rPr>
          <w:rFonts w:ascii="Times New Roman" w:hAnsi="Times New Roman" w:cs="Times New Roman" w:eastAsia="Times New Roman"/>
          <w:sz w:val="28"/>
        </w:rPr>
        <w:t xml:space="preserve">); исполнитель сценария на основе библиотеки дискретно-событийного моделирования </w:t>
      </w:r>
      <w:r>
        <w:rPr>
          <w:rFonts w:ascii="Consolas" w:hAnsi="Consolas" w:cs="Times New Roman" w:eastAsia="Times New Roman"/>
          <w:sz w:val="28"/>
        </w:rPr>
        <w:t>simpy</w:t>
      </w:r>
      <w:r>
        <w:rPr>
          <w:rFonts w:ascii="Times New Roman" w:hAnsi="Times New Roman" w:cs="Times New Roman" w:eastAsia="Times New Roman"/>
          <w:sz w:val="28"/>
        </w:rPr>
        <w:t xml:space="preserve"> с восемью точками расширения для инжекции нарушений; инжектор нарушений семи типов, покрывающий каждый код из каталога нарушений; журналист событий с атомарной построчной записью и принудительной синхронизацией на критических событиях; интерфейс командной строки с поддержкой одиночных и пакетных прогонов и накоплением метаданных в формате CSV; интерактивная трёхмерная визуализация в браузере с использованием </w:t>
      </w:r>
      <w:r>
        <w:rPr>
          <w:rFonts w:ascii="Consolas" w:hAnsi="Consolas" w:cs="Times New Roman" w:eastAsia="Times New Roman"/>
          <w:sz w:val="28"/>
        </w:rPr>
        <w:t>pyvista</w:t>
      </w:r>
      <w:r>
        <w:rPr>
          <w:rFonts w:ascii="Times New Roman" w:hAnsi="Times New Roman" w:cs="Times New Roman" w:eastAsia="Times New Roman"/>
          <w:sz w:val="28"/>
        </w:rPr>
        <w:t xml:space="preserve"> и </w:t>
      </w:r>
      <w:r>
        <w:rPr>
          <w:rFonts w:ascii="Consolas" w:hAnsi="Consolas" w:cs="Times New Roman" w:eastAsia="Times New Roman"/>
          <w:sz w:val="28"/>
        </w:rPr>
        <w:t>trame</w:t>
      </w:r>
      <w:r>
        <w:rPr>
          <w:rFonts w:ascii="Times New Roman" w:hAnsi="Times New Roman" w:cs="Times New Roman" w:eastAsia="Times New Roman"/>
          <w:sz w:val="28"/>
        </w:rPr>
        <w:t xml:space="preserve">; интерактивный дашборд с живым графиком и индикатором состояния автомата на основе </w:t>
      </w:r>
      <w:r>
        <w:rPr>
          <w:rFonts w:ascii="Consolas" w:hAnsi="Consolas" w:cs="Times New Roman" w:eastAsia="Times New Roman"/>
          <w:sz w:val="28"/>
        </w:rPr>
        <w:t>plotly.dash</w:t>
      </w:r>
      <w:r>
        <w:rPr>
          <w:rFonts w:ascii="Times New Roman" w:hAnsi="Times New Roman" w:cs="Times New Roman" w:eastAsia="Times New Roman"/>
          <w:sz w:val="28"/>
        </w:rPr>
        <w:t xml:space="preserve">; модуль публикационных графиков с использованием </w:t>
      </w:r>
      <w:r>
        <w:rPr>
          <w:rFonts w:ascii="Consolas" w:hAnsi="Consolas" w:cs="Times New Roman" w:eastAsia="Times New Roman"/>
          <w:sz w:val="28"/>
        </w:rPr>
        <w:t>matplotlib</w:t>
      </w:r>
      <w:r>
        <w:rPr>
          <w:rFonts w:ascii="Times New Roman" w:hAnsi="Times New Roman" w:cs="Times New Roman" w:eastAsia="Times New Roman"/>
          <w:sz w:val="28"/>
        </w:rPr>
        <w:t xml:space="preserve"> и </w:t>
      </w:r>
      <w:r>
        <w:rPr>
          <w:rFonts w:ascii="Consolas" w:hAnsi="Consolas" w:cs="Times New Roman" w:eastAsia="Times New Roman"/>
          <w:sz w:val="28"/>
        </w:rPr>
        <w:t>seaborn</w:t>
      </w:r>
      <w:r>
        <w:rPr>
          <w:rFonts w:ascii="Times New Roman" w:hAnsi="Times New Roman" w:cs="Times New Roman" w:eastAsia="Times New Roman"/>
          <w:sz w:val="28"/>
        </w:rPr>
        <w:t xml:space="preserve">. Юнит- и интеграционные тесты в количестве более тридцати штук покрывают все ключевые модули и помечены маркерами </w:t>
      </w:r>
      <w:r>
        <w:rPr>
          <w:rFonts w:ascii="Consolas" w:hAnsi="Consolas" w:cs="Times New Roman" w:eastAsia="Times New Roman"/>
          <w:sz w:val="28"/>
        </w:rPr>
        <w:t>unit</w:t>
      </w:r>
      <w:r>
        <w:rPr>
          <w:rFonts w:ascii="Times New Roman" w:hAnsi="Times New Roman" w:cs="Times New Roman" w:eastAsia="Times New Roman"/>
          <w:sz w:val="28"/>
        </w:rPr>
        <w:t xml:space="preserve"> и </w:t>
      </w:r>
      <w:r>
        <w:rPr>
          <w:rFonts w:ascii="Consolas" w:hAnsi="Consolas" w:cs="Times New Roman" w:eastAsia="Times New Roman"/>
          <w:sz w:val="28"/>
        </w:rPr>
        <w:t>integration</w:t>
      </w:r>
      <w:r>
        <w:rPr>
          <w:rFonts w:ascii="Times New Roman" w:hAnsi="Times New Roman" w:cs="Times New Roman" w:eastAsia="Times New Roman"/>
          <w:sz w:val="28"/>
        </w:rPr>
        <w:t xml:space="preserve"> фреймворка </w:t>
      </w:r>
      <w:r>
        <w:rPr>
          <w:rFonts w:ascii="Consolas" w:hAnsi="Consolas" w:cs="Times New Roman" w:eastAsia="Times New Roman"/>
          <w:sz w:val="28"/>
        </w:rPr>
        <w:t>pytest</w:t>
      </w:r>
      <w:r>
        <w:rPr>
          <w:rFonts w:ascii="Times New Roman" w:hAnsi="Times New Roman" w:cs="Times New Roman" w:eastAsia="Times New Roman"/>
          <w:sz w:val="28"/>
        </w:rPr>
        <w:t>.</w:t>
      </w:r>
    </w:p>
    <w:p>
      <w:pPr>
        <w:spacing w:line="360" w:lineRule="auto"/>
        <w:jc w:val="center"/>
      </w:pPr>
      <w:r>
        <w:rPr>
          <w:rFonts w:ascii="Times New Roman" w:hAnsi="Times New Roman" w:cs="Times New Roman" w:eastAsia="Times New Roman"/>
          <w:b/>
          <w:sz w:val="28"/>
        </w:rPr>
        <w:t>5. ЗАПРОСЫ НА СОГЛАСОВАНИЕ С НАУЧНЫМ РУКОВОДИТЕЛЕМ</w:t>
      </w:r>
    </w:p>
    <w:p>
      <w:pPr>
        <w:spacing w:line="360" w:lineRule="auto"/>
        <w:ind w:firstLine="709"/>
        <w:jc w:val="both"/>
      </w:pPr>
      <w:r>
        <w:rPr>
          <w:rFonts w:ascii="Times New Roman" w:hAnsi="Times New Roman" w:cs="Times New Roman" w:eastAsia="Times New Roman"/>
          <w:sz w:val="28"/>
        </w:rPr>
        <w:t>В завершение настоящего отчёта формулируются вопросы, требующие согласования с научным руководителем.</w:t>
      </w:r>
    </w:p>
    <w:p>
      <w:pPr>
        <w:spacing w:line="360" w:lineRule="auto"/>
        <w:ind w:firstLine="709"/>
        <w:jc w:val="both"/>
      </w:pPr>
      <w:r>
        <w:rPr>
          <w:rFonts w:ascii="Times New Roman" w:hAnsi="Times New Roman" w:cs="Times New Roman" w:eastAsia="Times New Roman"/>
          <w:sz w:val="28"/>
        </w:rPr>
        <w:t>Первое — подтверждение принятого позиционирования метода FLV как гибридной LLM-формальной системы с использованием большой языковой модели через сервис OpenRouter и пятёркой моделей разных поставщиков (Gemini Flash 3, GPT 5.4, Claude Sonnet 4.6, DeepSeek V4 Flash, Qwen3.6 Flash) для оценки качества извлечения спецификации.</w:t>
      </w:r>
    </w:p>
    <w:p>
      <w:pPr>
        <w:spacing w:line="360" w:lineRule="auto"/>
        <w:ind w:firstLine="709"/>
        <w:jc w:val="both"/>
      </w:pPr>
      <w:r>
        <w:rPr>
          <w:rFonts w:ascii="Times New Roman" w:hAnsi="Times New Roman" w:cs="Times New Roman" w:eastAsia="Times New Roman"/>
          <w:sz w:val="28"/>
        </w:rPr>
        <w:t>Второе — подтверждение допустимости использования программного симулятора стенда S1 как основной экспериментальной базы работы, с учётом его разработки в рамках преддипломной практики и научно-исследовательской работы студента и согласно Положению о ВКРБ МГТУ от 12.10.2015.</w:t>
      </w:r>
    </w:p>
    <w:p>
      <w:pPr>
        <w:spacing w:line="360" w:lineRule="auto"/>
        <w:ind w:firstLine="709"/>
        <w:jc w:val="both"/>
      </w:pPr>
      <w:r>
        <w:rPr>
          <w:rFonts w:ascii="Times New Roman" w:hAnsi="Times New Roman" w:cs="Times New Roman" w:eastAsia="Times New Roman"/>
          <w:sz w:val="28"/>
        </w:rPr>
        <w:t>Третье — согласование возможности дополнить экспериментальную часть демонстрационной реализацией методики на эмуляторе микроконтроллера (Wokwi, Velxio) в случае наличия запаса времени, как иллюстрации переносимости метода на встраиваемые системы.</w:t>
      </w:r>
    </w:p>
    <w:p>
      <w:pPr>
        <w:spacing w:line="360" w:lineRule="auto"/>
        <w:ind w:firstLine="709"/>
        <w:jc w:val="both"/>
      </w:pPr>
      <w:r>
        <w:rPr>
          <w:rFonts w:ascii="Times New Roman" w:hAnsi="Times New Roman" w:cs="Times New Roman" w:eastAsia="Times New Roman"/>
          <w:sz w:val="28"/>
        </w:rPr>
        <w:t>Четвёртое — согласование шаблона оформления пояснительной записки. Текущая работа выполняется по структурному шаблону кафедры К4 Космического факультета (соседняя кафедра в составе того же факультета) с учётом ГОСТ 7.32-2017 и Положения о ВКРБ. Принимается любое уточнение со стороны кафедры К2.</w:t>
      </w:r>
    </w:p>
    <w:p>
      <w:pPr>
        <w:spacing w:line="360" w:lineRule="auto"/>
        <w:ind w:firstLine="709"/>
        <w:jc w:val="both"/>
      </w:pPr>
      <w:r>
        <w:rPr>
          <w:rFonts w:ascii="Times New Roman" w:hAnsi="Times New Roman" w:cs="Times New Roman" w:eastAsia="Times New Roman"/>
          <w:sz w:val="28"/>
        </w:rPr>
        <w:t>Пятое — согласование примерной даты предзащиты в первой декаде июня 2026 года для координации сдачи пояснительной записки на нормоконтроль.</w:t>
      </w:r>
    </w:p>
    <w:p>
      <w:pPr>
        <w:spacing w:line="360" w:lineRule="auto"/>
        <w:ind w:firstLine="709"/>
        <w:jc w:val="both"/>
      </w:pPr>
      <w:r>
        <w:rPr>
          <w:rFonts w:ascii="Times New Roman" w:hAnsi="Times New Roman" w:cs="Times New Roman" w:eastAsia="Times New Roman"/>
          <w:sz w:val="28"/>
        </w:rPr>
        <w:t>Промежуточный отчёт подготовлен с целью продемонстрировать проработанность темы, согласовать ключевые проектные решения и получить допуск к продолжению работ по реализации модуля функционально-логической верификации и проведению экспериментального исследования.</w:t>
      </w:r>
    </w:p>
    <w:sectPr>
      <w:type w:val="nextPage"/>
      <w:pgSz w:w="11906" w:h="16838"/>
      <w:pgMar w:left="1418" w:right="851"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ambria">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Arial">
    <w:charset w:val="cc" w:characterSet="windows-1251"/>
    <w:family w:val="swiss"/>
    <w:pitch w:val="variable"/>
  </w:font>
  <w:font w:name="Arial">
    <w:altName w:val="Bold"/>
    <w:charset w:val="cc" w:characterSet="windows-125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2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paragraph" w:styleId="Heading2">
    <w:name w:val="heading 2"/>
    <w:basedOn w:val="Normal"/>
    <w:next w:val="Normal"/>
    <w:qFormat/>
    <w:pPr>
      <w:keepNext w:val="true"/>
      <w:numPr>
        <w:ilvl w:val="1"/>
        <w:numId w:val="1"/>
      </w:numPr>
      <w:spacing w:before="240" w:after="60"/>
      <w:outlineLvl w:val="1"/>
    </w:pPr>
    <w:rPr>
      <w:rFonts w:ascii="Cambria" w:hAnsi="Cambria" w:cs="Cambria"/>
      <w:b/>
      <w:bCs/>
      <w:i/>
      <w:iCs/>
      <w:sz w:val="28"/>
      <w:szCs w:val="28"/>
      <w:lang w:val="en-US"/>
    </w:rPr>
  </w:style>
  <w:style w:type="paragraph" w:styleId="Heading3">
    <w:name w:val="heading 3"/>
    <w:basedOn w:val="Normal"/>
    <w:next w:val="Normal"/>
    <w:qFormat/>
    <w:pPr>
      <w:keepNext w:val="true"/>
      <w:numPr>
        <w:ilvl w:val="2"/>
        <w:numId w:val="1"/>
      </w:numPr>
      <w:spacing w:lineRule="exact" w:line="300"/>
      <w:jc w:val="both"/>
      <w:outlineLvl w:val="2"/>
    </w:pPr>
    <w:rPr>
      <w:b/>
      <w:sz w:val="20"/>
      <w:szCs w:val="20"/>
      <w:lang w:val="en-US"/>
    </w:rPr>
  </w:style>
  <w:style w:type="paragraph" w:styleId="Heading4">
    <w:name w:val="heading 4"/>
    <w:basedOn w:val="Normal"/>
    <w:next w:val="Normal"/>
    <w:qFormat/>
    <w:pPr>
      <w:keepNext w:val="true"/>
      <w:numPr>
        <w:ilvl w:val="3"/>
        <w:numId w:val="1"/>
      </w:numPr>
      <w:spacing w:lineRule="exact" w:line="300"/>
      <w:jc w:val="center"/>
      <w:outlineLvl w:val="3"/>
    </w:pPr>
    <w:rPr>
      <w:b/>
      <w:sz w:val="20"/>
      <w:szCs w:val="20"/>
      <w:lang w:val="en-US"/>
    </w:rPr>
  </w:style>
  <w:style w:type="character" w:styleId="WW8Num1z0">
    <w:name w:val="WW8Num1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style>
  <w:style w:type="character" w:styleId="Style11">
    <w:name w:val="Основной шрифт абзаца"/>
    <w:qFormat/>
    <w:rPr/>
  </w:style>
  <w:style w:type="character" w:styleId="Style12">
    <w:name w:val="Название Знак"/>
    <w:qFormat/>
    <w:rPr>
      <w:rFonts w:ascii="Times New Roman" w:hAnsi="Times New Roman" w:eastAsia="Times New Roman" w:cs="Times New Roman"/>
      <w:i/>
      <w:sz w:val="26"/>
    </w:rPr>
  </w:style>
  <w:style w:type="character" w:styleId="2">
    <w:name w:val="Основной текст 2 Знак"/>
    <w:qFormat/>
    <w:rPr>
      <w:rFonts w:ascii="Times New Roman" w:hAnsi="Times New Roman" w:eastAsia="Times New Roman" w:cs="Times New Roman"/>
      <w:sz w:val="24"/>
    </w:rPr>
  </w:style>
  <w:style w:type="character" w:styleId="3">
    <w:name w:val="Основной текст 3 Знак"/>
    <w:qFormat/>
    <w:rPr>
      <w:rFonts w:ascii="Times New Roman" w:hAnsi="Times New Roman" w:eastAsia="Times New Roman" w:cs="Times New Roman"/>
      <w:b/>
      <w:i/>
      <w:sz w:val="24"/>
    </w:rPr>
  </w:style>
  <w:style w:type="character" w:styleId="31">
    <w:name w:val="Заголовок 3 Знак"/>
    <w:qFormat/>
    <w:rPr>
      <w:rFonts w:ascii="Times New Roman" w:hAnsi="Times New Roman" w:eastAsia="Times New Roman" w:cs="Times New Roman"/>
      <w:b/>
    </w:rPr>
  </w:style>
  <w:style w:type="character" w:styleId="4">
    <w:name w:val="Заголовок 4 Знак"/>
    <w:qFormat/>
    <w:rPr>
      <w:rFonts w:ascii="Times New Roman" w:hAnsi="Times New Roman" w:eastAsia="Times New Roman" w:cs="Times New Roman"/>
      <w:b/>
    </w:rPr>
  </w:style>
  <w:style w:type="character" w:styleId="Strong">
    <w:name w:val="Strong"/>
    <w:qFormat/>
    <w:rPr>
      <w:b/>
      <w:bCs/>
    </w:rPr>
  </w:style>
  <w:style w:type="character" w:styleId="Emphasis">
    <w:name w:val="Emphasis"/>
    <w:qFormat/>
    <w:rPr>
      <w:i/>
      <w:iCs/>
    </w:rPr>
  </w:style>
  <w:style w:type="character" w:styleId="Style13">
    <w:name w:val="Верхний колонтитул Знак"/>
    <w:qFormat/>
    <w:rPr>
      <w:rFonts w:ascii="Times New Roman" w:hAnsi="Times New Roman" w:eastAsia="Times New Roman" w:cs="Times New Roman"/>
      <w:sz w:val="24"/>
      <w:szCs w:val="24"/>
    </w:rPr>
  </w:style>
  <w:style w:type="character" w:styleId="Style14">
    <w:name w:val="Нижний колонтитул Знак"/>
    <w:qFormat/>
    <w:rPr>
      <w:rFonts w:ascii="Times New Roman" w:hAnsi="Times New Roman" w:eastAsia="Times New Roman" w:cs="Times New Roman"/>
      <w:sz w:val="24"/>
      <w:szCs w:val="24"/>
    </w:rPr>
  </w:style>
  <w:style w:type="character" w:styleId="21">
    <w:name w:val="Заголовок 2 Знак"/>
    <w:qFormat/>
    <w:rPr>
      <w:rFonts w:ascii="Cambria" w:hAnsi="Cambria" w:eastAsia="Times New Roman" w:cs="Cambria"/>
      <w:b/>
      <w:bCs/>
      <w:i/>
      <w:iCs/>
      <w:sz w:val="28"/>
      <w:szCs w:val="28"/>
    </w:rPr>
  </w:style>
  <w:style w:type="character" w:styleId="apple-converted-space">
    <w:name w:val="apple-converted-space"/>
    <w:qFormat/>
    <w:rPr/>
  </w:style>
  <w:style w:type="paragraph" w:styleId="Heading">
    <w:name w:val="Heading"/>
    <w:basedOn w:val="Normal"/>
    <w:next w:val="BodyText"/>
    <w:qFormat/>
    <w:pPr>
      <w:jc w:val="center"/>
    </w:pPr>
    <w:rPr>
      <w:i/>
      <w:sz w:val="26"/>
      <w:szCs w:val="20"/>
      <w:lang w:val="en-US"/>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1">
    <w:name w:val="Обычный1"/>
    <w:qFormat/>
    <w:pPr>
      <w:widowControl w:val="false"/>
      <w:bidi w:val="0"/>
      <w:ind w:firstLine="280" w:start="0" w:end="0"/>
      <w:jc w:val="both"/>
    </w:pPr>
    <w:rPr>
      <w:rFonts w:ascii="Times New Roman" w:hAnsi="Times New Roman" w:eastAsia="Times New Roman" w:cs="Times New Roman"/>
      <w:color w:val="auto"/>
      <w:sz w:val="24"/>
      <w:szCs w:val="20"/>
      <w:lang w:val="ru-RU" w:bidi="ar-SA" w:eastAsia="zh-CN"/>
    </w:rPr>
  </w:style>
  <w:style w:type="paragraph" w:styleId="FR1">
    <w:name w:val="FR1"/>
    <w:qFormat/>
    <w:pPr>
      <w:widowControl w:val="false"/>
      <w:bidi w:val="0"/>
      <w:jc w:val="center"/>
    </w:pPr>
    <w:rPr>
      <w:rFonts w:ascii="Arial" w:hAnsi="Arial" w:eastAsia="Times New Roman" w:cs="Arial"/>
      <w:color w:val="auto"/>
      <w:sz w:val="22"/>
      <w:szCs w:val="20"/>
      <w:lang w:val="ru-RU" w:bidi="ar-SA" w:eastAsia="zh-CN"/>
    </w:rPr>
  </w:style>
  <w:style w:type="paragraph" w:styleId="2005">
    <w:name w:val="МАУ'2005 Основной текст"/>
    <w:basedOn w:val="Normal"/>
    <w:next w:val="Normal"/>
    <w:qFormat/>
    <w:pPr>
      <w:suppressAutoHyphens w:val="true"/>
      <w:autoSpaceDE w:val="false"/>
      <w:spacing w:lineRule="auto" w:line="276"/>
      <w:ind w:firstLine="709" w:start="0" w:end="0"/>
      <w:jc w:val="both"/>
    </w:pPr>
    <w:rPr>
      <w:rFonts w:ascii="Arial,Bold;Times New Roman" w:hAnsi="Arial,Bold;Times New Roman" w:cs="Arial,Bold;Times New Roman"/>
    </w:rPr>
  </w:style>
  <w:style w:type="paragraph" w:styleId="Normal1">
    <w:name w:val="Normal1"/>
    <w:qFormat/>
    <w:pPr>
      <w:widowControl w:val="false"/>
      <w:bidi w:val="0"/>
    </w:pPr>
    <w:rPr>
      <w:rFonts w:ascii="Times New Roman" w:hAnsi="Times New Roman" w:eastAsia="Times New Roman" w:cs="Times New Roman"/>
      <w:color w:val="auto"/>
      <w:sz w:val="20"/>
      <w:szCs w:val="20"/>
      <w:lang w:val="ru-RU" w:bidi="ar-SA" w:eastAsia="zh-CN"/>
    </w:rPr>
  </w:style>
  <w:style w:type="paragraph" w:styleId="22">
    <w:name w:val="Основной текст 2"/>
    <w:basedOn w:val="Normal"/>
    <w:qFormat/>
    <w:pPr>
      <w:jc w:val="both"/>
    </w:pPr>
    <w:rPr>
      <w:szCs w:val="20"/>
      <w:lang w:val="en-US"/>
    </w:rPr>
  </w:style>
  <w:style w:type="paragraph" w:styleId="32">
    <w:name w:val="Основной текст 3"/>
    <w:basedOn w:val="Normal"/>
    <w:qFormat/>
    <w:pPr>
      <w:jc w:val="both"/>
    </w:pPr>
    <w:rPr>
      <w:b/>
      <w:i/>
      <w:szCs w:val="20"/>
      <w:lang w:val="en-US"/>
    </w:rPr>
  </w:style>
  <w:style w:type="paragraph" w:styleId="Style15">
    <w:name w:val="Обычный (веб)"/>
    <w:basedOn w:val="Normal"/>
    <w:qFormat/>
    <w:pPr>
      <w:spacing w:before="280" w:after="28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677" w:leader="none"/>
        <w:tab w:val="right" w:pos="9355" w:leader="none"/>
      </w:tabs>
    </w:pPr>
    <w:rPr>
      <w:lang w:val="en-US"/>
    </w:rPr>
  </w:style>
  <w:style w:type="paragraph" w:styleId="Footer">
    <w:name w:val="footer"/>
    <w:basedOn w:val="Normal"/>
    <w:pPr>
      <w:tabs>
        <w:tab w:val="clear" w:pos="709"/>
        <w:tab w:val="center" w:pos="4677" w:leader="none"/>
        <w:tab w:val="right" w:pos="9355" w:leader="none"/>
      </w:tabs>
    </w:pPr>
    <w:rPr>
      <w:lang w:val="en-US"/>
    </w:rPr>
  </w:style>
  <w:style w:type="paragraph" w:styleId="Style21">
    <w:name w:val="Style21"/>
    <w:basedOn w:val="Normal"/>
    <w:qFormat/>
    <w:pPr>
      <w:widowControl w:val="false"/>
      <w:autoSpaceDE w:val="false"/>
      <w:spacing w:lineRule="exact" w:line="307"/>
      <w:ind w:hanging="336" w:start="0" w:end="0"/>
      <w:jc w:val="both"/>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2019-06-07T08:19:00Z</dcterms:created>
  <dc:creator>Татьяна</dc:creator>
  <dc:description/>
  <cp:keywords/>
  <dc:language>en-US</dc:language>
  <cp:lastModifiedBy>Александр Гранкин</cp:lastModifiedBy>
  <dcterms:modified xsi:type="dcterms:W3CDTF">2020-02-05T13:17:00Z</dcterms:modified>
  <cp:revision>3</cp:revision>
  <dc:subject/>
  <dc:title/>
</cp:coreProperties>
</file>