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МИНИСТЕРСТВО НАУКИ И ВЫСШЕГО ОБРАЗОВАНИЯ</w:t>
      </w:r>
    </w:p>
    <w:p>
      <w:pPr>
        <w:spacing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РОССИЙСКОЙ ФЕДЕРАЦИИ</w:t>
      </w:r>
    </w:p>
    <w:p>
      <w:pPr>
        <w:spacing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«Московский государственный технический университет имени Н.Э. Баумана (национальный исследовательский университет)»</w:t>
      </w:r>
    </w:p>
    <w:p>
      <w:pPr>
        <w:spacing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(МГТУ им. Н.Э. Баумана)</w:t>
      </w:r>
    </w:p>
    <w:p/>
    <w:p>
      <w:pPr>
        <w:spacing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Мытищинский филиал МГТУ им. Н.Э. Баумана</w:t>
      </w:r>
    </w:p>
    <w:p>
      <w:pPr>
        <w:spacing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Факультет Космический</w:t>
      </w:r>
    </w:p>
    <w:p>
      <w:pPr>
        <w:spacing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К2 «Информационно-измерительная техника и технологии»</w:t>
      </w:r>
    </w:p>
    <w:p/>
    <w:p/>
    <w:p/>
    <w:p/>
    <w:p>
      <w:pPr>
        <w:spacing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СТРУКТУРА И СОДЕРЖАНИЕ</w:t>
      </w:r>
    </w:p>
    <w:p>
      <w:pPr>
        <w:spacing w:line="36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выпускной квалификационной работы бакалавра</w:t>
      </w:r>
    </w:p>
    <w:p/>
    <w:p/>
    <w:p>
      <w:pPr>
        <w:spacing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тему:</w:t>
      </w:r>
    </w:p>
    <w:p>
      <w:pPr>
        <w:spacing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«Метод функционально-логической верификации программных моделей измерительных процессов в составе информационно-измерительных систем»</w:t>
      </w:r>
    </w:p>
    <w:p/>
    <w:p/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Направление: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 w:eastAsia="Times New Roman"/>
                <w:sz w:val="28"/>
              </w:rPr>
              <w:t>12.03.01 Приборостроение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Профиль: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 w:eastAsia="Times New Roman"/>
                <w:sz w:val="28"/>
              </w:rPr>
              <w:t>Информационно-измерительная техника и технологии (12.03.01/31)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Студент: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 w:eastAsia="Times New Roman"/>
                <w:sz w:val="28"/>
              </w:rPr>
              <w:t>Катальшов Данила Алексеевич, группа К2-81Б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Руководитель ВКР: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 w:eastAsia="Times New Roman"/>
                <w:sz w:val="28"/>
              </w:rPr>
              <w:t>к.т.н., доцент, заведующий кафедрой К2 Е.Г. Комаров</w:t>
            </w:r>
          </w:p>
        </w:tc>
      </w:tr>
    </w:tbl>
    <w:p/>
    <w:p/>
    <w:p/>
    <w:p/>
    <w:p>
      <w:pPr>
        <w:spacing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г. Мытищи, 2026 г.</w:t>
      </w:r>
    </w:p>
    <w:p>
      <w:r>
        <w:br w:type="page"/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ТЕМА ВЫПУСКНОЙ КВАЛИФИКАЦИОННОЙ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«Метод функционально-логической верификации программных моделей измерительных процессов в составе информационно-измерительных систем».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Направление подготовки: 12.03.01 «Приборостроение», профиль «Информационно-измерительная техника и технологии» (12.03.01/31).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Студент: Катальшов Данила Алексеевич, группа К2-81Б.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Научный руководитель: к.т.н., доцент, заведующий кафедрой К2 — Комаров Евгений Геннадьевич.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Выпускающая кафедра: К2 «Информационно-измерительная техника и технологии», Космический факультет, Мытищинский филиал МГТУ им. Н.Э. Баумана.</w:t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СОДЕРЖАНИЕ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Раздел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Стр.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Реферат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Перечень сокращений и условных обозначений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Введение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1. Аналитический обзор существующих подходов к верификации программных моделей измерительных процессов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1.1. Информационно-измерительные системы и метрологическая надёжность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1.2. Программные модели измерительных протоколов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13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1.3. Существующие подходы к верификации в составе информационно-измерительных систем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16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1.4. Формальные методы верификации в реальном времени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22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1.5. Семантический разрыв между нормативной методикой и программной реализацией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26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1.6. Постановка задачи исследования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28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2. Метод функционально-логической верификации и формальная модель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2.1. Концепция метода функционально-логической верификации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2.2. Предметно-ориентированный язык описания нормативной модели методики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33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2.3. Формальная модель измерительного процесса в виде расширенного тайм-автомата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37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2.4. Алгоритм сопоставления трассы исполнения с формальной моделью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41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2.5. Каталог нарушений и привязка к нормативным документам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44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2.6. Гибридная LLM-формальная архитектура верификации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47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3. Программная реализация модуля и симулятора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50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3.1. Pluggable-фреймворк функционально-логической верификации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50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3.2. Программный симулятор измерительного стенда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54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3.3. Реализация подсистемы метрологической неопределённости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58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3.4. Интерактивная визуализация и средства анализа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60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4. Экспериментальное исследование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62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4.1. Методика проведения эксперимента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62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4.2. Описание стенда S1 и каталога инъекций нарушений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64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4.3. Результаты прогонов и метрики детекции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67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4.4. Статистическая обработка результатов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72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4.5. Обсуждение и threats to validity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76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Заключение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78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Список использованных источников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81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Приложение А. Полная DSL-спецификация эталонной методики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85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Приложение Б. JSON Schema формата журнала событий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88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Приложение В. Листинги ключевых модулей программной реализации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90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Приложение Г. Дополнительные результаты экспериментального исследования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95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Итоговый объём пояснительной записки — приблизительно 80 страниц основного текста с введением и заключением, плюс 15–20 страниц приложений. Объём соответствует требованиям пункта объёма ВКР Положения о порядке подготовки и защиты ВКР бакалавриата МГТУ им. Н.Э. Баумана от 12.10.2015 (50–80 страниц основного текста) и ГОСТ 7.32-2017 «Отчёт о научно-исследовательской работе. Структура и правила оформления».</w:t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КРАТКОЕ ОПИСАНИЕ РАЗДЕЛОВ И ОРИЕНТИРОВОЧНЫЙ ОБЪЁМ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таблице ниже сведено краткое содержание каждого структурного элемента пояснительной записки и ориентировочный объём в страницах. Объёмы соответствуют требованиям ГОСТ 7.32-2017 и Положению о ВКРБ МГТУ им. Н.Э. Баумана.</w:t>
      </w:r>
    </w:p>
    <w:p>
      <w:pPr>
        <w:spacing w:line="360" w:lineRule="auto"/>
        <w:jc w:val="left"/>
      </w:pPr>
      <w:r>
        <w:rPr>
          <w:rFonts w:ascii="Times New Roman" w:hAnsi="Times New Roman" w:cs="Times New Roman" w:eastAsia="Times New Roman"/>
          <w:sz w:val="28"/>
        </w:rPr>
        <w:t>Таблица 1 — Краткое содержание и ориентировочный объём разделов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Раздел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Что включено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Объём, стр.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Титульный лист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Шапка университета, факультет К2, кафедра, тема, студент, руководитель, год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Реферат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Объём отчёта, число иллюстраций и таблиц, число использованных источников, перечень от 5 до 15 ключевых слов прописными через запятые, краткое изложение цели, методов и результатов работы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Перечень сокращений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Расшифровка ИИС, ПЗ, FLV, FSM, STL, MTL, RV, DSL, SCPI, VISA, PT100, АЦП, ШИМ и иных нестандартных сокращений, использованных в тексте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1–2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Содержание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Автоматически генерируемое оглавление с указанием номеров страниц всех разделов, подразделов до третьего уровня, а также приложений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1–2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Введение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Актуальность темы, формулировка цели, перечень из семи задач, описание объекта и предмета исследования, четыре пункта научной новизны, практическая значимость, методы исследования, краткая структура работы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5–6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1. Аналитический обзор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Обзор существующих подходов к верификации программных моделей измерительных процессов: NI TestStand Sequence Analyzer, NI VI Analyzer Toolkit, NI Requirements Gateway; runtime-verification и темпоральная логика (RTAMT, Breach, py-metric-temporal-logic, MonPoly/VeriMon, TeLEx); model checking тайм-автоматов (UPPAAL). Обоснование семантического разрыва между нормативной методикой и программной реализацией. Постановка задачи исследования с привязкой к ГОСТ Р 8.563-2009 и ГОСТ Р 8.596-2002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18–22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2. Метод и формальная модель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Концепция функционально-логической верификации. Предметно-ориентированный язык описания методик в формате YAML с валидацией по JSON Schema. Расширенный тайм-автомат с гард-условиями и каталогом нарушений как формальная основа. Алгоритм сопоставления трассы с моделью. Каталог семи кодов нарушений с привязкой к пунктам нормативных документов. Гибридная LLM-формальная архитектура с тремя ролями LLM по архитектурному решению ADR-002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17–20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3. Программная реализация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Pluggable-фреймворк функционально-логической верификации с четырьмя точками расширения через стандартный python entry-points механизм. Программный симулятор измерительного стенда S1 (термокамера со стабилизацией PT100) с физически адекватной моделью теплопередачи. Подсистема метрологической неопределённости по ГОСТ 8.207-76 и Руководству JCGM 100:2008. Интерактивная трёхмерная визуализация в браузере и live-дашборд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12–14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4. Экспериментальное исследование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Методика эксперимента с парным сравнением подходов baseline и proposed. Каталог инъекций нарушений на основе семи кодов из главы 2. Результаты не менее ста прогонов: метрики детекции (TPR/TNR/FPR/FNR), временной точности (J&lt;sub&gt;timing&lt;/sub&gt;), последовательности (K&lt;sub&gt;seq&lt;/sub&gt;), производительности. Статистическая обработка результатов: тест Мак-Немара для парных бинарных исходов, критерий Вилкоксона для непрерывных метрик, размер эффекта по Коэну, доверительные интервалы методом бутстрэпа. Обсуждение результатов и анализ ограничений работы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16–18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Заключение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Сводка решённых задач с привязкой к семи задачам введения. Главные численные результаты эксперимента. Подтверждение научной новизны и практической значимости. Перспективы развития: подключение реальной информационно-измерительной системы кафедры К2, расширение через RTAMT для непрерывных сигналов, переход в режим online-мониторинга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2–3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Список источников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Не менее тридцати записей по ГОСТ 7.0.5-2008. Распределение по типам: семь государственных стандартов Российской Федерации, десять русскоязычных академических работ, десять иностранных академических работ, три учебно-методических пособия МГТУ имени Н. Э. Баумана. Все источники проверены на соответствие реестрам Министерства юстиции Российской Федерации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3–4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Приложения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Приложение А — полная DSL-спецификация эталонной методики измерения. Приложение Б — JSON Schema формата журнала событий с примерами записей. Приложение В — листинги ключевых модулей программной реализации (детерминированный матчер, LLM-извлечение спецификации). Приложение Г — дополнительные результаты экспериментального исследования: матрицы ошибок, гистограммы, диаграммы рассеяния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12–18</w:t>
            </w:r>
          </w:p>
        </w:tc>
      </w:tr>
    </w:tbl>
    <w:p>
      <w:pPr>
        <w:keepNext/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СООТВЕТСТВИЕ ТРЕБОВАНИЯМ К ОФОРМЛЕНИЮ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таблице 2 приведены параметры оформления пояснительной записки в соответствии с ГОСТ 7.32-2017 и ГОСТ 2.105-95.</w:t>
      </w:r>
    </w:p>
    <w:p>
      <w:pPr>
        <w:spacing w:line="360" w:lineRule="auto"/>
        <w:jc w:val="left"/>
      </w:pPr>
      <w:r>
        <w:rPr>
          <w:rFonts w:ascii="Times New Roman" w:hAnsi="Times New Roman" w:cs="Times New Roman" w:eastAsia="Times New Roman"/>
          <w:sz w:val="28"/>
        </w:rPr>
        <w:t>Таблица 2 — Требования к оформлению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Параметр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Значение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Шрифт основного текста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Times New Roman 14 pt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Межстрочный интервал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1,5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Поле левое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30 мм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Поле правое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10 мм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Поле верхнее, нижнее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20 мм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Абзацный отступ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1,25 см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Выравнивание основного текста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 ширине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Нумерация страниц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арабскими цифрами в правом верхнем углу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Заголовки разделов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прописными буквами, по центру, без точки в конце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Иллюстрации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подпись снизу: «Рисунок N — Название»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Таблицы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подпись сверху: «Таблица N — Название»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Ссылки на источники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в квадратных скобках по номеру в списке использованных источников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Список использованных источников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 ГОСТ 7.0.5-2008 в порядке упоминания в тексте</w:t>
            </w:r>
          </w:p>
        </w:tc>
      </w:tr>
    </w:tbl>
    <w:p>
      <w:pPr>
        <w:keepNext/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СООТВЕТСТВИЕ НОРМАТИВНОЙ БАЗЕ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Пояснительная записка опирается на следующие действующие нормативные документы.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части оформления — ГОСТ 7.32-2017 «СИБИД. Отчёт о научно-исследовательской работе. Структура и правила оформления», ГОСТ 7.0.5-2008 «СИБИД. Библиографическая ссылка», ГОСТ 2.105-95 «ЕСКД. Общие требования к текстовым документам», Положение о порядке подготовки и защиты выпускной квалификационной работы студентов МГТУ им. Н. Э. Баумана, обучающихся по основным образовательным программам бакалавриата от 12 октября 2015 года.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части содержания — ГОСТ Р 8.563-2009 «Государственная система обеспечения единства измерений. Методики (методы) измерений», ГОСТ Р 8.596-2002 «Метрологическое обеспечение измерительных систем», ГОСТ 8.207-76 «Прямые измерения с многократными наблюдениями. Методы обработки результатов наблюдений», ГОСТ 6651-2009 «Термопреобразователи сопротивления из платины, меди и никеля», ГОСТ 8.009-84 «Нормируемые метрологические характеристики средств измерений». Дополнительно учитывается рекомендация Объединённого комитета по руководствам в области метрологии JCGM 100:2008 «Guide to the Expression of Uncertainty in Measurement».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Образовательная компонента работы определяется Федеральным государственным образовательным стандартом высшего образования по направлению 12.03.01 «Приборостроение», утверждённым приказом Министерства образования и науки Российской Федерации от 19 сентября 2017 года № 945 в редакции приказа от 8 февраля 2021 года.</w:t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КАЛЕНДАРНЫЙ ПЛАН ОСТАВШИХСЯ РАБОТ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таблице 3 приведён календарный план оставшихся фаз работы с привязкой к датам сдачи на нормоконтроль и предзащиты.</w:t>
      </w:r>
    </w:p>
    <w:p>
      <w:pPr>
        <w:spacing w:line="360" w:lineRule="auto"/>
        <w:jc w:val="left"/>
      </w:pPr>
      <w:r>
        <w:rPr>
          <w:rFonts w:ascii="Times New Roman" w:hAnsi="Times New Roman" w:cs="Times New Roman" w:eastAsia="Times New Roman"/>
          <w:sz w:val="28"/>
        </w:rPr>
        <w:t>Таблица 3 — Календарный план оставшихся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Период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Работа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2026-05-05 — 2026-05-10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Доработка модуля FLV: оптимизация LLM-промптов на пятёрке моделей, фиксация версий моделей и зерна для экспериментов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2026-05-11 — 2026-05-25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Серии прогонов: не менее ста прогонов на стенде S1 (пятьдесят корректных и пятьдесят с инъекциями нарушений по семи кодам), сбор event-log в формате JSONL, расчёт метрик детекции и временной точности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2026-05-26 — 2026-06-04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Статистическая обработка результатов: тест Мак-Немара, критерий Вилкоксона, оценка размера эффекта по Коэну, доверительные интервалы методом бутстрэпа, построение графиков publication-quality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2026-06-05 — 2026-06-12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Написание глав три и четыре пояснительной записки, подготовка приложений, оформление списка использованных источников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2026-06-13 — 2026-06-15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Сдача пояснительной записки на нормоконтроль, проверка на антиплагиат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2026-06-16 — 2026-06-18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Подготовка презентации на двенадцать-пятнадцать слайдов, написание текста доклада продолжительностью семь-десять минут, репетиции с замером времени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после 2026-06-18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Защита выпускной квалификационной работы</w:t>
            </w:r>
          </w:p>
        </w:tc>
      </w:tr>
    </w:tbl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