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48"/>
          <w:szCs w:val="48"/>
        </w:rPr>
        <w:t xml:space="preserve">Reprojeto do indutor boost de um PFC de 1,2 kW com núcleo de pó nanocristalino: volume e perdas frente ao Kool Mµ de 85 a 265 VAC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2"/>
          <w:szCs w:val="22"/>
        </w:rPr>
        <w:t xml:space="preserve">Andre Denzel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18"/>
          <w:szCs w:val="18"/>
        </w:rPr>
        <w:t xml:space="preserve">PPGEE e LMAG, Escola Politécnica da Universidade de São Paulo, São Paulo, Brasil</w:t>
      </w:r>
    </w:p>
    <w:p>
      <w:pPr>
        <w:sectPr>
          <w:pgSz w:w="11906" w:h="16838" w:orient="portrait"/>
          <w:pgMar w:top="1077" w:right="794" w:bottom="2438" w:left="794" w:header="709" w:footer="709" w:gutter="0"/>
          <w:pgNumType/>
          <w:docGrid w:linePitch="360"/>
        </w:sectPr>
      </w:pPr>
    </w:p>
    <w:p>
      <w:pPr>
        <w:spacing w:after="60"/>
        <w:ind w:firstLine="202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18"/>
          <w:szCs w:val="18"/>
        </w:rPr>
        <w:t xml:space="preserve">Resumo: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18"/>
          <w:szCs w:val="18"/>
        </w:rPr>
        <w:t xml:space="preserve">O indutor boost de referência de um PFC CCM de 1,2 kW (85 a 265 VAC, 100 kHz), com dois toroides Kool Mµ 60µ, foi reprojetado com pó nanocristalino de mesma permeabilidade. Mantidos a indutância exigida, as espiras, o fio e os diâmetros do toroide, a menor queda de permeabilidade do pó reduziu a altura do núcleo de 30,7 para 21,4 mm, com núcleo 30 % e componente 26 % menores. Com os 248 mT dos ensaios do pó lidos como pico a pico, a perda no núcleo subiu de 91 % a 145 %, e a do cobre caiu até 22 %. A perda total, a plena carga, caiu 16 % em 85 V e subiu 29 % em 230 V; com 20 % de carga, subiu de 55 % a 122 %.</w:t>
      </w:r>
    </w:p>
    <w:p>
      <w:pPr>
        <w:spacing w:after="120"/>
        <w:ind w:firstLine="202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18"/>
          <w:szCs w:val="18"/>
        </w:rPr>
        <w:t xml:space="preserve">Palavras-chave: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18"/>
          <w:szCs w:val="18"/>
        </w:rPr>
        <w:t xml:space="preserve">correção do fator de potência; indutor boost; núcleo de pó nanocristalino; perda no núcleo.</w:t>
      </w:r>
    </w:p>
    <w:p>
      <w:pPr>
        <w:keepNext/>
        <w:spacing w:after="100" w:before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sz w:val="20"/>
          <w:szCs w:val="20"/>
        </w:rPr>
        <w:t xml:space="preserve">I. Introdução</w:t>
      </w:r>
    </w:p>
    <w:p>
      <w:pPr>
        <w:spacing w:after="0" w:before="0"/>
        <w:ind w:firstLine="20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A demanda mundial de eletricidade deve crescer mais de 3,5 % ao ano até 2030 [1]. Contribuem para isso a frota de veículos elétricos, com mais de 20 milhões de carros vendidos em 2025, e a infraestrutura de recarga que a acompanha [2]; os centros de dados, cujo consumo, estimado em 415 TWh em 2024, deve chegar a cerca de 945 TWh em 2030 com a expansão da inteligência artificial [3]; e a eletrificação do aquecimento, de que é exemplo a Alemanha, onde a emenda de 2023 à lei de energia em edificações passou a exigir, a partir de 2024, que novos sistemas de aquecimento usassem ao menos 65 % de energia renovável, o que favorece as bombas de calor [4]. Do lado da geração, a expansão das fontes renováveis, com cerca de 4 600 GW a acrescentar entre 2025 e 2030 [5], amplia a parcela da energia processada por conversores eletrônicos. Nos conversores que absorvem energia da rede, o estágio de entrada precisa atender aos limites de harmônicas de corrente da IEC 61000-3-2 [6], e as suas perdas se somam às do sistema.</w:t>
      </w:r>
    </w:p>
    <w:p>
      <w:pPr>
        <w:spacing w:after="0" w:before="0"/>
        <w:ind w:firstLine="20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No estágio de correção do fator de potência (PFC) do tipo boost em modo de condução contínua (CCM), o controle de corrente média impõe à corrente de entrada a forma da tensão retificada da rede, com fator de potência próximo da unidade, e regula o barramento CC em 400 V [7]. O indutor boost conduz a corrente de linha com a ondulação de chaveamento sobreposta. Em núcleo de pó, a polarização dessa corrente reduz a permeabilidade, e o componente é dimensionado na crista da menor tensão de entrada, condição de maior corrente e de maiores perdas [7]. As perdas no núcleo e no cobre do indutor reduzem o rendimento do estágio PFC, que multiplica o do conversor CC-CC seguinte, e o volume do indutor pesa na densidade de potência. No projeto de referência de 1,2 kW da Infineon [7], o indutor usa dois toroides de pó Kool Mµ (Fe-Si-Al) de permeabilidade 60. Jiang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et al.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[8] produziram toroides de pó nanocristalino (Fe-Cu-Nb-Si-B) com a mesma permeabilidade e os compararam, sob excitação senoidal de 100 a 600 kHz, com quatro pós comerciais, entre eles o Kool Mµ.</w:t>
      </w:r>
    </w:p>
    <w:p>
      <w:pPr>
        <w:spacing w:after="0" w:before="0"/>
        <w:ind w:firstLine="20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Os ensaios de [8] caracterizam o material sem aplicá-lo a um indutor de PFC: não informam quanto menor ficaria o indutor de [7] com o pó nanocristalino, nem como variariam as suas perdas no núcleo e no cobre ao longo do semiciclo da rede, de 85 a 265 VAC, em diferentes cargas. Além disso, o nível de 248 mT dos ensaios de [8] é chamado de valor de pico em um trecho do texto, enquanto os demais dados do artigo indicam valor pico a pico; a distinção muda a perda calculada do pó por um fator de 4,03. Este trabalho reprojeta o indutor de [7] com o pó nanocristalino, sob o mesmo requisito de indutância e com o mesmo fio, e compara volume e perdas com a referência em 85, 115, 230 e 265 V e em 20 %, 50 % e 100 % de carga, com os dados de [8] lidos como pico a pico.</w:t>
      </w:r>
    </w:p>
    <w:p>
      <w:pPr>
        <w:keepNext/>
        <w:spacing w:after="100" w:before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sz w:val="20"/>
          <w:szCs w:val="20"/>
        </w:rPr>
        <w:t xml:space="preserve">II. Métodos</w:t>
      </w:r>
    </w:p>
    <w:p>
      <w:pPr>
        <w:keepNext/>
        <w:spacing w:after="60" w:before="1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A. Conversor e indutor de referência</w:t>
      </w:r>
    </w:p>
    <w:p>
      <w:pPr>
        <w:spacing w:after="0" w:before="0"/>
        <w:ind w:firstLine="20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O conversor é o de [7]: 85 a 265 VAC, 60 Hz; 400 V; 1200 W; 100 kHz. A ondulação de projeto, 25 % da corrente de crista em 85 V a plena carga, exige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≥ 168,5 µH a 19,97 A, com corrente máxima de 22,5 A [7]. O indutor de referência tem dois toroides Kool Mµ 60µ 0077083A7 empilhados, cada um com 40,77 × 23,32 × 15,37 mm,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107 mm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98,4 mm 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10,6 cm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[9], e 64 espiras de fio de cobre de 1,15 mm. Segundo [7], a indutância é de 680 µH sem polarização e de cerca de 165 µH em 85 V a plena carga, a resistência CC é de 70 mΩ e a perda no núcleo nesse ponto é de 0,62 W. Esses valores foram tomados como corretos e não foram recalculados. A corrente de entrada foi calculada com rendimento unitário, como em [7].</w:t>
      </w:r>
    </w:p>
    <w:p>
      <w:pPr>
        <w:keepNext/>
        <w:spacing w:after="60" w:before="1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B. Propriedades dos materiais</w:t>
      </w:r>
    </w:p>
    <w:p>
      <w:pPr>
        <w:spacing w:after="0" w:before="0"/>
        <w:ind w:firstLine="20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Para os dois pós, a queda da permeabilidade incremental com o campo de polarização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N 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é escrita como</w:t>
      </w:r>
    </w:p>
    <w:p>
      <w:pPr>
        <w:tabs>
          <w:tab w:val="center" w:pos="2520"/>
          <w:tab w:val="right" w:pos="5040"/>
        </w:tabs>
        <w:spacing w:after="80" w:before="80"/>
      </w:pPr>
      <w:r>
        <w:tab/>
      </w:r>
      <m:oMath>
        <m:f>
          <m:num>
            <m:sSub>
              <m:sSubPr/>
              <m:e>
                <m:r>
                  <m:t>μ</m:t>
                </m:r>
              </m:e>
              <m:sub>
                <m:r>
                  <m:t>inc</m:t>
                </m:r>
              </m:sub>
            </m:sSub>
            <m:r>
              <m:t>(H)</m:t>
            </m:r>
          </m:num>
          <m:den>
            <m:sSub>
              <m:sSubPr/>
              <m:e>
                <m:r>
                  <m:t>μ</m:t>
                </m:r>
              </m:e>
              <m:sub>
                <m:r>
                  <m:t>i</m:t>
                </m:r>
              </m:sub>
            </m:sSub>
          </m:den>
        </m:f>
        <m:r>
          <m:t>=</m:t>
        </m:r>
        <m:f>
          <m:num>
            <m:r>
              <m:t>1</m:t>
            </m:r>
          </m:num>
          <m:den>
            <m:r>
              <m:t>1+</m:t>
            </m:r>
            <m:sSup>
              <m:sSupPr/>
              <m:e>
                <m:d>
                  <m:dPr/>
                  <m:e>
                    <m:f>
                      <m:num>
                        <m:r>
                          <m:t>H</m:t>
                        </m:r>
                      </m:num>
                      <m:den>
                        <m:sSub>
                          <m:sSubPr/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den>
        </m:f>
      </m:oMath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(1)</w:t>
      </w:r>
    </w:p>
    <w:p>
      <w:pPr>
        <w:spacing w:after="0" w:before="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Para o Kool Mµ, o ajuste do catálogo, 1/(0,01 + 2,142·10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perscript"/>
        </w:rPr>
        <w:t xml:space="preserve">−6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·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perscript"/>
        </w:rPr>
        <w:t xml:space="preserve">1,855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) com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em Oe [10, p. 63], equivale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75,6 A/cm 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1,855. No indutor de referência, mantido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70,3 A/cm reproduz os 680 e 165 µH de [7]. Para o pó nanocristalino, (1) ajustada aos pontos da curva de polarização de [8, Fig. 4] dá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93,0 A/cm 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1,71, com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60 [8]. A curva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) usada é a integrada,</w:t>
      </w:r>
    </w:p>
    <w:p>
      <w:pPr>
        <w:tabs>
          <w:tab w:val="center" w:pos="2520"/>
          <w:tab w:val="right" w:pos="5040"/>
        </w:tabs>
        <w:spacing w:after="80" w:before="80"/>
      </w:pPr>
      <w:r>
        <w:tab/>
      </w:r>
      <m:oMath>
        <m:r>
          <m:t>B(H)=</m:t>
        </m:r>
        <m:sSub>
          <m:sSubPr/>
          <m:e>
            <m:r>
              <m:t>μ</m:t>
            </m:r>
          </m:e>
          <m:sub>
            <m:r>
              <m:t>0</m:t>
            </m:r>
          </m:sub>
        </m:sSub>
        <m:sSub>
          <m:sSubPr/>
          <m:e>
            <m:r>
              <m:t>μ</m:t>
            </m:r>
          </m:e>
          <m:sub>
            <m:r>
              <m:t>i</m:t>
            </m:r>
          </m:sub>
        </m:sSub>
        <m:nary>
          <m:naryPr>
            <m:limLoc m:val="subSup"/>
          </m:naryPr>
          <m:sub>
            <m:r>
              <m:t>0</m:t>
            </m:r>
          </m:sub>
          <m:sup>
            <m:r>
              <m:t>H</m:t>
            </m:r>
          </m:sup>
          <m:e>
            <m:f>
              <m:num>
                <m:sSub>
                  <m:sSubPr/>
                  <m:e>
                    <m:r>
                      <m:t>μ</m:t>
                    </m:r>
                  </m:e>
                  <m:sub>
                    <m:r>
                      <m:t>inc</m:t>
                    </m:r>
                  </m:sub>
                </m:sSub>
                <m:r>
                  <m:t>(h)</m:t>
                </m:r>
              </m:num>
              <m:den>
                <m:sSub>
                  <m:sSubPr/>
                  <m:e>
                    <m:r>
                      <m:t>μ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dh</m:t>
            </m:r>
          </m:e>
        </m:nary>
      </m:oMath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(2)</w:t>
      </w:r>
    </w:p>
    <w:p>
      <w:pPr>
        <w:spacing w:after="0" w:before="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e não a razão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inc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aplicada ao campo total. As leis de perda são as de Steinmetz ajustadas a ensaios senoidais: para o Kool Mµ,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44,30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perscript"/>
        </w:rPr>
        <w:t xml:space="preserve">1,988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perscript"/>
        </w:rPr>
        <w:t xml:space="preserve">1,541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, em mW/cm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, com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Δ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/2 em T 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em kHz [10, pp. 23 e 109]; para o pó nanocristalino,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89,38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perscript"/>
        </w:rPr>
        <w:t xml:space="preserve">1,193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Δ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perscript"/>
        </w:rPr>
        <w:t xml:space="preserve">2,01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, em kW/m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, com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em kHz e Δ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em T [8, Seç. IV-B]. A Tabela I reúne as propriedades.</w:t>
      </w:r>
    </w:p>
    <w:p>
      <w:pPr>
        <w:keepNext/>
        <w:spacing w:after="60" w:before="1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C. Leitura dos 248 mT de [8]</w:t>
      </w:r>
    </w:p>
    <w:p>
      <w:pPr>
        <w:spacing w:after="0" w:before="0"/>
        <w:ind w:firstLine="20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Em [8], o nível de 248 mT dos ensaios a 100, 150 e 200 kHz é chamado de valor de pico em uma frase da Seção IV-A. As demais ocorrências indicam pico a pico: a iGSE de [8] é escrita com Δ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pico a pico (Eq. 3 de [8]); os eixos das Figs. 10 a 12 e 15 de [8] são Δ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; nas Figs. 7 a 9 de [8], as cotas de 248 mT e 3,0 kA/m cobrem a altura e a largura totais do laço, e 3,0 kA/m confere com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N 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pp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3,06 kA/m para 9,1 A pico a pico; e os pares (248 mT; 9,1 A), (75 mT; 2,8 A) e (233 mT; 8,49 A) implicam permeabilidade de 63 a 65 na leitura pico a pico, contra 60 na Tabela III de [8], e de 127 a 130 na leitura de pico. Na leitura pico a pico, o ajuste do catálogo [10] reproduz a perda do Kool Mµ medida em [8] no núcleo de 28,6 cm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(25,4 e 59 W a 100 e 200 kHz) com erros de −5,0 % e +19,0 %, e o ajuste de [8] reproduz a do pó nanocristalino (38,2 e 81 W) com −1,3 % e +6,4 % (Fig. 1(b)); na leitura de pico, o erro do Kool Mµ seria de +277 % e +372 %. O nível foi, portanto, tratado como Δ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pico a pico, o que, na forma de amplitude, multiplica o coeficiente de [8] por 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perscript"/>
        </w:rPr>
        <w:t xml:space="preserve">2,01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4,03.</w:t>
      </w:r>
    </w:p>
    <w:p>
      <w:pPr>
        <w:keepNext/>
        <w:spacing w:after="60" w:before="1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D. Reprojeto com pó nanocristalino</w:t>
      </w:r>
    </w:p>
    <w:p>
      <w:pPr>
        <w:spacing w:after="0" w:before="0"/>
        <w:ind w:firstLine="20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O indutor nanocristalino foi projetado pelo requisito de [7],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≥ 168,5 µH a 19,97 A, com o fio de 1,15 mm, as 64 espiras e os diâmetros externo e interno do 0077083A7; a altura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do núcleo é a variável de projeto. Com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fixos, o campo na crista, 129,9 A/cm, é o mesmo da referência, e a indutância é proporcional à seção,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107 mm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·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/15,37 mm, com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nominal de 60 [8]. A menor altura que atende ao requisito é 21,37 mm, e adotou-se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21,4 mm. Para situar a escolha, o projeto foi repetido de 40 a 96 espiras, com a menor altura que atende ao requisito em cada caso. A espira média e as dimensões externas do componente enrolado foram calculadas com o mesmo modelo geométrico nos dois indutores: fio esmaltado de 1,22 mm, 56 espiras por camada na face interna e uma camada na face externa.</w:t>
      </w:r>
    </w:p>
    <w:p>
      <w:pPr>
        <w:keepNext/>
        <w:spacing w:after="60" w:before="1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E. Formas de onda e perdas</w:t>
      </w:r>
    </w:p>
    <w:p>
      <w:pPr>
        <w:spacing w:after="0" w:before="0"/>
        <w:ind w:firstLine="20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Cada período de chaveamento foi tratado como quase estático em 400 pontos do semiciclo, com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√2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ac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|sen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| e corrente média de período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√2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ac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) |sen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|. Em CCM,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1 −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, e a excursão de indução no período é</w:t>
      </w:r>
    </w:p>
    <w:p>
      <w:pPr>
        <w:tabs>
          <w:tab w:val="center" w:pos="2520"/>
          <w:tab w:val="right" w:pos="5040"/>
        </w:tabs>
        <w:spacing w:after="80" w:before="80"/>
      </w:pPr>
      <w:r>
        <w:tab/>
      </w:r>
      <m:oMath>
        <m:r>
          <m:t>ΔB=</m:t>
        </m:r>
        <m:f>
          <m:num>
            <m:sSub>
              <m:sSubPr/>
              <m:e>
                <m:r>
                  <m:t>v</m:t>
                </m:r>
              </m:e>
              <m:sub>
                <m:r>
                  <m:t>in</m:t>
                </m:r>
              </m:sub>
            </m:sSub>
            <m:r>
              <m:t>D</m:t>
            </m:r>
            <m:sSub>
              <m:sSubPr/>
              <m:e>
                <m:r>
                  <m:t>T</m:t>
                </m:r>
              </m:e>
              <m:sub>
                <m:r>
                  <m:t>s</m:t>
                </m:r>
              </m:sub>
            </m:sSub>
          </m:num>
          <m:den>
            <m:r>
              <m:t>N</m:t>
            </m:r>
            <m:sSub>
              <m:sSubPr/>
              <m:e>
                <m:r>
                  <m:t>A</m:t>
                </m:r>
              </m:e>
              <m:sub>
                <m:r>
                  <m:t>e</m:t>
                </m:r>
              </m:sub>
            </m:sSub>
          </m:den>
        </m:f>
      </m:oMath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(3)</w:t>
      </w:r>
    </w:p>
    <w:p>
      <w:pPr>
        <w:spacing w:after="0" w:before="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que não depende do material. A indutância incremental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) =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inc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)/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fixa a ondulação Δ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D 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); quando Δ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&gt; 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, o período foi tratado em modo descontínuo (DCM), com o tempo de condução ajustado para manter a corrente média. A perda no núcleo de cada período é dada pela iGSE [11],</w:t>
      </w:r>
    </w:p>
    <w:p>
      <w:pPr>
        <w:tabs>
          <w:tab w:val="center" w:pos="2520"/>
          <w:tab w:val="right" w:pos="5040"/>
        </w:tabs>
        <w:spacing w:after="80" w:before="80"/>
      </w:pPr>
      <w:r>
        <w:tab/>
      </w:r>
      <m:oMath>
        <m:sSub>
          <m:sSubPr/>
          <m:e>
            <m:r>
              <m:t>P</m:t>
            </m:r>
          </m:e>
          <m:sub>
            <m:r>
              <m:t>v</m:t>
            </m:r>
          </m:sub>
        </m:sSub>
        <m:r>
          <m:t>=</m:t>
        </m:r>
        <m:f>
          <m:num>
            <m:r>
              <m:t>1</m:t>
            </m:r>
          </m:num>
          <m:den>
            <m:sSub>
              <m:sSubPr/>
              <m:e>
                <m:r>
                  <m:t>T</m:t>
                </m:r>
              </m:e>
              <m:sub>
                <m:r>
                  <m:t>s</m:t>
                </m:r>
              </m:sub>
            </m:sSub>
          </m:den>
        </m:f>
        <m:nary>
          <m:naryPr>
            <m:limLoc m:val="subSup"/>
          </m:naryPr>
          <m:sub>
            <m:r>
              <m:t>0</m:t>
            </m:r>
          </m:sub>
          <m:sup>
            <m:sSub>
              <m:sSubPr/>
              <m:e>
                <m:r>
                  <m:t>T</m:t>
                </m:r>
              </m:e>
              <m:sub>
                <m:r>
                  <m:t>s</m:t>
                </m:r>
              </m:sub>
            </m:sSub>
          </m:sup>
          <m:e>
            <m:sSub>
              <m:sSubPr/>
              <m:e>
                <m:r>
                  <m:t>k</m:t>
                </m:r>
              </m:e>
              <m:sub>
                <m:r>
                  <m:t>i</m:t>
                </m:r>
              </m:sub>
            </m:sSub>
            <m:sSup>
              <m:sSupPr/>
              <m:e>
                <m:d>
                  <m:dPr>
                    <m:begChr m:val="|"/>
                    <m:endChr m:val="|"/>
                  </m:dPr>
                  <m:e>
                    <m:f>
                      <m:num>
                        <m:r>
                          <m:t>dB</m:t>
                        </m:r>
                      </m:num>
                      <m:den>
                        <m:r>
                          <m:t>dt</m:t>
                        </m:r>
                      </m:den>
                    </m:f>
                  </m:e>
                </m:d>
              </m:e>
              <m:sup>
                <m:r>
                  <m:t>α</m:t>
                </m:r>
              </m:sup>
            </m:sSup>
            <m:sSup>
              <m:sSupPr/>
              <m:e>
                <m:r>
                  <m:t>ΔB</m:t>
                </m:r>
              </m:e>
              <m:sup>
                <m:r>
                  <m:t>β−α</m:t>
                </m:r>
              </m:sup>
            </m:sSup>
            <m:r>
              <m:t>dt</m:t>
            </m:r>
          </m:e>
        </m:nary>
      </m:oMath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(4)</w:t>
      </w:r>
    </w:p>
    <w:p>
      <w:pPr>
        <w:tabs>
          <w:tab w:val="center" w:pos="2520"/>
          <w:tab w:val="right" w:pos="5040"/>
        </w:tabs>
        <w:spacing w:after="80" w:before="80"/>
      </w:pPr>
      <w:r>
        <w:tab/>
      </w:r>
      <m:oMath>
        <m:sSub>
          <m:sSubPr/>
          <m:e>
            <m:r>
              <m:t>k</m:t>
            </m:r>
          </m:e>
          <m:sub>
            <m:r>
              <m:t>i</m:t>
            </m:r>
          </m:sub>
        </m:sSub>
        <m:r>
          <m:t>=</m:t>
        </m:r>
        <m:f>
          <m:num>
            <m:r>
              <m:t>k</m:t>
            </m:r>
          </m:num>
          <m:den>
            <m:sSup>
              <m:sSupPr/>
              <m:e>
                <m:r>
                  <m:t>(2π)</m:t>
                </m:r>
              </m:e>
              <m:sup>
                <m:r>
                  <m:t>α−1</m:t>
                </m:r>
              </m:sup>
            </m:sSup>
            <m:nary>
              <m:naryPr>
                <m:limLoc m:val="subSup"/>
              </m:naryPr>
              <m:sub>
                <m:r>
                  <m:t>0</m:t>
                </m:r>
              </m:sub>
              <m:sup>
                <m:r>
                  <m:t>2π</m:t>
                </m:r>
              </m:sup>
              <m:e>
                <m:sSup>
                  <m:sSupPr/>
                  <m:e>
                    <m:d>
                      <m:dPr>
                        <m:begChr m:val="|"/>
                        <m:endChr m:val="|"/>
                      </m:dPr>
                      <m:e>
                        <m:func>
                          <m:funcPr/>
                          <m:fName>
                            <m:r>
                              <m:rPr>
                                <m:sty m:val="p"/>
                              </m:rPr>
                              <m:t>cos</m:t>
                            </m:r>
                          </m:fName>
                          <m:e>
                            <m:r>
                              <m:t>θ</m:t>
                            </m:r>
                          </m:e>
                        </m:func>
                      </m:e>
                    </m:d>
                  </m:e>
                  <m:sup>
                    <m:r>
                      <m:t>α</m:t>
                    </m:r>
                  </m:sup>
                </m:sSup>
                <m:sSup>
                  <m:sSupPr/>
                  <m:e>
                    <m:r>
                      <m:t>2</m:t>
                    </m:r>
                  </m:e>
                  <m:sup>
                    <m:r>
                      <m:t>β−α</m:t>
                    </m:r>
                  </m:sup>
                </m:sSup>
                <m:r>
                  <m:t>dθ</m:t>
                </m:r>
              </m:e>
            </m:nary>
          </m:den>
        </m:f>
      </m:oMath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(5)</w:t>
      </w:r>
    </w:p>
    <w:p>
      <w:pPr>
        <w:spacing w:after="0" w:before="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em que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são os da forma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k 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  <w:vertAlign w:val="superscript"/>
        </w:rPr>
        <w:t xml:space="preserve">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B̂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  <w:vertAlign w:val="superscript"/>
        </w:rPr>
        <w:t xml:space="preserve">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. Para fluxo triangular, (4) se reduz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Δ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  <w:vertAlign w:val="superscript"/>
        </w:rPr>
        <w:t xml:space="preserve">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  <w:vertAlign w:val="superscript"/>
        </w:rPr>
        <w:t xml:space="preserve">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perscript"/>
        </w:rPr>
        <w:t xml:space="preserve">1−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  <w:vertAlign w:val="superscript"/>
        </w:rPr>
        <w:t xml:space="preserve">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perscript"/>
        </w:rPr>
        <w:t xml:space="preserve">1−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  <w:vertAlign w:val="superscript"/>
        </w:rPr>
        <w:t xml:space="preserve">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), com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as frações do período em subida e em descida. Para que a perda média em 85 V a plena carga seja os 0,62 W de [7], a lei do catálogo foi multiplicada por 0,928 no indutor de referência; a lei de [8] foi usada sem ajuste. A perda no cobre é</w:t>
      </w:r>
    </w:p>
    <w:p>
      <w:pPr>
        <w:tabs>
          <w:tab w:val="center" w:pos="2520"/>
          <w:tab w:val="right" w:pos="5040"/>
        </w:tabs>
        <w:spacing w:after="80" w:before="80"/>
      </w:pPr>
      <w:r>
        <w:tab/>
      </w:r>
      <m:oMath>
        <m:sSub>
          <m:sSubPr/>
          <m:e>
            <m:r>
              <m:t>P</m:t>
            </m:r>
          </m:e>
          <m:sub>
            <m:r>
              <m:t>Cu</m:t>
            </m:r>
          </m:sub>
        </m:sSub>
        <m:r>
          <m:t>=</m:t>
        </m:r>
        <m:sSub>
          <m:sSubPr/>
          <m:e>
            <m:r>
              <m:t>R</m:t>
            </m:r>
          </m:e>
          <m:sub>
            <m:r>
              <m:t>CC</m:t>
            </m:r>
          </m:sub>
        </m:sSub>
        <m:sSubSup>
          <m:sSubSupPr/>
          <m:e>
            <m:r>
              <m:t>I</m:t>
            </m:r>
          </m:e>
          <m:sub>
            <m:r>
              <m:t>ef</m:t>
            </m:r>
          </m:sub>
          <m:sup>
            <m:r>
              <m:t>2</m:t>
            </m:r>
          </m:sup>
        </m:sSubSup>
        <m:r>
          <m:t>+</m:t>
        </m:r>
        <m:nary>
          <m:naryPr>
            <m:chr m:val="∑"/>
            <m:limLoc m:val="undOvr"/>
          </m:naryPr>
          <m:sub>
            <m:r>
              <m:t>n=1</m:t>
            </m:r>
          </m:sub>
          <m:sup>
            <m:r>
              <m:t>60</m:t>
            </m:r>
          </m:sup>
          <m:e>
            <m:sSub>
              <m:sSubPr/>
              <m:e>
                <m:r>
                  <m:t>R</m:t>
                </m:r>
              </m:e>
              <m:sub>
                <m:r>
                  <m:t>CC</m:t>
                </m:r>
              </m:sub>
            </m:sSub>
            <m:sSub>
              <m:sSubPr/>
              <m:e>
                <m:r>
                  <m:t>F</m:t>
                </m:r>
              </m:e>
              <m:sub>
                <m:r>
                  <m:t>R</m:t>
                </m:r>
              </m:sub>
            </m:sSub>
            <m:r>
              <m:t>(n</m:t>
            </m:r>
            <m:sSub>
              <m:sSubPr/>
              <m:e>
                <m:r>
                  <m:t>f</m:t>
                </m:r>
              </m:e>
              <m:sub>
                <m:r>
                  <m:t>s</m:t>
                </m:r>
              </m:sub>
            </m:sSub>
            <m:r>
              <m:t>)</m:t>
            </m:r>
            <m:f>
              <m:num>
                <m:sSubSup>
                  <m:sSubSupPr/>
                  <m:e>
                    <m:r>
                      <m:t>I</m:t>
                    </m:r>
                  </m:e>
                  <m:sub>
                    <m:r>
                      <m:t>n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</m:den>
            </m:f>
          </m:e>
        </m:nary>
      </m:oMath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(6)</w:t>
      </w:r>
    </w:p>
    <w:p>
      <w:pPr>
        <w:spacing w:after="0" w:before="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com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ef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a corrente eficaz de linha,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as amplitudes harmônicas da ondulação de cada período [12] 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o fator de Dowell para fio redondo [13], com uma camada e resistividade do cobre a 20 °C. A resistência do indutor nanocristalino é a de [7] multiplicada pela razão entre as espiras médias, 66,0/84,7 mm, o que dá 54,6 mΩ. Não foi usado FEM (FEMM ou Ansys Maxwell): no toroide com entreferro distribuído e enrolamento uniforme, as curvas (1) já são definidas com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N 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/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, que é o campo de que o modelo precisa, e um mapa local de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exigiria a curva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) intrínseca do pó, que [8] e [10] não fornecem. Com fluxo senoidal, (4) reproduz a equação de Steinmetz, e a potência média de entrada calculada é de 1200,0 W.</w:t>
      </w:r>
    </w:p>
    <w:p>
      <w:pPr>
        <w:keepNext/>
        <w:spacing w:after="0" w:before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sz w:val="16"/>
          <w:szCs w:val="16"/>
        </w:rPr>
        <w:t xml:space="preserve">Tabela I</w:t>
      </w:r>
    </w:p>
    <w:p>
      <w:pPr>
        <w:keepNext/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sz w:val="16"/>
          <w:szCs w:val="16"/>
        </w:rPr>
        <w:t xml:space="preserve">Propriedades dos materiais, com a fonte de cada valor</w:t>
      </w:r>
    </w:p>
    <w:tbl>
      <w:tblPr>
        <w:tblW w:type="dxa" w:w="50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240"/>
        <w:gridCol w:w="1900"/>
        <w:gridCol w:w="1900"/>
      </w:tblGrid>
      <w:tr>
        <w:trPr>
          <w:tblHeader/>
        </w:trPr>
        <w:tc>
          <w:tcPr>
            <w:tcW w:type="dxa" w:w="1240"/>
            <w:gridSpan w:val="1"/>
            <w:shd w:fill="D9D9D9" w:color="auto" w:val="clear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5"/>
                <w:szCs w:val="15"/>
              </w:rPr>
              <w:t xml:space="preserve">Item</w:t>
            </w:r>
          </w:p>
        </w:tc>
        <w:tc>
          <w:tcPr>
            <w:tcW w:type="dxa" w:w="1900"/>
            <w:gridSpan w:val="1"/>
            <w:shd w:fill="D9D9D9" w:color="auto" w:val="clear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5"/>
                <w:szCs w:val="15"/>
              </w:rPr>
              <w:t xml:space="preserve">Kool Mµ 60µ</w:t>
            </w:r>
          </w:p>
        </w:tc>
        <w:tc>
          <w:tcPr>
            <w:tcW w:type="dxa" w:w="1900"/>
            <w:gridSpan w:val="1"/>
            <w:shd w:fill="D9D9D9" w:color="auto" w:val="clear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5"/>
                <w:szCs w:val="15"/>
              </w:rPr>
              <w:t xml:space="preserve">Pó nanocristalino 60µ</w:t>
            </w:r>
          </w:p>
        </w:tc>
      </w:tr>
      <w:tr>
        <w:trPr>
          <w:cantSplit/>
        </w:trPr>
        <w:tc>
          <w:tcPr>
            <w:tcW w:type="dxa" w:w="124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Origem dos dados</w:t>
            </w:r>
          </w:p>
        </w:tc>
        <w:tc>
          <w:tcPr>
            <w:tcW w:type="dxa" w:w="19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Catálogo do fabricante [10]</w:t>
            </w:r>
          </w:p>
        </w:tc>
        <w:tc>
          <w:tcPr>
            <w:tcW w:type="dxa" w:w="19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Ensaio da literatura [8]</w:t>
            </w:r>
          </w:p>
        </w:tc>
      </w:tr>
      <w:tr>
        <w:trPr>
          <w:cantSplit/>
        </w:trPr>
        <w:tc>
          <w:tcPr>
            <w:tcW w:type="dxa" w:w="124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μ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  <w:vertAlign w:val="subscript"/>
              </w:rPr>
              <w:t xml:space="preserve">i</w:t>
            </w:r>
          </w:p>
        </w:tc>
        <w:tc>
          <w:tcPr>
            <w:tcW w:type="dxa" w:w="19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60 [10]</w:t>
            </w:r>
          </w:p>
        </w:tc>
        <w:tc>
          <w:tcPr>
            <w:tcW w:type="dxa" w:w="19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60 [8, Tab. III]</w:t>
            </w:r>
          </w:p>
        </w:tc>
      </w:tr>
      <w:tr>
        <w:trPr>
          <w:cantSplit/>
        </w:trPr>
        <w:tc>
          <w:tcPr>
            <w:tcW w:type="dxa" w:w="124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Queda de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μ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, (1)</w:t>
            </w:r>
          </w:p>
        </w:tc>
        <w:tc>
          <w:tcPr>
            <w:tcW w:type="dxa" w:w="19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  <w:vertAlign w:val="subscript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 = 75,6 A/cm;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 = 1,855 [10, p. 63]</w:t>
            </w:r>
          </w:p>
        </w:tc>
        <w:tc>
          <w:tcPr>
            <w:tcW w:type="dxa" w:w="19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  <w:vertAlign w:val="subscript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 = 93,0 A/cm;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 = 1,71 [8, Fig. 4]</w:t>
            </w:r>
          </w:p>
        </w:tc>
      </w:tr>
      <w:tr>
        <w:trPr>
          <w:cantSplit/>
        </w:trPr>
        <w:tc>
          <w:tcPr>
            <w:tcW w:type="dxa" w:w="124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μ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  <w:vertAlign w:val="subscript"/>
              </w:rPr>
              <w:t xml:space="preserve">inc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μ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  <w:vertAlign w:val="subscript"/>
              </w:rPr>
              <w:t xml:space="preserve">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 a 129,9 A/cm</w:t>
            </w:r>
          </w:p>
        </w:tc>
        <w:tc>
          <w:tcPr>
            <w:tcW w:type="dxa" w:w="19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26,8 % (24,3 % no indutor de [7])</w:t>
            </w:r>
          </w:p>
        </w:tc>
        <w:tc>
          <w:tcPr>
            <w:tcW w:type="dxa" w:w="19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36,1 %</w:t>
            </w:r>
          </w:p>
        </w:tc>
      </w:tr>
      <w:tr>
        <w:trPr>
          <w:cantSplit/>
        </w:trPr>
        <w:tc>
          <w:tcPr>
            <w:tcW w:type="dxa" w:w="124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B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 integrada, (2), a 129,9 A/cm</w:t>
            </w:r>
          </w:p>
        </w:tc>
        <w:tc>
          <w:tcPr>
            <w:tcW w:type="dxa" w:w="19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0,59 T</w:t>
            </w:r>
          </w:p>
        </w:tc>
        <w:tc>
          <w:tcPr>
            <w:tcW w:type="dxa" w:w="19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0,65 T</w:t>
            </w:r>
          </w:p>
        </w:tc>
      </w:tr>
      <w:tr>
        <w:trPr>
          <w:cantSplit/>
        </w:trPr>
        <w:tc>
          <w:tcPr>
            <w:tcW w:type="dxa" w:w="124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Lei de perda</w:t>
            </w:r>
          </w:p>
        </w:tc>
        <w:tc>
          <w:tcPr>
            <w:tcW w:type="dxa" w:w="19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 = 44,30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B̂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  <w:vertAlign w:val="superscript"/>
              </w:rPr>
              <w:t xml:space="preserve">1,988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f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  <w:vertAlign w:val="superscript"/>
              </w:rPr>
              <w:t xml:space="preserve">1,541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 [10, p. 109]</w:t>
            </w:r>
          </w:p>
        </w:tc>
        <w:tc>
          <w:tcPr>
            <w:tcW w:type="dxa" w:w="19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 = 89,38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f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  <w:vertAlign w:val="superscript"/>
              </w:rPr>
              <w:t xml:space="preserve">1,193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 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B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  <w:vertAlign w:val="superscript"/>
              </w:rPr>
              <w:t xml:space="preserve">2,01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 [8, Seç. IV-B]</w:t>
            </w:r>
          </w:p>
        </w:tc>
      </w:tr>
      <w:tr>
        <w:trPr>
          <w:cantSplit/>
        </w:trPr>
        <w:tc>
          <w:tcPr>
            <w:tcW w:type="dxa" w:w="124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Unidades; indução</w:t>
            </w:r>
          </w:p>
        </w:tc>
        <w:tc>
          <w:tcPr>
            <w:tcW w:type="dxa" w:w="19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mW/cm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  <w:vertAlign w:val="superscript"/>
              </w:rPr>
              <w:t xml:space="preserve">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, kHz, T;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B̂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 = 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B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/2 [10, p. 23]</w:t>
            </w:r>
          </w:p>
        </w:tc>
        <w:tc>
          <w:tcPr>
            <w:tcW w:type="dxa" w:w="19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kW/m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  <w:vertAlign w:val="superscript"/>
              </w:rPr>
              <w:t xml:space="preserve">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, kHz, T; 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B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 pico a pico (Seç. II-C)</w:t>
            </w:r>
          </w:p>
        </w:tc>
      </w:tr>
      <w:tr>
        <w:trPr>
          <w:cantSplit/>
        </w:trPr>
        <w:tc>
          <w:tcPr>
            <w:tcW w:type="dxa" w:w="124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  <w:vertAlign w:val="subscript"/>
              </w:rPr>
              <w:t xml:space="preserve">v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 a 100 kHz e 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B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 = 100 mT</w:t>
            </w:r>
          </w:p>
        </w:tc>
        <w:tc>
          <w:tcPr>
            <w:tcW w:type="dxa" w:w="19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139 kW/m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  <w:vertAlign w:val="superscript"/>
              </w:rPr>
              <w:t xml:space="preserve">3</w:t>
            </w:r>
          </w:p>
        </w:tc>
        <w:tc>
          <w:tcPr>
            <w:tcW w:type="dxa" w:w="19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212 kW/m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  <w:vertAlign w:val="superscript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4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Reprodução de [8], 100 e 200 kHz</w:t>
            </w:r>
          </w:p>
        </w:tc>
        <w:tc>
          <w:tcPr>
            <w:tcW w:type="dxa" w:w="19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−5,0 %; +19,0 %</w:t>
            </w:r>
          </w:p>
        </w:tc>
        <w:tc>
          <w:tcPr>
            <w:tcW w:type="dxa" w:w="19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−1,3 %; +6,4 %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200400" cy="3429000"/>
            <wp:effectExtent t="0" r="0" b="0" l="0"/>
            <wp:docPr id="1" name="fig1" descr="(a) Permeabilidade incremental relativa a μi em função do campo de polarização: Kool Mµ pelo catálogo [10] e no indutor de [7], com H0 ajustado aos valores de [7], e pó nanocristalino [8]. (b) Densidade de perda a 100 kHz sob excitação senoidal em função de ΔB pico a pico, pelas leis de [10] e [8], e perdas medidas em [8] com 248 mT pico a pico no núcleo de 28,6 cm³." title="Fig.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Fig. 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(a) Permeabilidade incremental relativa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16"/>
          <w:szCs w:val="16"/>
        </w:rPr>
        <w:t xml:space="preserve">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 em função do campo de polarização: Kool Mµ pelo catálogo [10] e no indutor de [7], com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16"/>
          <w:szCs w:val="16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 ajustado aos valores de [7], e pó nanocristalino [8]. (b) Densidade de perda a 100 kHz sob excitação senoidal em função de Δ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16"/>
          <w:szCs w:val="16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 pico a pico, pelas leis de [10] e [8], e perdas medidas em [8] com 248 mT pico a pico no núcleo de 28,6 cm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.</w:t>
      </w:r>
    </w:p>
    <w:p>
      <w:pPr>
        <w:keepNext/>
        <w:spacing w:after="100" w:before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sz w:val="20"/>
          <w:szCs w:val="20"/>
        </w:rPr>
        <w:t xml:space="preserve">III. Resultados</w:t>
      </w:r>
    </w:p>
    <w:p>
      <w:pPr>
        <w:keepNext/>
        <w:spacing w:after="60" w:before="1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A. Propriedades dos materiais</w:t>
      </w:r>
    </w:p>
    <w:p>
      <w:pPr>
        <w:spacing w:after="0" w:before="0"/>
        <w:ind w:firstLine="20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Na crista de 85 V, 129,9 A/cm, o pó nanocristalino retém 36,1 % de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, contra 26,8 % do Kool Mµ pelo catálogo e 24,3 % no indutor de [7] (Fig. 1(a) e Tabela I); nesse campo, a curva integrada (2) dá 0,65 T no pó nanocristalino e 0,59 T no Kool Mµ. Com o mesmo Δ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, a perda do pó nanocristalino é maior: a 100 kHz e Δ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100 mT, 212 contra 139 kW/m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, razão de 1,53 (Fig. 1(b)), com expoentes de indução próximos (2,01 e 1,988).</w:t>
      </w:r>
    </w:p>
    <w:p>
      <w:pPr>
        <w:keepNext/>
        <w:spacing w:after="60" w:before="1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B. Reprojeto e tamanho</w:t>
      </w:r>
    </w:p>
    <w:p>
      <w:pPr>
        <w:spacing w:after="0" w:before="0"/>
        <w:ind w:firstLine="20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O núcleo nanocristalino de 21,4 mm atende ao requisito com 168,8 µH a 19,97 A (Fig. 2(a)). Sem polarização, a indutância cai de 680 para 468 µH, mas acima de 18,6 A o indutor nanocristalino tem indutância maior que a da referência: 147 contra 139 µH a 22,5 A. A Tabela II compara os dois componentes. O volume efetivo do núcleo cai 30,4 %, de 21,2 para 14,8 cm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, e o da envoltória do componente enrolado cai 26,2 %, de 52,2 para 38,5 cm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. A espira média encurta 22,1 %, assim como a resistência CC e a massa de cobre. A seção menor eleva o Δ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máximo no semiciclo de 73,0 para 104,9 mT e a indução máxima em 85 V de 0,60 para 0,70 T.</w:t>
      </w:r>
    </w:p>
    <w:p>
      <w:pPr>
        <w:spacing w:after="0" w:before="0"/>
        <w:ind w:firstLine="20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No espaço de projeto (Fig. 2(b)), mais espiras reduzem o núcleo e a perda em 230 V e elevam a perda em 85 V; o degrau perto de 78 % do volume corresponde à segunda camada na face interna, a partir de 57 espiras. De 40 a 96 espiras, a perda total a plena carga fica entre 79 % e 98 % da referência em 85 V e entre 111 % e 163 % em 230 V.</w:t>
      </w:r>
    </w:p>
    <w:p>
      <w:pPr>
        <w:keepNext/>
        <w:spacing w:after="0" w:before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sz w:val="16"/>
          <w:szCs w:val="16"/>
        </w:rPr>
        <w:t xml:space="preserve">Tabela II</w:t>
      </w:r>
    </w:p>
    <w:p>
      <w:pPr>
        <w:keepNext/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sz w:val="16"/>
          <w:szCs w:val="16"/>
        </w:rPr>
        <w:t xml:space="preserve">Indutor de referência e indutor reprojetado com pó nanocristalino</w:t>
      </w:r>
    </w:p>
    <w:tbl>
      <w:tblPr>
        <w:tblW w:type="dxa" w:w="50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30"/>
        <w:gridCol w:w="1180"/>
        <w:gridCol w:w="1180"/>
        <w:gridCol w:w="850"/>
      </w:tblGrid>
      <w:tr>
        <w:trPr>
          <w:tblHeader/>
        </w:trPr>
        <w:tc>
          <w:tcPr>
            <w:tcW w:type="dxa" w:w="1830"/>
            <w:gridSpan w:val="1"/>
            <w:shd w:fill="D9D9D9" w:color="auto" w:val="clear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5"/>
                <w:szCs w:val="15"/>
              </w:rPr>
              <w:t xml:space="preserve">Item</w:t>
            </w:r>
          </w:p>
        </w:tc>
        <w:tc>
          <w:tcPr>
            <w:tcW w:type="dxa" w:w="1180"/>
            <w:gridSpan w:val="1"/>
            <w:shd w:fill="D9D9D9" w:color="auto" w:val="clear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5"/>
                <w:szCs w:val="15"/>
              </w:rPr>
              <w:t xml:space="preserve">Referência, Kool Mµ [7]</w:t>
            </w:r>
          </w:p>
        </w:tc>
        <w:tc>
          <w:tcPr>
            <w:tcW w:type="dxa" w:w="1180"/>
            <w:gridSpan w:val="1"/>
            <w:shd w:fill="D9D9D9" w:color="auto" w:val="clear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5"/>
                <w:szCs w:val="15"/>
              </w:rPr>
              <w:t xml:space="preserve">Pó nanocristalino</w:t>
            </w:r>
          </w:p>
        </w:tc>
        <w:tc>
          <w:tcPr>
            <w:tcW w:type="dxa" w:w="850"/>
            <w:gridSpan w:val="1"/>
            <w:shd w:fill="D9D9D9" w:color="auto" w:val="clear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5"/>
                <w:szCs w:val="15"/>
              </w:rPr>
              <w:t xml:space="preserve">Variação</w:t>
            </w:r>
          </w:p>
        </w:tc>
      </w:tr>
      <w:tr>
        <w:trPr>
          <w:cantSplit/>
        </w:trPr>
        <w:tc>
          <w:tcPr>
            <w:tcW w:type="dxa" w:w="183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Núcleo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2 × 0077083A7 empilhados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Toroide, mesmos diâmetros</w:t>
            </w:r>
          </w:p>
        </w:tc>
        <w:tc>
          <w:tcPr>
            <w:tcW w:type="dxa" w:w="85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</w:p>
        </w:tc>
      </w:tr>
      <w:tr>
        <w:trPr>
          <w:cantSplit/>
        </w:trPr>
        <w:tc>
          <w:tcPr>
            <w:tcW w:type="dxa" w:w="183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Diâmetros × altura (mm)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40,77 × 23,32 × 30,74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40,77 × 23,32 × 21,4</w:t>
            </w:r>
          </w:p>
        </w:tc>
        <w:tc>
          <w:tcPr>
            <w:tcW w:type="dxa" w:w="85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−30,4 %</w:t>
            </w:r>
          </w:p>
        </w:tc>
      </w:tr>
      <w:tr>
        <w:trPr>
          <w:cantSplit/>
        </w:trPr>
        <w:tc>
          <w:tcPr>
            <w:tcW w:type="dxa" w:w="183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  <w:vertAlign w:val="subscript"/>
              </w:rPr>
              <w:t xml:space="preserve">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 (mm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  <w:vertAlign w:val="super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);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V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  <w:vertAlign w:val="subscript"/>
              </w:rPr>
              <w:t xml:space="preserve">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 (cm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  <w:vertAlign w:val="superscript"/>
              </w:rPr>
              <w:t xml:space="preserve">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214; 21,2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149; 14,8</w:t>
            </w:r>
          </w:p>
        </w:tc>
        <w:tc>
          <w:tcPr>
            <w:tcW w:type="dxa" w:w="85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−30,4 %</w:t>
            </w:r>
          </w:p>
        </w:tc>
      </w:tr>
      <w:tr>
        <w:trPr>
          <w:cantSplit/>
        </w:trPr>
        <w:tc>
          <w:tcPr>
            <w:tcW w:type="dxa" w:w="183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Espiras; fio; ocupação da janela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64; 1,15 mm; 17,5 %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64; 1,15 mm; 17,5 %</w:t>
            </w:r>
          </w:p>
        </w:tc>
        <w:tc>
          <w:tcPr>
            <w:tcW w:type="dxa" w:w="85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83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Espira média (mm)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84,7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66,0</w:t>
            </w:r>
          </w:p>
        </w:tc>
        <w:tc>
          <w:tcPr>
            <w:tcW w:type="dxa" w:w="85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−22,1 %</w:t>
            </w:r>
          </w:p>
        </w:tc>
      </w:tr>
      <w:tr>
        <w:trPr>
          <w:cantSplit/>
        </w:trPr>
        <w:tc>
          <w:tcPr>
            <w:tcW w:type="dxa" w:w="183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Resistência CC (mΩ)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70 [7]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54,6</w:t>
            </w:r>
          </w:p>
        </w:tc>
        <w:tc>
          <w:tcPr>
            <w:tcW w:type="dxa" w:w="85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−22,1 %</w:t>
            </w:r>
          </w:p>
        </w:tc>
      </w:tr>
      <w:tr>
        <w:trPr>
          <w:cantSplit/>
        </w:trPr>
        <w:tc>
          <w:tcPr>
            <w:tcW w:type="dxa" w:w="183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 sem polarização (µH)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680 [7]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468</w:t>
            </w:r>
          </w:p>
        </w:tc>
        <w:tc>
          <w:tcPr>
            <w:tcW w:type="dxa" w:w="85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−31,2 %</w:t>
            </w:r>
          </w:p>
        </w:tc>
      </w:tr>
      <w:tr>
        <w:trPr>
          <w:cantSplit/>
        </w:trPr>
        <w:tc>
          <w:tcPr>
            <w:tcW w:type="dxa" w:w="183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 a 19,97 A; a 22,5 A (µH)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165 [7]; 139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168,8; 147</w:t>
            </w:r>
          </w:p>
        </w:tc>
        <w:tc>
          <w:tcPr>
            <w:tcW w:type="dxa" w:w="85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+2,3 %; +6,1 %</w:t>
            </w:r>
          </w:p>
        </w:tc>
      </w:tr>
      <w:tr>
        <w:trPr>
          <w:cantSplit/>
        </w:trPr>
        <w:tc>
          <w:tcPr>
            <w:tcW w:type="dxa" w:w="183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B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 máxima em 85 V (T)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0,60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0,70</w:t>
            </w:r>
          </w:p>
        </w:tc>
        <w:tc>
          <w:tcPr>
            <w:tcW w:type="dxa" w:w="85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+16,6 %</w:t>
            </w:r>
          </w:p>
        </w:tc>
      </w:tr>
      <w:tr>
        <w:trPr>
          <w:cantSplit/>
        </w:trPr>
        <w:tc>
          <w:tcPr>
            <w:tcW w:type="dxa" w:w="183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mallCaps w:val="false"/>
                <w:sz w:val="15"/>
                <w:szCs w:val="15"/>
              </w:rPr>
              <w:t xml:space="preserve">B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 máxima no semiciclo (mT)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73,0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104,9</w:t>
            </w:r>
          </w:p>
        </w:tc>
        <w:tc>
          <w:tcPr>
            <w:tcW w:type="dxa" w:w="85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+43,7 %</w:t>
            </w:r>
          </w:p>
        </w:tc>
      </w:tr>
      <w:tr>
        <w:trPr>
          <w:cantSplit/>
        </w:trPr>
        <w:tc>
          <w:tcPr>
            <w:tcW w:type="dxa" w:w="183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Envoltória enrolada, diâmetro × altura (mm)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43,2 × 35,6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43,2 × 26,3</w:t>
            </w:r>
          </w:p>
        </w:tc>
        <w:tc>
          <w:tcPr>
            <w:tcW w:type="dxa" w:w="85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−26,2 %</w:t>
            </w:r>
          </w:p>
        </w:tc>
      </w:tr>
      <w:tr>
        <w:trPr>
          <w:cantSplit/>
        </w:trPr>
        <w:tc>
          <w:tcPr>
            <w:tcW w:type="dxa" w:w="183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Volume da envoltória (cm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  <w:vertAlign w:val="superscript"/>
              </w:rPr>
              <w:t xml:space="preserve">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)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52,2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38,5</w:t>
            </w:r>
          </w:p>
        </w:tc>
        <w:tc>
          <w:tcPr>
            <w:tcW w:type="dxa" w:w="85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−26,2 %</w:t>
            </w:r>
          </w:p>
        </w:tc>
      </w:tr>
      <w:tr>
        <w:trPr>
          <w:cantSplit/>
        </w:trPr>
        <w:tc>
          <w:tcPr>
            <w:tcW w:type="dxa" w:w="183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Massa de cobre (g)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50,4</w:t>
            </w:r>
          </w:p>
        </w:tc>
        <w:tc>
          <w:tcPr>
            <w:tcW w:type="dxa" w:w="118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39,3</w:t>
            </w:r>
          </w:p>
        </w:tc>
        <w:tc>
          <w:tcPr>
            <w:tcW w:type="dxa" w:w="85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5"/>
                <w:szCs w:val="15"/>
              </w:rPr>
              <w:t xml:space="preserve">−22,1 %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200400" cy="3429000"/>
            <wp:effectExtent t="0" r="0" b="0" l="0"/>
            <wp:docPr id="1" name="fig2" descr="(a) Indutância incremental em função da corrente de polarização no indutor de referência e no nanocristalino de 21,4 mm, com os valores de [7] e o requisito de 168,5 µH a 19,97 A. (b) Espaço de projeto do indutor nanocristalino: perda total a plena carga em 85 e 230 V e volume efetivo do núcleo, relativos à referência, de 40 a 96 espiras, cada projeto com a menor altura que atende ao requisito; marcadores maiores: 64 espiras." title="Fig.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Fig. 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(a) Indutância incremental em função da corrente de polarização no indutor de referência e no nanocristalino de 21,4 mm, com os valores de [7] e o requisito de 168,5 µH a 19,97 A. (b) Espaço de projeto do indutor nanocristalino: perda total a plena carga em 85 e 230 V e volume efetivo do núcleo, relativos à referência, de 40 a 96 espiras, cada projeto com a menor altura que atende ao requisito; marcadores maiores: 64 espiras.</w:t>
      </w:r>
    </w:p>
    <w:p>
      <w:pPr>
        <w:keepNext/>
        <w:spacing w:after="60" w:before="1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C. Perdas ao longo do semiciclo</w:t>
      </w:r>
    </w:p>
    <w:p>
      <w:pPr>
        <w:spacing w:after="0" w:before="0"/>
        <w:ind w:firstLine="20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A Fig. 3 mostra as perdas em cada período a plena carga. Em 85 V, o cobre domina e acompanha o quadrado da corrente, com máximo na crista: 28,6 W na referência e 22,3 W no indutor nanocristalino. A perda no núcleo também é máxima na crista, onde Δ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é máximo: 1,01 contra 2,41 W. Em 230 V, Δ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é máximo onde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/2, em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= 38° e 142°, e a perda no núcleo tem dois máximos, de 1,32 W na referência e de 3,35 W no indutor nanocristalino; nesses ângulos, a perda no núcleo do indutor nanocristalino é 2,7 vezes a do seu cobre.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200400" cy="3429000"/>
            <wp:effectExtent t="0" r="0" b="0" l="0"/>
            <wp:docPr id="1" name="fig3" descr="Perda no núcleo e no cobre (componentes de rede e de chaveamento) em cada período ao longo do semiciclo da rede, a plena carga: (a) 85 V; (b) 230 V. Entre parênteses, as médias no semiciclo." title="Fig.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Fig. 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Perda no núcleo e no cobre (componentes de rede e de chaveamento) em cada período ao longo do semiciclo da rede, a plena carga: (a) 85 V; (b) 230 V. Entre parênteses, as médias no semiciclo.</w:t>
      </w:r>
    </w:p>
    <w:p>
      <w:pPr>
        <w:keepNext/>
        <w:spacing w:after="60" w:before="1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D. Perdas de 85 a 265 VAC e em três cargas</w:t>
      </w:r>
    </w:p>
    <w:p>
      <w:pPr>
        <w:spacing w:after="0" w:before="0"/>
        <w:ind w:firstLine="20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A Fig. 4 e a Tabela III mostram as perdas médias. Em CCM, a perda no núcleo não depende da carga, porque Δ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é imposto pela tensão em (3); as curvas de 50 % e 100 % coincidem, e a de 20 % se separa quando parte do semiciclo entra em DCM, a partir de 150 V no indutor nanocristalino e de 181 V na referência (em 230 V, 50,5 % e 31,5 % do semiciclo). Nos dois indutores, a perda no núcleo é máxima perto de 176 V; no nanocristalino, ela é de 91 % a 145 % maior. A perda no cobre varia com o quadrado da corrente; no indutor nanocristalino, é de 20 % a 22 % menor a plena carga, e a diferença se anula com 20 % de carga em tensão alta, em que a menor indutância sem polarização aumenta a parcela de chaveamento.</w:t>
      </w:r>
    </w:p>
    <w:p>
      <w:pPr>
        <w:spacing w:after="0" w:before="0"/>
        <w:ind w:firstLine="20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A plena carga, a perda total do indutor nanocristalino é 15,9 % menor em 85 V e 6,4 % menor em 115 V, iguala a da referência em 131 V e é 28,6 % e 29,2 % maior em 230 e 265 V. Com 50 % de carga, a diferença vai de +0,5 % em 85 V a +80,9 % perto de 234 V; com 20 % de carga, de +55,5 % em 85 V a +121,5 % perto de 173 V.</w:t>
      </w:r>
    </w:p>
    <w:p>
      <w:pPr>
        <w:keepNext/>
        <w:spacing w:after="0" w:before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sz w:val="16"/>
          <w:szCs w:val="16"/>
        </w:rPr>
        <w:t xml:space="preserve">Tabela III</w:t>
      </w:r>
    </w:p>
    <w:p>
      <w:pPr>
        <w:keepNext/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sz w:val="16"/>
          <w:szCs w:val="16"/>
        </w:rPr>
        <w:t xml:space="preserve">Perdas médias no semiciclo (W) e variação do indutor nanocristalino em relação à referência</w:t>
      </w:r>
    </w:p>
    <w:tbl>
      <w:tblPr>
        <w:tblW w:type="dxa" w:w="50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"/>
        <w:gridCol w:w="50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</w:tblGrid>
      <w:tr>
        <w:trPr>
          <w:tblHeader/>
        </w:trPr>
        <w:tc>
          <w:tcPr>
            <w:tcW w:type="dxa" w:w="400"/>
            <w:gridSpan w:val="1"/>
            <w:vMerge w:val="restart"/>
            <w:shd w:fill="D9D9D9" w:color="auto" w:val="clear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mallCaps w:val="false"/>
                <w:sz w:val="14"/>
                <w:szCs w:val="14"/>
              </w:rPr>
              <w:t xml:space="preserve">V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4"/>
                <w:szCs w:val="14"/>
                <w:vertAlign w:val="subscript"/>
              </w:rPr>
              <w:t xml:space="preserve">ac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4"/>
                <w:szCs w:val="14"/>
              </w:rPr>
              <w:t xml:space="preserve"> (V)</w:t>
            </w:r>
          </w:p>
        </w:tc>
        <w:tc>
          <w:tcPr>
            <w:tcW w:type="dxa" w:w="500"/>
            <w:gridSpan w:val="1"/>
            <w:vMerge w:val="restart"/>
            <w:shd w:fill="D9D9D9" w:color="auto" w:val="clear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4"/>
                <w:szCs w:val="14"/>
              </w:rPr>
              <w:t xml:space="preserve">Carga (%)</w:t>
            </w:r>
          </w:p>
        </w:tc>
        <w:tc>
          <w:tcPr>
            <w:tcW w:type="dxa" w:w="1380"/>
            <w:gridSpan w:val="3"/>
            <w:shd w:fill="D9D9D9" w:color="auto" w:val="clear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4"/>
                <w:szCs w:val="14"/>
              </w:rPr>
              <w:t xml:space="preserve">Núcleo</w:t>
            </w:r>
          </w:p>
        </w:tc>
        <w:tc>
          <w:tcPr>
            <w:tcW w:type="dxa" w:w="1380"/>
            <w:gridSpan w:val="3"/>
            <w:shd w:fill="D9D9D9" w:color="auto" w:val="clear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4"/>
                <w:szCs w:val="14"/>
              </w:rPr>
              <w:t xml:space="preserve">Cobre</w:t>
            </w:r>
          </w:p>
        </w:tc>
        <w:tc>
          <w:tcPr>
            <w:tcW w:type="dxa" w:w="1380"/>
            <w:gridSpan w:val="3"/>
            <w:shd w:fill="D9D9D9" w:color="auto" w:val="clear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4"/>
                <w:szCs w:val="14"/>
              </w:rPr>
              <w:t xml:space="preserve">Total</w:t>
            </w:r>
          </w:p>
        </w:tc>
      </w:tr>
      <w:tr>
        <w:trPr>
          <w:tblHeader/>
        </w:trPr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tcW w:type="dxa" w:w="460"/>
            <w:gridSpan w:val="1"/>
            <w:shd w:fill="D9D9D9" w:color="auto" w:val="clear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4"/>
                <w:szCs w:val="14"/>
              </w:rPr>
              <w:t xml:space="preserve">Ref.</w:t>
            </w:r>
          </w:p>
        </w:tc>
        <w:tc>
          <w:tcPr>
            <w:tcW w:type="dxa" w:w="460"/>
            <w:gridSpan w:val="1"/>
            <w:shd w:fill="D9D9D9" w:color="auto" w:val="clear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4"/>
                <w:szCs w:val="14"/>
              </w:rPr>
              <w:t xml:space="preserve">Nano</w:t>
            </w:r>
          </w:p>
        </w:tc>
        <w:tc>
          <w:tcPr>
            <w:tcW w:type="dxa" w:w="460"/>
            <w:gridSpan w:val="1"/>
            <w:shd w:fill="D9D9D9" w:color="auto" w:val="clear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4"/>
                <w:szCs w:val="14"/>
              </w:rPr>
              <w:t xml:space="preserve">Δ (%)</w:t>
            </w:r>
          </w:p>
        </w:tc>
        <w:tc>
          <w:tcPr>
            <w:tcW w:type="dxa" w:w="460"/>
            <w:gridSpan w:val="1"/>
            <w:shd w:fill="D9D9D9" w:color="auto" w:val="clear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4"/>
                <w:szCs w:val="14"/>
              </w:rPr>
              <w:t xml:space="preserve">Ref.</w:t>
            </w:r>
          </w:p>
        </w:tc>
        <w:tc>
          <w:tcPr>
            <w:tcW w:type="dxa" w:w="460"/>
            <w:gridSpan w:val="1"/>
            <w:shd w:fill="D9D9D9" w:color="auto" w:val="clear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4"/>
                <w:szCs w:val="14"/>
              </w:rPr>
              <w:t xml:space="preserve">Nano</w:t>
            </w:r>
          </w:p>
        </w:tc>
        <w:tc>
          <w:tcPr>
            <w:tcW w:type="dxa" w:w="460"/>
            <w:gridSpan w:val="1"/>
            <w:shd w:fill="D9D9D9" w:color="auto" w:val="clear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4"/>
                <w:szCs w:val="14"/>
              </w:rPr>
              <w:t xml:space="preserve">Δ (%)</w:t>
            </w:r>
          </w:p>
        </w:tc>
        <w:tc>
          <w:tcPr>
            <w:tcW w:type="dxa" w:w="460"/>
            <w:gridSpan w:val="1"/>
            <w:shd w:fill="D9D9D9" w:color="auto" w:val="clear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4"/>
                <w:szCs w:val="14"/>
              </w:rPr>
              <w:t xml:space="preserve">Ref.</w:t>
            </w:r>
          </w:p>
        </w:tc>
        <w:tc>
          <w:tcPr>
            <w:tcW w:type="dxa" w:w="460"/>
            <w:gridSpan w:val="1"/>
            <w:shd w:fill="D9D9D9" w:color="auto" w:val="clear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4"/>
                <w:szCs w:val="14"/>
              </w:rPr>
              <w:t xml:space="preserve">Nano</w:t>
            </w:r>
          </w:p>
        </w:tc>
        <w:tc>
          <w:tcPr>
            <w:tcW w:type="dxa" w:w="460"/>
            <w:gridSpan w:val="1"/>
            <w:shd w:fill="D9D9D9" w:color="auto" w:val="clear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4"/>
                <w:szCs w:val="14"/>
              </w:rPr>
              <w:t xml:space="preserve">Δ (%)</w:t>
            </w:r>
          </w:p>
        </w:tc>
      </w:tr>
      <w:tr>
        <w:trPr>
          <w:cantSplit/>
        </w:trPr>
        <w:tc>
          <w:tcPr>
            <w:tcW w:type="dxa" w:w="4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85</w:t>
            </w:r>
          </w:p>
        </w:tc>
        <w:tc>
          <w:tcPr>
            <w:tcW w:type="dxa" w:w="5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0,62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1,40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+125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0,59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0,48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−18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1,21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1,88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+55,5</w:t>
            </w:r>
          </w:p>
        </w:tc>
      </w:tr>
      <w:tr>
        <w:trPr>
          <w:cantSplit/>
        </w:trPr>
        <w:tc>
          <w:tcPr>
            <w:tcW w:type="dxa" w:w="4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85</w:t>
            </w:r>
          </w:p>
        </w:tc>
        <w:tc>
          <w:tcPr>
            <w:tcW w:type="dxa" w:w="5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0,62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1,40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+125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3,55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2,80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−21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4,17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4,19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+0,5</w:t>
            </w:r>
          </w:p>
        </w:tc>
      </w:tr>
      <w:tr>
        <w:trPr>
          <w:cantSplit/>
        </w:trPr>
        <w:tc>
          <w:tcPr>
            <w:tcW w:type="dxa" w:w="4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85</w:t>
            </w:r>
          </w:p>
        </w:tc>
        <w:tc>
          <w:tcPr>
            <w:tcW w:type="dxa" w:w="5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0,62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1,40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+125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14,22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11,09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−22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14,84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12,49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−15,9</w:t>
            </w:r>
          </w:p>
        </w:tc>
      </w:tr>
      <w:tr>
        <w:trPr>
          <w:cantSplit/>
        </w:trPr>
        <w:tc>
          <w:tcPr>
            <w:tcW w:type="dxa" w:w="4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115</w:t>
            </w:r>
          </w:p>
        </w:tc>
        <w:tc>
          <w:tcPr>
            <w:tcW w:type="dxa" w:w="5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0,82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1,96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+138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0,34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0,30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−13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1,16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2,25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+93,5</w:t>
            </w:r>
          </w:p>
        </w:tc>
      </w:tr>
      <w:tr>
        <w:trPr>
          <w:cantSplit/>
        </w:trPr>
        <w:tc>
          <w:tcPr>
            <w:tcW w:type="dxa" w:w="4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115</w:t>
            </w:r>
          </w:p>
        </w:tc>
        <w:tc>
          <w:tcPr>
            <w:tcW w:type="dxa" w:w="5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0,82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1,96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+138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1,97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1,57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−20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2,79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3,52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+26,4</w:t>
            </w:r>
          </w:p>
        </w:tc>
      </w:tr>
      <w:tr>
        <w:trPr>
          <w:cantSplit/>
        </w:trPr>
        <w:tc>
          <w:tcPr>
            <w:tcW w:type="dxa" w:w="4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115</w:t>
            </w:r>
          </w:p>
        </w:tc>
        <w:tc>
          <w:tcPr>
            <w:tcW w:type="dxa" w:w="5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0,82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1,96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+138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7,80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6,11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−22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8,62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8,07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−6,4</w:t>
            </w:r>
          </w:p>
        </w:tc>
      </w:tr>
      <w:tr>
        <w:trPr>
          <w:cantSplit/>
        </w:trPr>
        <w:tc>
          <w:tcPr>
            <w:tcW w:type="dxa" w:w="4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230</w:t>
            </w:r>
          </w:p>
        </w:tc>
        <w:tc>
          <w:tcPr>
            <w:tcW w:type="dxa" w:w="5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0,85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1,81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+112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0,11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0,12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+3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0,97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1,93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+99,7</w:t>
            </w:r>
          </w:p>
        </w:tc>
      </w:tr>
      <w:tr>
        <w:trPr>
          <w:cantSplit/>
        </w:trPr>
        <w:tc>
          <w:tcPr>
            <w:tcW w:type="dxa" w:w="4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230</w:t>
            </w:r>
          </w:p>
        </w:tc>
        <w:tc>
          <w:tcPr>
            <w:tcW w:type="dxa" w:w="5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0,88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2,08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+138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0,52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0,44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−16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1,39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2,52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+80,8</w:t>
            </w:r>
          </w:p>
        </w:tc>
      </w:tr>
      <w:tr>
        <w:trPr>
          <w:cantSplit/>
        </w:trPr>
        <w:tc>
          <w:tcPr>
            <w:tcW w:type="dxa" w:w="4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230</w:t>
            </w:r>
          </w:p>
        </w:tc>
        <w:tc>
          <w:tcPr>
            <w:tcW w:type="dxa" w:w="5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0,88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2,08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+138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1,96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1,57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−20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2,84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3,65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+28,6</w:t>
            </w:r>
          </w:p>
        </w:tc>
      </w:tr>
      <w:tr>
        <w:trPr>
          <w:cantSplit/>
        </w:trPr>
        <w:tc>
          <w:tcPr>
            <w:tcW w:type="dxa" w:w="4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265</w:t>
            </w:r>
          </w:p>
        </w:tc>
        <w:tc>
          <w:tcPr>
            <w:tcW w:type="dxa" w:w="5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0,64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1,22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+91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0,08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0,08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−1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0,72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1,31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+80,5</w:t>
            </w:r>
          </w:p>
        </w:tc>
      </w:tr>
      <w:tr>
        <w:trPr>
          <w:cantSplit/>
        </w:trPr>
        <w:tc>
          <w:tcPr>
            <w:tcW w:type="dxa" w:w="4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265</w:t>
            </w:r>
          </w:p>
        </w:tc>
        <w:tc>
          <w:tcPr>
            <w:tcW w:type="dxa" w:w="5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0,70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1,63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+132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0,39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0,33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−16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1,09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1,96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+79,5</w:t>
            </w:r>
          </w:p>
        </w:tc>
      </w:tr>
      <w:tr>
        <w:trPr>
          <w:cantSplit/>
        </w:trPr>
        <w:tc>
          <w:tcPr>
            <w:tcW w:type="dxa" w:w="4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265</w:t>
            </w:r>
          </w:p>
        </w:tc>
        <w:tc>
          <w:tcPr>
            <w:tcW w:type="dxa" w:w="50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0,70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1,63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+133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1,47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1,18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−20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2,17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2,81</w:t>
            </w:r>
          </w:p>
        </w:tc>
        <w:tc>
          <w:tcPr>
            <w:tcW w:type="dxa" w:w="460"/>
            <w:gridSpan w:val="1"/>
            <w:tcMar>
              <w:top w:type="dxa" w:w="15"/>
              <w:left w:type="dxa" w:w="45"/>
              <w:bottom w:type="dxa" w:w="15"/>
              <w:right w:type="dxa" w:w="45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4"/>
                <w:szCs w:val="14"/>
              </w:rPr>
              <w:t xml:space="preserve">+29,2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200400" cy="4067175"/>
            <wp:effectExtent t="0" r="0" b="0" l="0"/>
            <wp:docPr id="1" name="fig4" descr="Perdas médias no semiciclo em função da tensão de entrada, com 100 % (linha cheia), 50 % (tracejada) e 20 % (pontilhada) de carga; Kool Mµ em preto e pó nanocristalino em cinza: (a) núcleo, em que as curvas de 50 % e 100 % coincidem; (b) cobre; (c) variação da perda total do indutor nanocristalino em relação à referência." title="Fig.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Fig. 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Perdas médias no semiciclo em função da tensão de entrada, com 100 % (linha cheia), 50 % (tracejada) e 20 % (pontilhada) de carga; Kool Mµ em preto e pó nanocristalino em cinza: (a) núcleo, em que as curvas de 50 % e 100 % coincidem; (b) cobre; (c) variação da perda total do indutor nanocristalino em relação à referência.</w:t>
      </w:r>
    </w:p>
    <w:p>
      <w:pPr>
        <w:keepNext/>
        <w:spacing w:after="100" w:before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sz w:val="20"/>
          <w:szCs w:val="20"/>
        </w:rPr>
        <w:t xml:space="preserve">IV. Discussão</w:t>
      </w:r>
    </w:p>
    <w:p>
      <w:pPr>
        <w:keepNext/>
        <w:spacing w:after="60" w:before="1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A. Origem da redução de volume</w:t>
      </w:r>
    </w:p>
    <w:p>
      <w:pPr>
        <w:spacing w:after="0" w:before="0"/>
        <w:ind w:firstLine="20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Com as mesmas espiras e o mesmo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, os dois indutores operam com o mesmo campo na crista, e a indutância exigida passa a depender só de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inc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nesse campo e da seção. Como o pó nanocristalino retém 36,1 % de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, contra 24,3 % no indutor de [7], a mesma indutância exige cerca de 70 % da seção, daí a altura de 21,4 mm e a redução de 30,4 % no volume do núcleo. A envoltória cai menos, 26,2 %, porque o enrolamento acrescenta a mesma espessura aos dois componentes, e o cobre cai 22,1 %, porque só a parcela da espira que acompanha a altura encurta.</w:t>
      </w:r>
    </w:p>
    <w:p>
      <w:pPr>
        <w:keepNext/>
        <w:spacing w:after="60" w:before="1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B. Origem das perdas</w:t>
      </w:r>
    </w:p>
    <w:p>
      <w:pPr>
        <w:spacing w:after="0" w:before="0"/>
        <w:ind w:firstLine="20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A plena carga, a perda no núcleo do indutor nanocristalino é 2,25 vezes a da referência em 85 V e 2,38 vezes em 230 V. O fator se decompõe em duas parcelas. A seção menor multiplica Δ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por 1/0,696; com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≈ 2 e volume 0,696 vez o da referência, isso multiplica a perda por 1,44. A lei de perda do pó, frente à do Kool Mµ ajustada a [7], responde pelo restante: 1,56 em 85 V e 1,65 em 230 V. A perda no cobre cai na proporção da espira média enquanto domina a componente de rede; em carga leve e tensão alta, a componente de chaveamento, maior no indutor nanocristalino pela menor indutância sem polarização, anula a redução. O resultado total depende, portanto, da proporção entre cobre e núcleo: o indutor nanocristalino perde menos onde o cobre domina, em tensão baixa e carga alta, e mais onde o núcleo domina, em tensão alta ou carga leve.</w:t>
      </w:r>
    </w:p>
    <w:p>
      <w:pPr>
        <w:keepNext/>
        <w:spacing w:after="60" w:before="1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C. Efeito da leitura dos 248 mT</w:t>
      </w:r>
    </w:p>
    <w:p>
      <w:pPr>
        <w:spacing w:after="0" w:before="0"/>
        <w:ind w:firstLine="20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Se os 248 mT de [8] fossem lidos como pico, como na frase da Seção IV-A de [8], a perda no núcleo do indutor nanocristalino seria dividida por 4,03 e ficaria abaixo da referência em todos os pontos; a perda total a plena carga passaria de +28,6 % para −26,6 % em 230 V, e a conclusão se inverteria. A leitura pico a pico, apoiada pelos demais dados de [8] e pela concordância com o catálogo [10], é a que sustenta os resultados acima.</w:t>
      </w:r>
    </w:p>
    <w:p>
      <w:pPr>
        <w:keepNext/>
        <w:spacing w:after="60" w:before="10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D. Escala no conversor</w:t>
      </w:r>
    </w:p>
    <w:p>
      <w:pPr>
        <w:spacing w:after="0" w:before="0"/>
        <w:ind w:firstLine="20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As diferenças são de componente. Referidas à potência de saída, equivalem a −0,20 % em 85 V e +0,07 % em 230 V a plena carga, e a +0,28 % e +0,40 % com 20 % de carga (240 W). Em fontes que operam a maior parte do tempo em tensão alta e carga parcial, como as de servidores em centros de dados, o pó nanocristalino de [8] aumenta a perda do indutor; em aplicações limitadas por volume e dimensionadas para tensão baixa, reduz o volume e a perda no pior caso.</w:t>
      </w:r>
    </w:p>
    <w:p>
      <w:pPr>
        <w:keepNext/>
        <w:spacing w:after="100" w:before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sz w:val="20"/>
          <w:szCs w:val="20"/>
        </w:rPr>
        <w:t xml:space="preserve">V. Conclusão</w:t>
      </w:r>
    </w:p>
    <w:p>
      <w:pPr>
        <w:spacing w:after="0" w:before="0"/>
        <w:ind w:firstLine="20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No indutor boost de 1,2 kW de [7], o pó nanocristalino de [8], com as mesmas espiras, o mesmo fio e o mesmo requisito de indutância, permite um núcleo 30 % menor e um componente 26 % menor que o Kool Mµ, porque retém mais permeabilidade sob polarização. A seção menor e a lei de perda mais alta do pó mais que dobram a perda no núcleo, enquanto a espira mais curta reduz a perda no cobre. O indutor nanocristalino perde menos em tensão baixa e carga alta, em que o cobre domina, e mais em tensão alta e em carga leve, em que o núcleo domina, com os 248 mT de [8] lidos como pico a pico, como indicam os dados do próprio artigo; a leitura de pico inverteria essa conclusão. Como trabalho futuro, propõe-se medir os dois indutores em bancada, com polarização CC e a forma de onda do PFC, e acoplar um modelo térmico ao projeto.</w:t>
      </w:r>
    </w:p>
    <w:p>
      <w:pPr>
        <w:keepNext/>
        <w:spacing w:after="100" w:before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sz w:val="20"/>
          <w:szCs w:val="20"/>
        </w:rPr>
        <w:t xml:space="preserve">Declarações</w:t>
      </w:r>
    </w:p>
    <w:p>
      <w:pPr>
        <w:spacing w:after="0" w:before="0"/>
        <w:ind w:firstLine="20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Conflito de interesses.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O autor trabalha na CBMM, produtora de nióbio, elemento presente na liga do pó nanocristalino de [8]. A pesquisa é independente, sem financiamento nem participação da empresa.</w:t>
      </w:r>
    </w:p>
    <w:p>
      <w:pPr>
        <w:spacing w:after="0" w:before="0"/>
        <w:ind w:firstLine="20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Uso de IA.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O assistente Claude (Anthropic) foi usado na implementação dos cálculos, na geração das figuras e na redação; o autor responde pelo conteúdo.</w:t>
      </w:r>
    </w:p>
    <w:p>
      <w:pPr>
        <w:keepNext/>
        <w:spacing w:after="100" w:before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/>
          <w:sz w:val="20"/>
          <w:szCs w:val="20"/>
        </w:rPr>
        <w:t xml:space="preserve">Referências</w:t>
      </w:r>
    </w:p>
    <w:p>
      <w:pPr>
        <w:tabs>
          <w:tab w:val="left" w:pos="360"/>
        </w:tabs>
        <w:spacing w:after="2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[1]</w:t>
      </w:r>
      <w:r>
        <w:rPr>
          <w:sz w:val="16"/>
          <w:szCs w:val="16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International Energy Agency, “Electricity 2026: Analysis and forecast to 2030,” IEA, Paris, France, Feb. 2026. [Online]. Available: https://www.iea.org/reports/electricity-2026</w:t>
      </w:r>
    </w:p>
    <w:p>
      <w:pPr>
        <w:tabs>
          <w:tab w:val="left" w:pos="360"/>
        </w:tabs>
        <w:spacing w:after="2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[2]</w:t>
      </w:r>
      <w:r>
        <w:rPr>
          <w:sz w:val="16"/>
          <w:szCs w:val="16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International Energy Agency, “Global EV Outlook 2026,” IEA, Paris, France, May 2026. [Online]. Available: https://www.iea.org/reports/global-ev-outlook-2026</w:t>
      </w:r>
    </w:p>
    <w:p>
      <w:pPr>
        <w:tabs>
          <w:tab w:val="left" w:pos="360"/>
        </w:tabs>
        <w:spacing w:after="2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[3]</w:t>
      </w:r>
      <w:r>
        <w:rPr>
          <w:sz w:val="16"/>
          <w:szCs w:val="16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International Energy Agency, “Energy and AI,” IEA, Paris, France, Apr. 2025. [Online]. Available: https://www.iea.org/reports/energy-and-ai</w:t>
      </w:r>
    </w:p>
    <w:p>
      <w:pPr>
        <w:tabs>
          <w:tab w:val="left" w:pos="360"/>
        </w:tabs>
        <w:spacing w:after="2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[4]</w:t>
      </w:r>
      <w:r>
        <w:rPr>
          <w:sz w:val="16"/>
          <w:szCs w:val="16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“Gesetz zur Änderung des Gebäudeenergiegesetzes, zur Änderung der Verordnung über Heizkostenabrechnung, zur Änderung der Betriebskostenverordnung und zur Änderung der Kehr- und Überprüfungsordnung,”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16"/>
          <w:szCs w:val="16"/>
        </w:rPr>
        <w:t xml:space="preserve">Bundesgesetzblatt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, 2023 I, no. 280, Oct. 2023.</w:t>
      </w:r>
    </w:p>
    <w:p>
      <w:pPr>
        <w:tabs>
          <w:tab w:val="left" w:pos="360"/>
        </w:tabs>
        <w:spacing w:after="2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[5]</w:t>
      </w:r>
      <w:r>
        <w:rPr>
          <w:sz w:val="16"/>
          <w:szCs w:val="16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International Energy Agency, “Renewables 2025: Analysis and forecast to 2030,” IEA, Paris, France, Oct. 2025. [Online]. Available: https://www.iea.org/reports/renewables-2025</w:t>
      </w:r>
    </w:p>
    <w:p>
      <w:pPr>
        <w:tabs>
          <w:tab w:val="left" w:pos="360"/>
        </w:tabs>
        <w:spacing w:after="2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[6]</w:t>
      </w:r>
      <w:r>
        <w:rPr>
          <w:sz w:val="16"/>
          <w:szCs w:val="16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16"/>
          <w:szCs w:val="16"/>
        </w:rPr>
        <w:t xml:space="preserve">Electromagnetic Compatibility (EMC), Part 3-2: Limits, Limits for Harmonic Current Emissions (Equipment Input Current ≤ 16 A per Phase)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, IEC 61000-3-2:2018+AMD1:2020, 2020.</w:t>
      </w:r>
    </w:p>
    <w:p>
      <w:pPr>
        <w:tabs>
          <w:tab w:val="left" w:pos="360"/>
        </w:tabs>
        <w:spacing w:after="2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[7]</w:t>
      </w:r>
      <w:r>
        <w:rPr>
          <w:sz w:val="16"/>
          <w:szCs w:val="16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S. Abdel-Rahman, F. Stückler, and K. Siu, “PFC boost converter design guide: 1200 W design example,” Infineon Technologies AG, Munich, Germany, Application Note, rev. 1.1, Feb. 2016. [Online]. Available: https://www.infineon.com/assets/row/public/documents/24/42/infineon-applicationnote-pfcccmboostconverterdesignguide-applicationnotes-en.pdf</w:t>
      </w:r>
    </w:p>
    <w:p>
      <w:pPr>
        <w:tabs>
          <w:tab w:val="left" w:pos="360"/>
        </w:tabs>
        <w:spacing w:after="2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[8]</w:t>
      </w:r>
      <w:r>
        <w:rPr>
          <w:sz w:val="16"/>
          <w:szCs w:val="16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C. Jiang, X. Li, S. S. Ghosh, H. Zhao, Y. Shen, and T. Long, “Nanocrystalline powder cores for high-power high-frequency power electronics applications,”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16"/>
          <w:szCs w:val="16"/>
        </w:rPr>
        <w:t xml:space="preserve">IEEE Trans. Power Electron.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, vol. 35, no. 10, pp. 10821 a 10830, Oct. 2020, doi: 10.1109/TPEL.2020.2979069.</w:t>
      </w:r>
    </w:p>
    <w:p>
      <w:pPr>
        <w:tabs>
          <w:tab w:val="left" w:pos="360"/>
        </w:tabs>
        <w:spacing w:after="2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[9]</w:t>
      </w:r>
      <w:r>
        <w:rPr>
          <w:sz w:val="16"/>
          <w:szCs w:val="16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Magnetics, “0077083A7 Kool Mµ toroid,” datasheet, rev. 6 Oct. 2021. [Online]. Available: https://www.mag-inc.com/Media/Magnetics/Datasheets/0077083A7.pdf</w:t>
      </w:r>
    </w:p>
    <w:p>
      <w:pPr>
        <w:tabs>
          <w:tab w:val="left" w:pos="360"/>
        </w:tabs>
        <w:spacing w:after="2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[10]</w:t>
      </w:r>
      <w:r>
        <w:rPr>
          <w:sz w:val="16"/>
          <w:szCs w:val="16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Magnetics, “2025 Magnetics powder cores catalog,” Pittsburgh, PA, USA, 2025. [Online]. Available: https://www.mag-inc.com/Media/Magnetics/File-Library/Product%20Literature/Powder%20Core%20Literature/Magnetics-Powder-Core-Catalog.pdf</w:t>
      </w:r>
    </w:p>
    <w:p>
      <w:pPr>
        <w:tabs>
          <w:tab w:val="left" w:pos="360"/>
        </w:tabs>
        <w:spacing w:after="2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[11]</w:t>
      </w:r>
      <w:r>
        <w:rPr>
          <w:sz w:val="16"/>
          <w:szCs w:val="16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K. Venkatachalam, C. R. Sullivan, T. Abdallah, and H. Tacca, “Accurate prediction of ferrite core loss with nonsinusoidal waveforms using only Steinmetz parameters,” in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16"/>
          <w:szCs w:val="16"/>
        </w:rPr>
        <w:t xml:space="preserve">Proc. IEEE Workshop Comput. Power Electron. (COMPEL)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, Mayagüez, Puerto Rico, 2002, pp. 36 a 41, doi: 10.1109/CIPE.2002.1196712.</w:t>
      </w:r>
    </w:p>
    <w:p>
      <w:pPr>
        <w:tabs>
          <w:tab w:val="left" w:pos="360"/>
        </w:tabs>
        <w:spacing w:after="2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[12]</w:t>
      </w:r>
      <w:r>
        <w:rPr>
          <w:sz w:val="16"/>
          <w:szCs w:val="16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N. Kondrath and M. K. Kazimierczuk, “Inductor winding loss owing to skin and proximity effects including harmonics in non-isolated pulse-width modulated dc-dc converters operating in continuous conduction mode,”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16"/>
          <w:szCs w:val="16"/>
        </w:rPr>
        <w:t xml:space="preserve">IET Power Electron.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, vol. 3, no. 6, pp. 989 a 1000, Nov. 2010, doi: 10.1049/iet-pel.2009.0299.</w:t>
      </w:r>
    </w:p>
    <w:p>
      <w:pPr>
        <w:tabs>
          <w:tab w:val="left" w:pos="360"/>
        </w:tabs>
        <w:spacing w:after="20"/>
        <w:ind w:left="360" w:hanging="360"/>
        <w:jc w:val="both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[13]</w:t>
      </w:r>
      <w:r>
        <w:rPr>
          <w:sz w:val="16"/>
          <w:szCs w:val="16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P. L. Dowell, “Effects of eddy currents in transformer windings,”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16"/>
          <w:szCs w:val="16"/>
        </w:rPr>
        <w:t xml:space="preserve">Proc. IEE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6"/>
          <w:szCs w:val="16"/>
        </w:rPr>
        <w:t xml:space="preserve">, vol. 113, no. 8, pp. 1387 a 1394, Aug. 1966, doi: 10.1049/piee.1966.0236.</w:t>
      </w:r>
    </w:p>
    <w:sectPr>
      <w:type w:val="continuous"/>
      <w:pgSz w:w="11906" w:h="16838" w:orient="portrait"/>
      <w:pgMar w:top="1077" w:right="794" w:bottom="2438" w:left="794" w:header="709" w:footer="709" w:gutter="0"/>
      <w:pgNumType/>
      <w:cols w:space="238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60693a6f2c64740aebc8d04d0da3b0e3cb6a40.png"/><Relationship Id="rId8" Type="http://schemas.openxmlformats.org/officeDocument/2006/relationships/image" Target="media/a05b5c18c9ea5f74ac72a0153019e76d54496feb.png"/><Relationship Id="rId9" Type="http://schemas.openxmlformats.org/officeDocument/2006/relationships/image" Target="media/7aaa18de9c3f664609087c980633c93536d53dc6.png"/><Relationship Id="rId10" Type="http://schemas.openxmlformats.org/officeDocument/2006/relationships/image" Target="media/d6fb4c19fb40869fc39c95d78a7f11807f2816f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Reprojeto do indutor boost de um PFC de 1,2 kW com núcleo de pó nanocristalino: volume e perdas frente ao Kool Mµ de 85 a 265 VAC</dc:title>
  <dc:creator>Andre Denzel</dc:creator>
  <cp:lastModifiedBy>Un-named</cp:lastModifiedBy>
  <cp:revision>1</cp:revision>
  <dcterms:created xsi:type="dcterms:W3CDTF">2026-10-30T05:52:31.849Z</dcterms:created>
  <dcterms:modified xsi:type="dcterms:W3CDTF">2026-10-30T05:52:31.849Z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