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b/>
          <w:bCs/>
          <w:color w:val="1A56DB"/>
          <w:spacing w:val="60"/>
          <w:sz w:val="20"/>
          <w:szCs w:val="20"/>
        </w:rPr>
        <w:t xml:space="preserve">S T R A T E G I C   R E P O R T   ·   V 2   ·   A P R I L   4 ,   2 0 2 6</w:t>
      </w:r>
    </w:p>
    <w:p>
      <w:pPr>
        <w:spacing w:after="60" w:before="0"/>
      </w:pPr>
      <w:r>
        <w:rPr>
          <w:rFonts w:ascii="Arial" w:cs="Arial" w:eastAsia="Arial" w:hAnsi="Arial"/>
          <w:b/>
          <w:bCs/>
          <w:color w:val="0D1B2A"/>
          <w:sz w:val="72"/>
          <w:szCs w:val="72"/>
        </w:rPr>
        <w:t xml:space="preserve">THE AI REVOLUTION</w:t>
      </w:r>
    </w:p>
    <w:p>
      <w:pPr>
        <w:spacing w:after="240" w:before="0"/>
      </w:pPr>
      <w:r>
        <w:rPr>
          <w:rFonts w:ascii="Arial" w:cs="Arial" w:eastAsia="Arial" w:hAnsi="Arial"/>
          <w:i/>
          <w:iCs/>
          <w:color w:val="64748B"/>
          <w:sz w:val="32"/>
          <w:szCs w:val="32"/>
        </w:rPr>
        <w:t xml:space="preserve">A Retrospective &amp; Updated Intelligence Brief</w:t>
      </w:r>
    </w:p>
    <w:p>
      <w:pPr>
        <w:pBdr>
          <w:bottom w:val="single" w:color="1A56DB" w:sz="8" w:space="1"/>
        </w:pBdr>
        <w:spacing w:after="200"/>
      </w:pPr>
    </w:p>
    <w:p>
      <w:pPr>
        <w:spacing w:after="80"/>
      </w:pPr>
    </w:p>
    <w:p>
      <w:pPr>
        <w:spacing w:after="120" w:line="276"/>
      </w:pPr>
      <w:r>
        <w:rPr>
          <w:rFonts w:ascii="Arial" w:cs="Arial" w:eastAsia="Arial" w:hAnsi="Arial"/>
          <w:b w:val="false"/>
          <w:bCs w:val="false"/>
          <w:i w:val="false"/>
          <w:iCs w:val="false"/>
          <w:color w:val="374151"/>
          <w:sz w:val="24"/>
          <w:szCs w:val="24"/>
        </w:rPr>
        <w:t xml:space="preserve">What the November 2025 report got right, what the data has confirmed since, what needs revision — and where the evidence points from here.</w:t>
      </w:r>
    </w:p>
    <w:p>
      <w:pPr>
        <w:spacing w:after="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DBEAFE" w:val="clear"/>
            <w:tcMar>
              <w:top w:type="dxa" w:w="120"/>
              <w:left w:type="dxa" w:w="160"/>
              <w:bottom w:type="dxa" w:w="120"/>
              <w:right w:type="dxa" w:w="160"/>
            </w:tcMar>
          </w:tcPr>
          <w:p>
            <w:pPr>
              <w:spacing w:after="40"/>
            </w:pPr>
            <w:r>
              <w:rPr>
                <w:rFonts w:ascii="Arial" w:cs="Arial" w:eastAsia="Arial" w:hAnsi="Arial"/>
                <w:b/>
                <w:bCs/>
                <w:color w:val="0D1B2A"/>
                <w:sz w:val="18"/>
                <w:szCs w:val="18"/>
              </w:rPr>
              <w:t xml:space="preserve">Original Report</w:t>
            </w:r>
          </w:p>
          <w:p>
            <w:pPr>
              <w:spacing w:after="0"/>
            </w:pPr>
            <w:r>
              <w:rPr>
                <w:rFonts w:ascii="Arial" w:cs="Arial" w:eastAsia="Arial" w:hAnsi="Arial"/>
                <w:b/>
                <w:bCs/>
                <w:color w:val="374151"/>
                <w:sz w:val="21"/>
                <w:szCs w:val="21"/>
              </w:rPr>
              <w:t xml:space="preserve">November 30, 2025</w:t>
            </w:r>
          </w:p>
        </w:tc>
        <w:tc>
          <w:tcPr>
            <w:tcW w:type="dxa" w:w="2340"/>
            <w:tcBorders>
              <w:top w:val="none" w:color="FFFFFF" w:sz="0"/>
              <w:left w:val="none" w:color="FFFFFF" w:sz="0"/>
              <w:bottom w:val="none" w:color="FFFFFF" w:sz="0"/>
              <w:right w:val="none" w:color="FFFFFF" w:sz="0"/>
            </w:tcBorders>
            <w:shd w:fill="D1FAE5" w:val="clear"/>
            <w:tcMar>
              <w:top w:type="dxa" w:w="120"/>
              <w:left w:type="dxa" w:w="160"/>
              <w:bottom w:type="dxa" w:w="120"/>
              <w:right w:type="dxa" w:w="160"/>
            </w:tcMar>
          </w:tcPr>
          <w:p>
            <w:pPr>
              <w:spacing w:after="40"/>
            </w:pPr>
            <w:r>
              <w:rPr>
                <w:rFonts w:ascii="Arial" w:cs="Arial" w:eastAsia="Arial" w:hAnsi="Arial"/>
                <w:b/>
                <w:bCs/>
                <w:color w:val="0D1B2A"/>
                <w:sz w:val="18"/>
                <w:szCs w:val="18"/>
              </w:rPr>
              <w:t xml:space="preserve">This Update</w:t>
            </w:r>
          </w:p>
          <w:p>
            <w:pPr>
              <w:spacing w:after="0"/>
            </w:pPr>
            <w:r>
              <w:rPr>
                <w:rFonts w:ascii="Arial" w:cs="Arial" w:eastAsia="Arial" w:hAnsi="Arial"/>
                <w:b/>
                <w:bCs/>
                <w:color w:val="374151"/>
                <w:sz w:val="21"/>
                <w:szCs w:val="21"/>
              </w:rPr>
              <w:t xml:space="preserve">April 4, 2026</w:t>
            </w:r>
          </w:p>
        </w:tc>
        <w:tc>
          <w:tcPr>
            <w:tcW w:type="dxa" w:w="2340"/>
            <w:tcBorders>
              <w:top w:val="none" w:color="FFFFFF" w:sz="0"/>
              <w:left w:val="none" w:color="FFFFFF" w:sz="0"/>
              <w:bottom w:val="none" w:color="FFFFFF" w:sz="0"/>
              <w:right w:val="none" w:color="FFFFFF" w:sz="0"/>
            </w:tcBorders>
            <w:shd w:fill="FEF3C7" w:val="clear"/>
            <w:tcMar>
              <w:top w:type="dxa" w:w="120"/>
              <w:left w:type="dxa" w:w="160"/>
              <w:bottom w:type="dxa" w:w="120"/>
              <w:right w:type="dxa" w:w="160"/>
            </w:tcMar>
          </w:tcPr>
          <w:p>
            <w:pPr>
              <w:spacing w:after="40"/>
            </w:pPr>
            <w:r>
              <w:rPr>
                <w:rFonts w:ascii="Arial" w:cs="Arial" w:eastAsia="Arial" w:hAnsi="Arial"/>
                <w:b/>
                <w:bCs/>
                <w:color w:val="0D1B2A"/>
                <w:sz w:val="18"/>
                <w:szCs w:val="18"/>
              </w:rPr>
              <w:t xml:space="preserve">Elapsed</w:t>
            </w:r>
          </w:p>
          <w:p>
            <w:pPr>
              <w:spacing w:after="0"/>
            </w:pPr>
            <w:r>
              <w:rPr>
                <w:rFonts w:ascii="Arial" w:cs="Arial" w:eastAsia="Arial" w:hAnsi="Arial"/>
                <w:b/>
                <w:bCs/>
                <w:color w:val="374151"/>
                <w:sz w:val="21"/>
                <w:szCs w:val="21"/>
              </w:rPr>
              <w:t xml:space="preserve">~4 Months</w:t>
            </w:r>
          </w:p>
        </w:tc>
        <w:tc>
          <w:tcPr>
            <w:tcW w:type="dxa" w:w="2340"/>
            <w:tcBorders>
              <w:top w:val="none" w:color="FFFFFF" w:sz="0"/>
              <w:left w:val="none" w:color="FFFFFF" w:sz="0"/>
              <w:bottom w:val="none" w:color="FFFFFF" w:sz="0"/>
              <w:right w:val="none" w:color="FFFFFF" w:sz="0"/>
            </w:tcBorders>
            <w:shd w:fill="F3F4F6" w:val="clear"/>
            <w:tcMar>
              <w:top w:type="dxa" w:w="120"/>
              <w:left w:type="dxa" w:w="160"/>
              <w:bottom w:type="dxa" w:w="120"/>
              <w:right w:type="dxa" w:w="160"/>
            </w:tcMar>
          </w:tcPr>
          <w:p>
            <w:pPr>
              <w:spacing w:after="40"/>
            </w:pPr>
            <w:r>
              <w:rPr>
                <w:rFonts w:ascii="Arial" w:cs="Arial" w:eastAsia="Arial" w:hAnsi="Arial"/>
                <w:b/>
                <w:bCs/>
                <w:color w:val="0D1B2A"/>
                <w:sz w:val="18"/>
                <w:szCs w:val="18"/>
              </w:rPr>
              <w:t xml:space="preserve">V1 Live Report</w:t>
            </w:r>
          </w:p>
          <w:p>
            <w:pPr>
              <w:spacing w:after="0"/>
            </w:pPr>
            <w:r>
              <w:rPr>
                <w:rFonts w:ascii="Arial" w:cs="Arial" w:eastAsia="Arial" w:hAnsi="Arial"/>
                <w:b/>
                <w:bCs/>
                <w:color w:val="374151"/>
                <w:sz w:val="21"/>
                <w:szCs w:val="21"/>
              </w:rPr>
              <w:t xml:space="preserve">ai-strategic-report.vercel.app</w:t>
            </w:r>
          </w:p>
        </w:tc>
      </w:tr>
    </w:tbl>
    <w:p>
      <w:pPr>
        <w:spacing w:after="180"/>
      </w:pPr>
    </w:p>
    <w:p>
      <w:pPr>
        <w:spacing w:after="120" w:line="276"/>
      </w:pPr>
      <w:r>
        <w:rPr>
          <w:rFonts w:ascii="Arial" w:cs="Arial" w:eastAsia="Arial" w:hAnsi="Arial"/>
          <w:b/>
          <w:bCs/>
          <w:i w:val="false"/>
          <w:iCs w:val="false"/>
          <w:color w:val="0D1B2A"/>
          <w:sz w:val="20"/>
          <w:szCs w:val="20"/>
        </w:rPr>
        <w:t xml:space="preserve">V1 Interactive Report: </w:t>
      </w:r>
      <w:hyperlink w:history="1" r:id="rIdrqemqjgqfjtqrrcp-use2">
        <w:r>
          <w:rPr>
            <w:rFonts w:ascii="Arial" w:cs="Arial" w:eastAsia="Arial" w:hAnsi="Arial"/>
            <w:color w:val="1A56DB"/>
            <w:sz w:val="20"/>
            <w:szCs w:val="20"/>
            <w:u w:val="single"/>
          </w:rPr>
          <w:t xml:space="preserve">ai-strategic-report.vercel.app</w:t>
        </w:r>
      </w:hyperlink>
      <w:r>
        <w:rPr>
          <w:rFonts w:ascii="Arial" w:cs="Arial" w:eastAsia="Arial" w:hAnsi="Arial"/>
          <w:b w:val="false"/>
          <w:bCs w:val="false"/>
          <w:i w:val="false"/>
          <w:iCs w:val="false"/>
          <w:color w:val="64748B"/>
          <w:sz w:val="20"/>
          <w:szCs w:val="20"/>
        </w:rPr>
        <w:t xml:space="preserve">   ·   Source: </w:t>
      </w:r>
      <w:hyperlink w:history="1" r:id="rIdtywbf7cecy8bsu6fbd-71">
        <w:r>
          <w:rPr>
            <w:rFonts w:ascii="Arial" w:cs="Arial" w:eastAsia="Arial" w:hAnsi="Arial"/>
            <w:color w:val="1A56DB"/>
            <w:sz w:val="20"/>
            <w:szCs w:val="20"/>
            <w:u w:val="single"/>
          </w:rPr>
          <w:t xml:space="preserve">github.com/ADevBelgie/ai-strategic-report</w:t>
        </w:r>
      </w:hyperlink>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40"/>
              <w:left w:type="dxa" w:w="200"/>
              <w:bottom w:type="dxa" w:w="140"/>
              <w:right w:type="dxa" w:w="200"/>
            </w:tcMar>
          </w:tcPr>
          <w:p>
            <w:pPr>
              <w:spacing w:after="60"/>
            </w:pPr>
            <w:r>
              <w:rPr>
                <w:rFonts w:ascii="Arial" w:cs="Arial" w:eastAsia="Arial" w:hAnsi="Arial"/>
                <w:b/>
                <w:bCs/>
                <w:color w:val="1A56DB"/>
                <w:sz w:val="20"/>
                <w:szCs w:val="20"/>
              </w:rPr>
              <w:t xml:space="preserve">HOW TO USE THIS DOCUMENT</w:t>
            </w:r>
          </w:p>
          <w:p>
            <w:pPr>
              <w:spacing w:after="0"/>
            </w:pPr>
            <w:r>
              <w:rPr>
                <w:rFonts w:ascii="Arial" w:cs="Arial" w:eastAsia="Arial" w:hAnsi="Arial"/>
                <w:color w:val="374151"/>
                <w:sz w:val="20"/>
                <w:szCs w:val="20"/>
              </w:rPr>
              <w:t xml:space="preserve">This V2 report is structured in eight parts: (1) Executive retrospective scorecard with corrected data; (2) updated benchmark landscape with the base-vs-harness distinction; (3) the Barbell Economy confirmed and extended; (4) the Reliability Paradox — what the open-source research actually shows; (5) the Capability Radar — six dimensions tracked across three deployment tracks with spider chart data for the website; (6) mechanisms and scaling law synthesis; (7) three 2027 scenarios replacing the single-point projection; and (8) verified data sources. All claims reference Section 8. Read alongside the interactive V1 report linked above.</w:t>
            </w:r>
          </w:p>
        </w:tc>
      </w:tr>
    </w:tbl>
    <w:p>
      <w:pPr>
        <w:spacing w:after="400"/>
      </w:pPr>
    </w:p>
    <w:p>
      <w:r>
        <w:br w:type="page"/>
      </w:r>
    </w:p>
    <w:p>
      <w:pPr>
        <w:pStyle w:val="Heading1"/>
        <w:spacing w:after="120" w:before="320"/>
      </w:pPr>
      <w:r>
        <w:rPr>
          <w:rFonts w:ascii="Arial" w:cs="Arial" w:eastAsia="Arial" w:hAnsi="Arial"/>
          <w:b/>
          <w:bCs/>
          <w:color w:val="0D1B2A"/>
          <w:sz w:val="36"/>
          <w:szCs w:val="36"/>
        </w:rPr>
        <w:t xml:space="preserve">1 · Executive Retrospective Scorecard</w:t>
      </w:r>
    </w:p>
    <w:p>
      <w:pPr>
        <w:pBdr>
          <w:bottom w:val="single" w:color="1A56DB" w:sz="8" w:space="1"/>
        </w:pBdr>
        <w:spacing w:after="200"/>
      </w:pPr>
    </w:p>
    <w:p>
      <w:pPr>
        <w:spacing w:after="120" w:line="276"/>
      </w:pPr>
      <w:r>
        <w:rPr>
          <w:rFonts w:ascii="Arial" w:cs="Arial" w:eastAsia="Arial" w:hAnsi="Arial"/>
          <w:b w:val="false"/>
          <w:bCs w:val="false"/>
          <w:i w:val="false"/>
          <w:iCs w:val="false"/>
          <w:color w:val="374151"/>
          <w:sz w:val="22"/>
          <w:szCs w:val="22"/>
        </w:rPr>
        <w:t xml:space="preserve">Four months after V1 publication, the structural and economic predictions have aged </w:t>
      </w:r>
      <w:r>
        <w:rPr>
          <w:rFonts w:ascii="Arial" w:cs="Arial" w:eastAsia="Arial" w:hAnsi="Arial"/>
          <w:b/>
          <w:bCs/>
          <w:i w:val="false"/>
          <w:iCs w:val="false"/>
          <w:color w:val="0D1B2A"/>
          <w:sz w:val="22"/>
          <w:szCs w:val="22"/>
        </w:rPr>
        <w:t xml:space="preserve">exceptionally well</w:t>
      </w:r>
      <w:r>
        <w:rPr>
          <w:rFonts w:ascii="Arial" w:cs="Arial" w:eastAsia="Arial" w:hAnsi="Arial"/>
          <w:b w:val="false"/>
          <w:bCs w:val="false"/>
          <w:i w:val="false"/>
          <w:iCs w:val="false"/>
          <w:color w:val="374151"/>
          <w:sz w:val="22"/>
          <w:szCs w:val="22"/>
        </w:rPr>
        <w:t xml:space="preserve"> — often understating the pace of change. Three corrections are made in this edition: the SWE-bench Pro figure (updated from ~23% to 45.9–56.8%), the ARC-AGI-2 Gemini 3.1 Pro baseline (corrected from 88.1% to 77.1% official verified score), and the 2027 superintelligence verdict (changed from ❌ to ⏳ — the timeline has not elapsed).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1FAE5" w:val="clear"/>
            <w:tcMar>
              <w:top w:type="dxa" w:w="140"/>
              <w:left w:type="dxa" w:w="200"/>
              <w:bottom w:type="dxa" w:w="140"/>
              <w:right w:type="dxa" w:w="200"/>
            </w:tcMar>
          </w:tcPr>
          <w:p>
            <w:pPr>
              <w:spacing w:after="60"/>
            </w:pPr>
            <w:r>
              <w:rPr>
                <w:rFonts w:ascii="Arial" w:cs="Arial" w:eastAsia="Arial" w:hAnsi="Arial"/>
                <w:b/>
                <w:bCs/>
                <w:color w:val="0E9F6E"/>
                <w:sz w:val="20"/>
                <w:szCs w:val="20"/>
              </w:rPr>
              <w:t xml:space="preserve">OVERALL VERDICT: Structurally ahead of consensus — with three data corrections and one verdict revision</w:t>
            </w:r>
          </w:p>
          <w:p>
            <w:pPr>
              <w:spacing w:after="0"/>
            </w:pPr>
            <w:r>
              <w:rPr>
                <w:rFonts w:ascii="Arial" w:cs="Arial" w:eastAsia="Arial" w:hAnsi="Arial"/>
                <w:color w:val="374151"/>
                <w:sz w:val="20"/>
                <w:szCs w:val="20"/>
              </w:rPr>
              <w:t xml:space="preserve">The Barbell Economy thesis, the ~8-month benchmark half-life, and the inference scaling shift were all correct. The 2027 projection was not wrong — 2027 has not arrived — but the current trajectory makes it look unlikely absent a major architectural discontinuity. Three numerical claims in the original feedback document have been corrected against primary sources.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700"/>
        <w:gridCol w:w="900"/>
        <w:gridCol w:w="4260"/>
      </w:tblGrid>
      <w:tr>
        <w:trPr>
          <w:tblHeader/>
        </w:trPr>
        <w:tc>
          <w:tcPr>
            <w:tcW w:type="dxa" w:w="250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Claim (V1)</w:t>
            </w:r>
          </w:p>
        </w:tc>
        <w:tc>
          <w:tcPr>
            <w:tcW w:type="dxa" w:w="170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V1 Prediction</w:t>
            </w:r>
          </w:p>
        </w:tc>
        <w:tc>
          <w:tcPr>
            <w:tcW w:type="dxa" w:w="90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Verdict</w:t>
            </w:r>
          </w:p>
        </w:tc>
        <w:tc>
          <w:tcPr>
            <w:tcW w:type="dxa" w:w="426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Reality (April 4, 2026)</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bCs/>
                <w:color w:val="0D1B2A"/>
                <w:sz w:val="19"/>
                <w:szCs w:val="19"/>
              </w:rPr>
              <w:t xml:space="preserve">Coding ~75% Late 2025</w:t>
            </w:r>
          </w:p>
        </w:tc>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9"/>
                <w:szCs w:val="19"/>
              </w:rPr>
              <w:t xml:space="preserve">SWE-bench Verified ~75%</w:t>
            </w:r>
          </w:p>
        </w:tc>
        <w:tc>
          <w:tcPr>
            <w:tcW w:type="dxa" w:w="9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pPr>
              <w:spacing w:after="0"/>
            </w:pPr>
            <w:r>
              <w:rPr>
                <w:rFonts w:ascii="Arial" w:cs="Arial" w:eastAsia="Arial" w:hAnsi="Arial"/>
                <w:b/>
                <w:bCs/>
                <w:color w:val="374151"/>
                <w:sz w:val="17"/>
                <w:szCs w:val="17"/>
              </w:rPr>
              <w:t xml:space="preserve">✅ Accurate</w:t>
            </w:r>
          </w:p>
        </w:tc>
        <w:tc>
          <w:tcPr>
            <w:tcW w:type="dxa" w:w="4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9"/>
                <w:szCs w:val="19"/>
              </w:rPr>
              <w:t xml:space="preserve">Claude Opus 4.5 leads at 80.9% (March 2026). However, OpenAI has discontinued reporting Verified scores due to training contamination. SWE-bench Pro (contamination-resistant) is now the honest measure.</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bCs/>
                <w:color w:val="0D1B2A"/>
                <w:sz w:val="19"/>
                <w:szCs w:val="19"/>
              </w:rPr>
              <w:t xml:space="preserve">2026 Coding Near-Superhuman</w:t>
            </w:r>
          </w:p>
        </w:tc>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9"/>
                <w:szCs w:val="19"/>
              </w:rPr>
              <w:t xml:space="preserve">~92% SWE-bench Verified</w:t>
            </w:r>
          </w:p>
        </w:tc>
        <w:tc>
          <w:tcPr>
            <w:tcW w:type="dxa" w:w="90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pPr>
              <w:spacing w:after="0"/>
            </w:pPr>
            <w:r>
              <w:rPr>
                <w:rFonts w:ascii="Arial" w:cs="Arial" w:eastAsia="Arial" w:hAnsi="Arial"/>
                <w:b/>
                <w:bCs/>
                <w:color w:val="374151"/>
                <w:sz w:val="17"/>
                <w:szCs w:val="17"/>
              </w:rPr>
              <w:t xml:space="preserve">⏳ Too Early / Benchmark Shifted</w:t>
            </w:r>
          </w:p>
        </w:tc>
        <w:tc>
          <w:tcPr>
            <w:tcW w:type="dxa" w:w="4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9"/>
                <w:szCs w:val="19"/>
              </w:rPr>
              <w:t xml:space="preserve">2026 is not over. More importantly, the Verified benchmark is now compromised by contamination. On SWE-bench Pro (SEAL-standardised), the current leader scores 45.9%. The ~92% target is on a broken measuring stick.</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bCs/>
                <w:color w:val="0D1B2A"/>
                <w:sz w:val="19"/>
                <w:szCs w:val="19"/>
              </w:rPr>
              <w:t xml:space="preserve">ARC-AGI Reasoning 31%</w:t>
            </w:r>
          </w:p>
        </w:tc>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9"/>
                <w:szCs w:val="19"/>
              </w:rPr>
              <w:t xml:space="preserve">31% baseline, Late 2025</w:t>
            </w:r>
          </w:p>
        </w:tc>
        <w:tc>
          <w:tcPr>
            <w:tcW w:type="dxa" w:w="9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pPr>
              <w:spacing w:after="0"/>
            </w:pPr>
            <w:r>
              <w:rPr>
                <w:rFonts w:ascii="Arial" w:cs="Arial" w:eastAsia="Arial" w:hAnsi="Arial"/>
                <w:b/>
                <w:bCs/>
                <w:color w:val="374151"/>
                <w:sz w:val="17"/>
                <w:szCs w:val="17"/>
              </w:rPr>
              <w:t xml:space="preserve">✅ Accurate</w:t>
            </w:r>
          </w:p>
        </w:tc>
        <w:tc>
          <w:tcPr>
            <w:tcW w:type="dxa" w:w="4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9"/>
                <w:szCs w:val="19"/>
              </w:rPr>
              <w:t xml:space="preserve">Confirmed by ARC Prize official results. Gemini 3 Pro scored ~31% baseline at end of 2025, $0.81/task.</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bCs/>
                <w:color w:val="0D1B2A"/>
                <w:sz w:val="19"/>
                <w:szCs w:val="19"/>
              </w:rPr>
              <w:t xml:space="preserve">ARC-AGI 2026 Projection 65%</w:t>
            </w:r>
          </w:p>
        </w:tc>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9"/>
                <w:szCs w:val="19"/>
              </w:rPr>
              <w:t xml:space="preserve">65%</w:t>
            </w:r>
          </w:p>
        </w:tc>
        <w:tc>
          <w:tcPr>
            <w:tcW w:type="dxa" w:w="9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pPr>
              <w:spacing w:after="0"/>
            </w:pPr>
            <w:r>
              <w:rPr>
                <w:rFonts w:ascii="Arial" w:cs="Arial" w:eastAsia="Arial" w:hAnsi="Arial"/>
                <w:b/>
                <w:bCs/>
                <w:color w:val="374151"/>
                <w:sz w:val="17"/>
                <w:szCs w:val="17"/>
              </w:rPr>
              <w:t xml:space="preserve">✅ Exceeded — with corrections</w:t>
            </w:r>
          </w:p>
        </w:tc>
        <w:tc>
          <w:tcPr>
            <w:tcW w:type="dxa" w:w="4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9"/>
                <w:szCs w:val="19"/>
              </w:rPr>
              <w:t xml:space="preserve">CORRECTION: Gemini 3.1 Pro official verified score is 77.1% (not 88.1% as previously stated — that was Imbue's public eval set, a different dataset). Gemini 3 Deep Think reached 84.6%. Exceeded, with important nuance: ARC-AGI-3 launched March 25, 2026.</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bCs/>
                <w:color w:val="0D1B2A"/>
                <w:sz w:val="19"/>
                <w:szCs w:val="19"/>
              </w:rPr>
              <w:t xml:space="preserve">Benchmark half-life ~8 months</w:t>
            </w:r>
          </w:p>
        </w:tc>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9"/>
                <w:szCs w:val="19"/>
              </w:rPr>
              <w:t xml:space="preserve">~8 months</w:t>
            </w:r>
          </w:p>
        </w:tc>
        <w:tc>
          <w:tcPr>
            <w:tcW w:type="dxa" w:w="9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pPr>
              <w:spacing w:after="0"/>
            </w:pPr>
            <w:r>
              <w:rPr>
                <w:rFonts w:ascii="Arial" w:cs="Arial" w:eastAsia="Arial" w:hAnsi="Arial"/>
                <w:b/>
                <w:bCs/>
                <w:color w:val="374151"/>
                <w:sz w:val="17"/>
                <w:szCs w:val="17"/>
              </w:rPr>
              <w:t xml:space="preserve">✅ Spot-On</w:t>
            </w:r>
          </w:p>
        </w:tc>
        <w:tc>
          <w:tcPr>
            <w:tcW w:type="dxa" w:w="4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9"/>
                <w:szCs w:val="19"/>
              </w:rPr>
              <w:t xml:space="preserve">ARC-AGI-1 essentially solved (98%). ARC-AGI-2 approaching saturation. ARC-AGI-3 launched March 25, 2026 — 12 months after ARC-AGI-2. MMLU and GPQA confirmed saturated. The half-life is the strongest prediction in the report.</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bCs/>
                <w:color w:val="0D1B2A"/>
                <w:sz w:val="19"/>
                <w:szCs w:val="19"/>
              </w:rPr>
              <w:t xml:space="preserve">Junior hiring –13% YoY</w:t>
            </w:r>
          </w:p>
        </w:tc>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9"/>
                <w:szCs w:val="19"/>
              </w:rPr>
              <w:t xml:space="preserve">–13% YoY</w:t>
            </w:r>
          </w:p>
        </w:tc>
        <w:tc>
          <w:tcPr>
            <w:tcW w:type="dxa" w:w="9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pPr>
              <w:spacing w:after="0"/>
            </w:pPr>
            <w:r>
              <w:rPr>
                <w:rFonts w:ascii="Arial" w:cs="Arial" w:eastAsia="Arial" w:hAnsi="Arial"/>
                <w:b/>
                <w:bCs/>
                <w:color w:val="374151"/>
                <w:sz w:val="17"/>
                <w:szCs w:val="17"/>
              </w:rPr>
              <w:t xml:space="preserve">✅ Understated</w:t>
            </w:r>
          </w:p>
        </w:tc>
        <w:tc>
          <w:tcPr>
            <w:tcW w:type="dxa" w:w="4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9"/>
                <w:szCs w:val="19"/>
              </w:rPr>
              <w:t xml:space="preserve">BLS: overall programmer employment –27.5%, 2023–2025. Stanford Digital Economy Lab (ADP payroll data): developers aged 22–25 declined ~20% from peak. Entry-level postings fell 67% between 2022 and 2026 (AlterSquare).</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bCs/>
                <w:color w:val="0D1B2A"/>
                <w:sz w:val="19"/>
                <w:szCs w:val="19"/>
              </w:rPr>
              <w:t xml:space="preserve">Barbell Economy thesis</w:t>
            </w:r>
          </w:p>
        </w:tc>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9"/>
                <w:szCs w:val="19"/>
              </w:rPr>
              <w:t xml:space="preserve">60% probability</w:t>
            </w:r>
          </w:p>
        </w:tc>
        <w:tc>
          <w:tcPr>
            <w:tcW w:type="dxa" w:w="9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pPr>
              <w:spacing w:after="0"/>
            </w:pPr>
            <w:r>
              <w:rPr>
                <w:rFonts w:ascii="Arial" w:cs="Arial" w:eastAsia="Arial" w:hAnsi="Arial"/>
                <w:b/>
                <w:bCs/>
                <w:color w:val="374151"/>
                <w:sz w:val="17"/>
                <w:szCs w:val="17"/>
              </w:rPr>
              <w:t xml:space="preserve">✅ Validated — confidence upgraded</w:t>
            </w:r>
          </w:p>
        </w:tc>
        <w:tc>
          <w:tcPr>
            <w:tcW w:type="dxa" w:w="4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9"/>
                <w:szCs w:val="19"/>
              </w:rPr>
              <w:t xml:space="preserve">Every pillar confirmed. Junior share: 15% → 7% of IT hires. Salesforce: zero new engineering hires 2025. Senior AI-role salaries +40%. Counter-pattern: Klarna reversed its full-AI-replacement strategy after customer satisfaction dropped — the correction loop is now documented.</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bCs/>
                <w:color w:val="0D1B2A"/>
                <w:sz w:val="19"/>
                <w:szCs w:val="19"/>
              </w:rPr>
              <w:t xml:space="preserve">2027 Superintelligence</w:t>
            </w:r>
          </w:p>
        </w:tc>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9"/>
                <w:szCs w:val="19"/>
              </w:rPr>
              <w:t xml:space="preserve">Early superintelligence</w:t>
            </w:r>
          </w:p>
        </w:tc>
        <w:tc>
          <w:tcPr>
            <w:tcW w:type="dxa" w:w="90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pPr>
              <w:spacing w:after="0"/>
            </w:pPr>
            <w:r>
              <w:rPr>
                <w:rFonts w:ascii="Arial" w:cs="Arial" w:eastAsia="Arial" w:hAnsi="Arial"/>
                <w:b/>
                <w:bCs/>
                <w:color w:val="374151"/>
                <w:sz w:val="17"/>
                <w:szCs w:val="17"/>
              </w:rPr>
              <w:t xml:space="preserve">⏳ Trajectory Unfavorable</w:t>
            </w:r>
          </w:p>
        </w:tc>
        <w:tc>
          <w:tcPr>
            <w:tcW w:type="dxa" w:w="4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9"/>
                <w:szCs w:val="19"/>
              </w:rPr>
              <w:t xml:space="preserve">2027 has not arrived. We do not call this wrong. What the data shows: ARC-AGI-3 launched March 25, 2026. Official ARC Prize launch post: frontier AI scores 0.26%, humans 100%. Gemini 3.1 Pro scored 0.37% in independent preview tracking. Going from sub-1% to 'superintelligence' in under 12 months would require a discontinuity with no precedent in the benchmark record.</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bCs/>
                <w:color w:val="0D1B2A"/>
                <w:sz w:val="19"/>
                <w:szCs w:val="19"/>
              </w:rPr>
              <w:t xml:space="preserve">Reliability / SimpleQA ~68%</w:t>
            </w:r>
          </w:p>
        </w:tc>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9"/>
                <w:szCs w:val="19"/>
              </w:rPr>
              <w:t xml:space="preserve">~68%</w:t>
            </w:r>
          </w:p>
        </w:tc>
        <w:tc>
          <w:tcPr>
            <w:tcW w:type="dxa" w:w="9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pPr>
              <w:spacing w:after="0"/>
            </w:pPr>
            <w:r>
              <w:rPr>
                <w:rFonts w:ascii="Arial" w:cs="Arial" w:eastAsia="Arial" w:hAnsi="Arial"/>
                <w:b/>
                <w:bCs/>
                <w:color w:val="374151"/>
                <w:sz w:val="17"/>
                <w:szCs w:val="17"/>
              </w:rPr>
              <w:t xml:space="preserve">⚠️ Reframed — see Section 4</w:t>
            </w:r>
          </w:p>
        </w:tc>
        <w:tc>
          <w:tcPr>
            <w:tcW w:type="dxa" w:w="4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9"/>
                <w:szCs w:val="19"/>
              </w:rPr>
              <w:t xml:space="preserve">The 'unclear' label was insufficient. A clear pattern has emerged: reasoning models trade factual reliability for complex task performance. See the full Reliability Paradox analysis in Section 4.</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bCs/>
                <w:color w:val="0D1B2A"/>
                <w:sz w:val="19"/>
                <w:szCs w:val="19"/>
              </w:rPr>
              <w:t xml:space="preserve">Planning / GAIA L3 ~60%</w:t>
            </w:r>
          </w:p>
        </w:tc>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9"/>
                <w:szCs w:val="19"/>
              </w:rPr>
              <w:t xml:space="preserve">~60% (agent systems)</w:t>
            </w:r>
          </w:p>
        </w:tc>
        <w:tc>
          <w:tcPr>
            <w:tcW w:type="dxa" w:w="9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pPr>
              <w:spacing w:after="0"/>
            </w:pPr>
            <w:r>
              <w:rPr>
                <w:rFonts w:ascii="Arial" w:cs="Arial" w:eastAsia="Arial" w:hAnsi="Arial"/>
                <w:b/>
                <w:bCs/>
                <w:color w:val="374151"/>
                <w:sz w:val="17"/>
                <w:szCs w:val="17"/>
              </w:rPr>
              <w:t xml:space="preserve">✅ Progressing</w:t>
            </w:r>
          </w:p>
        </w:tc>
        <w:tc>
          <w:tcPr>
            <w:tcW w:type="dxa" w:w="4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9"/>
                <w:szCs w:val="19"/>
              </w:rPr>
              <w:t xml:space="preserve">GAIA L3 agent systems: best result 74.6% overall (Claude Sonnet 4.5 + HAL Generalist Agent, Feb 2026). L3 only: 61% (Writer's Action Agent, mid-2025). Base model / minimal agent: 44.8%. The 30pp gap between base and agent scores validates the base-vs-system thesis. ARC-AGI-3 is now the more revealing planning benchmark.</w:t>
            </w:r>
          </w:p>
        </w:tc>
      </w:tr>
    </w:tbl>
    <w:p>
      <w:pPr>
        <w:spacing w:after="240"/>
      </w:pPr>
    </w:p>
    <w:p>
      <w:r>
        <w:br w:type="page"/>
      </w:r>
    </w:p>
    <w:p>
      <w:pPr>
        <w:pStyle w:val="Heading1"/>
        <w:spacing w:after="120" w:before="320"/>
      </w:pPr>
      <w:r>
        <w:rPr>
          <w:rFonts w:ascii="Arial" w:cs="Arial" w:eastAsia="Arial" w:hAnsi="Arial"/>
          <w:b/>
          <w:bCs/>
          <w:color w:val="0D1B2A"/>
          <w:sz w:val="36"/>
          <w:szCs w:val="36"/>
        </w:rPr>
        <w:t xml:space="preserve">2 · The Benchmark Landscape: April 2026</w:t>
      </w:r>
    </w:p>
    <w:p>
      <w:pPr>
        <w:pBdr>
          <w:bottom w:val="single" w:color="1A56DB" w:sz="8" w:space="1"/>
        </w:pBdr>
        <w:spacing w:after="200"/>
      </w:pPr>
    </w:p>
    <w:p>
      <w:pPr>
        <w:pStyle w:val="Heading2"/>
        <w:spacing w:after="100" w:before="240"/>
      </w:pPr>
      <w:r>
        <w:rPr>
          <w:rFonts w:ascii="Arial" w:cs="Arial" w:eastAsia="Arial" w:hAnsi="Arial"/>
          <w:b/>
          <w:bCs/>
          <w:color w:val="0D1B2A"/>
          <w:sz w:val="28"/>
          <w:szCs w:val="28"/>
        </w:rPr>
        <w:t xml:space="preserve">2.1  ARC-AGI-3: The Benchmark Half-Life Pattern Continues</w:t>
      </w:r>
    </w:p>
    <w:p>
      <w:pPr>
        <w:spacing w:after="120" w:line="276"/>
      </w:pPr>
      <w:r>
        <w:rPr>
          <w:rFonts w:ascii="Arial" w:cs="Arial" w:eastAsia="Arial" w:hAnsi="Arial"/>
          <w:b w:val="false"/>
          <w:bCs w:val="false"/>
          <w:i w:val="false"/>
          <w:iCs w:val="false"/>
          <w:color w:val="374151"/>
          <w:sz w:val="22"/>
          <w:szCs w:val="22"/>
        </w:rPr>
        <w:t xml:space="preserve">ARC-AGI-3 launched March 25, 2026 — exactly in line with the ~12-month benchmark half-life V1 predicted. The headline numbers are dramatic: frontier LLMs score 0.37%, humans score 100%. But the more important number is </w:t>
      </w:r>
      <w:r>
        <w:rPr>
          <w:rFonts w:ascii="Arial" w:cs="Arial" w:eastAsia="Arial" w:hAnsi="Arial"/>
          <w:b/>
          <w:bCs/>
          <w:i w:val="false"/>
          <w:iCs w:val="false"/>
          <w:color w:val="0D1B2A"/>
          <w:sz w:val="22"/>
          <w:szCs w:val="22"/>
        </w:rPr>
        <w:t xml:space="preserve">12.58%</w:t>
      </w:r>
      <w:r>
        <w:rPr>
          <w:rFonts w:ascii="Arial" w:cs="Arial" w:eastAsia="Arial" w:hAnsi="Arial"/>
          <w:b w:val="false"/>
          <w:bCs w:val="false"/>
          <w:i w:val="false"/>
          <w:iCs w:val="false"/>
          <w:color w:val="374151"/>
          <w:sz w:val="22"/>
          <w:szCs w:val="22"/>
        </w:rPr>
        <w:t xml:space="preserve"> — the preview-phase score achieved not by any frontier LLM, but by a CNN and reinforcement learning approach from Tufa Labs. The path to solving ARC-AGI-3 runs through game-playing AI and RL, not transformer scaling. This is consistent with the V1 pattern: each version of ARC-AGI gets cracked by methods that sidestep the general intelligence claim rather than proving it.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1FAE5" w:val="clear"/>
            <w:tcMar>
              <w:top w:type="dxa" w:w="140"/>
              <w:left w:type="dxa" w:w="200"/>
              <w:bottom w:type="dxa" w:w="140"/>
              <w:right w:type="dxa" w:w="200"/>
            </w:tcMar>
          </w:tcPr>
          <w:p>
            <w:pPr>
              <w:spacing w:after="60"/>
            </w:pPr>
            <w:r>
              <w:rPr>
                <w:rFonts w:ascii="Arial" w:cs="Arial" w:eastAsia="Arial" w:hAnsi="Arial"/>
                <w:b/>
                <w:bCs/>
                <w:color w:val="0E9F6E"/>
                <w:sz w:val="20"/>
                <w:szCs w:val="20"/>
              </w:rPr>
              <w:t xml:space="preserve">REVISED ESTIMATE: ARC-AGI-3 30–50% by EOY 2026</w:t>
            </w:r>
          </w:p>
          <w:p>
            <w:pPr>
              <w:spacing w:after="0"/>
            </w:pPr>
            <w:r>
              <w:rPr>
                <w:rFonts w:ascii="Arial" w:cs="Arial" w:eastAsia="Arial" w:hAnsi="Arial"/>
                <w:color w:val="374151"/>
                <w:sz w:val="20"/>
                <w:szCs w:val="20"/>
              </w:rPr>
              <w:t xml:space="preserve">V1 predicted ~8-month benchmark half-life. ARC-AGI-3 launched March 2026. The competition offers milestone prizes for June 30 and September 30, 2026 — the ARC Prize Foundation itself expects meaningful progress within the year. Revising our earlier 'late 2027' estimate: 30–50% is achievable by EOY 2026 via dedicated RL approaches, consistent with V1's half-life thesis. When it does get cracked, the story will be: RL solved the game-playing benchmark, which tells us RL is good at games — interesting, but not the general intelligence story.</w:t>
            </w:r>
          </w:p>
        </w:tc>
      </w:tr>
    </w:tbl>
    <w:p>
      <w:pPr>
        <w:spacing w:after="120"/>
      </w:pPr>
    </w:p>
    <w:p>
      <w:pPr>
        <w:pStyle w:val="Heading2"/>
        <w:spacing w:after="100" w:before="240"/>
      </w:pPr>
      <w:r>
        <w:rPr>
          <w:rFonts w:ascii="Arial" w:cs="Arial" w:eastAsia="Arial" w:hAnsi="Arial"/>
          <w:b/>
          <w:bCs/>
          <w:color w:val="0D1B2A"/>
          <w:sz w:val="28"/>
          <w:szCs w:val="28"/>
        </w:rPr>
        <w:t xml:space="preserve">2.2  The Base vs. Harness Gap — Why Headline Scores Now Require a Footnote</w:t>
      </w:r>
    </w:p>
    <w:p>
      <w:pPr>
        <w:spacing w:after="120" w:line="276"/>
      </w:pPr>
      <w:r>
        <w:rPr>
          <w:rFonts w:ascii="Arial" w:cs="Arial" w:eastAsia="Arial" w:hAnsi="Arial"/>
          <w:b w:val="false"/>
          <w:bCs w:val="false"/>
          <w:i w:val="false"/>
          <w:iCs w:val="false"/>
          <w:color w:val="374151"/>
          <w:sz w:val="22"/>
          <w:szCs w:val="22"/>
        </w:rPr>
        <w:t xml:space="preserve">The most important methodological shift since V1: headline benchmark scores now require explicit labelling of whether they measure the </w:t>
      </w:r>
      <w:r>
        <w:rPr>
          <w:rFonts w:ascii="Arial" w:cs="Arial" w:eastAsia="Arial" w:hAnsi="Arial"/>
          <w:b/>
          <w:bCs/>
          <w:i w:val="false"/>
          <w:iCs w:val="false"/>
          <w:color w:val="0D1B2A"/>
          <w:sz w:val="22"/>
          <w:szCs w:val="22"/>
        </w:rPr>
        <w:t xml:space="preserve">base model</w:t>
      </w:r>
      <w:r>
        <w:rPr>
          <w:rFonts w:ascii="Arial" w:cs="Arial" w:eastAsia="Arial" w:hAnsi="Arial"/>
          <w:b w:val="false"/>
          <w:bCs w:val="false"/>
          <w:i w:val="false"/>
          <w:iCs w:val="false"/>
          <w:color w:val="374151"/>
          <w:sz w:val="22"/>
          <w:szCs w:val="22"/>
        </w:rPr>
        <w:t xml:space="preserve"> or an </w:t>
      </w:r>
      <w:r>
        <w:rPr>
          <w:rFonts w:ascii="Arial" w:cs="Arial" w:eastAsia="Arial" w:hAnsi="Arial"/>
          <w:b/>
          <w:bCs/>
          <w:i w:val="false"/>
          <w:iCs w:val="false"/>
          <w:color w:val="0D1B2A"/>
          <w:sz w:val="22"/>
          <w:szCs w:val="22"/>
        </w:rPr>
        <w:t xml:space="preserve">orchestrated system</w:t>
      </w:r>
      <w:r>
        <w:rPr>
          <w:rFonts w:ascii="Arial" w:cs="Arial" w:eastAsia="Arial" w:hAnsi="Arial"/>
          <w:b w:val="false"/>
          <w:bCs w:val="false"/>
          <w:i w:val="false"/>
          <w:iCs w:val="false"/>
          <w:color w:val="374151"/>
          <w:sz w:val="22"/>
          <w:szCs w:val="22"/>
        </w:rPr>
        <w:t xml:space="preserve">. Agent harnesses outperform raw model scores by 10–20 percentage points on coding benchmarks. This is not gaming — it reflects how these systems are actually deployed. But it makes fair comparison impossible without standardised scaffolding.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140"/>
              <w:left w:type="dxa" w:w="200"/>
              <w:bottom w:type="dxa" w:w="140"/>
              <w:right w:type="dxa" w:w="200"/>
            </w:tcMar>
          </w:tcPr>
          <w:p>
            <w:pPr>
              <w:spacing w:after="60"/>
            </w:pPr>
            <w:r>
              <w:rPr>
                <w:rFonts w:ascii="Arial" w:cs="Arial" w:eastAsia="Arial" w:hAnsi="Arial"/>
                <w:b/>
                <w:bCs/>
                <w:color w:val="D97706"/>
                <w:sz w:val="20"/>
                <w:szCs w:val="20"/>
              </w:rPr>
              <w:t xml:space="preserve">⚠️  The SWE-bench Contamination Problem — Correcting the Record</w:t>
            </w:r>
          </w:p>
          <w:p>
            <w:pPr>
              <w:spacing w:after="0"/>
            </w:pPr>
            <w:r>
              <w:rPr>
                <w:rFonts w:ascii="Arial" w:cs="Arial" w:eastAsia="Arial" w:hAnsi="Arial"/>
                <w:color w:val="374151"/>
                <w:sz w:val="20"/>
                <w:szCs w:val="20"/>
              </w:rPr>
              <w:t xml:space="preserve">CORRECTION: The previous version of this report stated SWE-bench Pro top scores were ~23%. This was an early figure. As of March 2026: GPT-5.3-Codex leads at 56.8% (non-standardised scaffold). Scale AI SEAL leaderboard (standardised scaffolding, 250-turn limit, uncapped cost): Claude Opus 4.5 leads at 45.9%. The SEAL figure is the fair comparison. OpenAI has stopped reporting SWE-bench Verified scores entirely after their own audit found training contamination across all frontier models. SWE-bench Pro is now the reference benchmark.</w:t>
            </w:r>
          </w:p>
        </w:tc>
      </w:tr>
    </w:tbl>
    <w:p>
      <w:pPr>
        <w:spacing w:after="120"/>
      </w:pPr>
    </w:p>
    <w:p>
      <w:pPr>
        <w:pStyle w:val="Heading2"/>
        <w:spacing w:after="100" w:before="240"/>
      </w:pPr>
      <w:r>
        <w:rPr>
          <w:rFonts w:ascii="Arial" w:cs="Arial" w:eastAsia="Arial" w:hAnsi="Arial"/>
          <w:b/>
          <w:bCs/>
          <w:color w:val="0D1B2A"/>
          <w:sz w:val="28"/>
          <w:szCs w:val="28"/>
        </w:rPr>
        <w:t xml:space="preserve">2.3  Benchmark Status Table (April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40"/>
              <w:left w:type="dxa" w:w="200"/>
              <w:bottom w:type="dxa" w:w="140"/>
              <w:right w:type="dxa" w:w="200"/>
            </w:tcMar>
          </w:tcPr>
          <w:p>
            <w:pPr>
              <w:spacing w:after="60"/>
            </w:pPr>
            <w:r>
              <w:rPr>
                <w:rFonts w:ascii="Arial" w:cs="Arial" w:eastAsia="Arial" w:hAnsi="Arial"/>
                <w:b/>
                <w:bCs/>
                <w:color w:val="1A56DB"/>
                <w:sz w:val="20"/>
                <w:szCs w:val="20"/>
              </w:rPr>
              <w:t xml:space="preserve">METHODOLOGY: Base Model vs. Agent System Scores</w:t>
            </w:r>
          </w:p>
          <w:p>
            <w:pPr>
              <w:spacing w:after="0"/>
            </w:pPr>
            <w:r>
              <w:rPr>
                <w:rFonts w:ascii="Arial" w:cs="Arial" w:eastAsia="Arial" w:hAnsi="Arial"/>
                <w:color w:val="374151"/>
                <w:sz w:val="20"/>
                <w:szCs w:val="20"/>
              </w:rPr>
              <w:t xml:space="preserve">Several benchmarks in this table — particularly GAIA — show dramatically different scores depending on whether a base model or a full agent system is being measured. The gap can exceed 30 percentage points. In this table:
• Scores marked as 'agent system' reflect AI deployed with tool use, multi-step planning, and scaffolding — the way these systems are actually used in practice.
• Scores marked as 'base model' or 'minimal agent' reflect the underlying language model with minimal wrapping — the way labs report isolated model capability.
This distinction matters for the capability radar in Section 5: the inner track (Typical Deployment) often reflects base-model-level execution; the outer track (Best System Today) reflects what a full agent system achieves.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700"/>
        <w:gridCol w:w="2100"/>
        <w:gridCol w:w="1100"/>
        <w:gridCol w:w="2260"/>
      </w:tblGrid>
      <w:tr>
        <w:trPr>
          <w:tblHeader/>
        </w:trPr>
        <w:tc>
          <w:tcPr>
            <w:tcW w:type="dxa" w:w="210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Benchmark</w:t>
            </w:r>
          </w:p>
        </w:tc>
        <w:tc>
          <w:tcPr>
            <w:tcW w:type="dxa" w:w="170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V1 (Nov 2025)</w:t>
            </w:r>
          </w:p>
        </w:tc>
        <w:tc>
          <w:tcPr>
            <w:tcW w:type="dxa" w:w="210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Apr 2026</w:t>
            </w:r>
          </w:p>
        </w:tc>
        <w:tc>
          <w:tcPr>
            <w:tcW w:type="dxa" w:w="110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Status</w:t>
            </w:r>
          </w:p>
        </w:tc>
        <w:tc>
          <w:tcPr>
            <w:tcW w:type="dxa" w:w="226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Key Insight</w:t>
            </w:r>
          </w:p>
        </w:tc>
      </w:tr>
      <w:tr>
        <w:tc>
          <w:tcPr>
            <w:tcW w:type="dxa" w:w="21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pPr>
              <w:spacing w:after="0"/>
            </w:pPr>
            <w:r>
              <w:rPr>
                <w:rFonts w:ascii="Arial" w:cs="Arial" w:eastAsia="Arial" w:hAnsi="Arial"/>
                <w:b/>
                <w:bCs/>
                <w:color w:val="0D1B2A"/>
                <w:sz w:val="18"/>
                <w:szCs w:val="18"/>
              </w:rPr>
              <w:t xml:space="preserve">SWE-bench Verified
(Coding)</w:t>
            </w:r>
          </w:p>
        </w:tc>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~75%</w:t>
            </w:r>
          </w:p>
        </w:tc>
        <w:tc>
          <w:tcPr>
            <w:tcW w:type="dxa" w:w="2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80.9% Claude Opus 4.5
Open-weight: 80.2% MiniMax M2.5</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 Contaminated</w:t>
            </w:r>
          </w:p>
        </w:tc>
        <w:tc>
          <w:tcPr>
            <w:tcW w:type="dxa" w:w="2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OpenAI discontinued reporting. Contamination confirmed across all frontier models. Treat scores with significant caution.</w:t>
            </w:r>
          </w:p>
        </w:tc>
      </w:tr>
      <w:tr>
        <w:tc>
          <w:tcPr>
            <w:tcW w:type="dxa" w:w="21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spacing w:after="0"/>
            </w:pPr>
            <w:r>
              <w:rPr>
                <w:rFonts w:ascii="Arial" w:cs="Arial" w:eastAsia="Arial" w:hAnsi="Arial"/>
                <w:b/>
                <w:bCs/>
                <w:color w:val="0D1B2A"/>
                <w:sz w:val="18"/>
                <w:szCs w:val="18"/>
              </w:rPr>
              <w:t xml:space="preserve">SWE-bench Pro
(Contamination-Resistant)</w:t>
            </w:r>
          </w:p>
        </w:tc>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N/A — new</w:t>
            </w:r>
          </w:p>
        </w:tc>
        <w:tc>
          <w:tcPr>
            <w:tcW w:type="dxa" w:w="2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SEAL standardised: 45.9% (Claude Opus 4.5)
Non-standardised: 56.8% (GPT-5.3-Codex)</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 Active Frontier</w:t>
            </w:r>
          </w:p>
        </w:tc>
        <w:tc>
          <w:tcPr>
            <w:tcW w:type="dxa" w:w="2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The honest measure. 731 GPL-licensed tasks + 276 private proprietary tasks. Always cite the SEAL score for fair comparison.</w:t>
            </w:r>
          </w:p>
        </w:tc>
      </w:tr>
      <w:tr>
        <w:tc>
          <w:tcPr>
            <w:tcW w:type="dxa" w:w="21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pPr>
              <w:spacing w:after="0"/>
            </w:pPr>
            <w:r>
              <w:rPr>
                <w:rFonts w:ascii="Arial" w:cs="Arial" w:eastAsia="Arial" w:hAnsi="Arial"/>
                <w:b/>
                <w:bCs/>
                <w:color w:val="0D1B2A"/>
                <w:sz w:val="18"/>
                <w:szCs w:val="18"/>
              </w:rPr>
              <w:t xml:space="preserve">ARC-AGI-2
(Static Reasoning)</w:t>
            </w:r>
          </w:p>
        </w:tc>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31% baseline</w:t>
            </w:r>
          </w:p>
        </w:tc>
        <w:tc>
          <w:tcPr>
            <w:tcW w:type="dxa" w:w="2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77.1% Gemini 3.1 Pro (official)
84.6% Gemini 3 Deep Think
95.1% Imbue evolution harness (public eval set)</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 Approaching Saturation</w:t>
            </w:r>
          </w:p>
        </w:tc>
        <w:tc>
          <w:tcPr>
            <w:tcW w:type="dxa" w:w="2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Evidence of training contamination flagged. ARC-AGI-3 already supersedes as the live frontier. Grand Prize unclaimed — continues in 2026.</w:t>
            </w:r>
          </w:p>
        </w:tc>
      </w:tr>
      <w:tr>
        <w:tc>
          <w:tcPr>
            <w:tcW w:type="dxa" w:w="21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spacing w:after="0"/>
            </w:pPr>
            <w:r>
              <w:rPr>
                <w:rFonts w:ascii="Arial" w:cs="Arial" w:eastAsia="Arial" w:hAnsi="Arial"/>
                <w:b/>
                <w:bCs/>
                <w:color w:val="0D1B2A"/>
                <w:sz w:val="18"/>
                <w:szCs w:val="18"/>
              </w:rPr>
              <w:t xml:space="preserve">ARC-AGI-3
(Interactive Reasoning)</w:t>
            </w:r>
          </w:p>
        </w:tc>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N/A — launched March 25, 2026</w:t>
            </w:r>
          </w:p>
        </w:tc>
        <w:tc>
          <w:tcPr>
            <w:tcW w:type="dxa" w:w="2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LLMs: &lt;1%
Best preview: 12.58% (CNN+RL, Tufa Labs)
Humans: 100%</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 New Frontier</w:t>
            </w:r>
          </w:p>
        </w:tc>
        <w:tc>
          <w:tcPr>
            <w:tcW w:type="dxa" w:w="2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First interactive benchmark — agents must explore, infer goals, adapt. Not solvable by memorisation. Expect 30–50% via RL by EOY 2026.</w:t>
            </w:r>
          </w:p>
        </w:tc>
      </w:tr>
      <w:tr>
        <w:tc>
          <w:tcPr>
            <w:tcW w:type="dxa" w:w="210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pPr>
              <w:spacing w:after="0"/>
            </w:pPr>
            <w:r>
              <w:rPr>
                <w:rFonts w:ascii="Arial" w:cs="Arial" w:eastAsia="Arial" w:hAnsi="Arial"/>
                <w:b/>
                <w:bCs/>
                <w:color w:val="0D1B2A"/>
                <w:sz w:val="18"/>
                <w:szCs w:val="18"/>
              </w:rPr>
              <w:t xml:space="preserve">MMLU
(Knowledge)</w:t>
            </w:r>
          </w:p>
        </w:tc>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Saturated</w:t>
            </w:r>
          </w:p>
        </w:tc>
        <w:tc>
          <w:tcPr>
            <w:tcW w:type="dxa" w:w="2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Saturated</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 Retired</w:t>
            </w:r>
          </w:p>
        </w:tc>
        <w:tc>
          <w:tcPr>
            <w:tcW w:type="dxa" w:w="2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Structurally saturated. A decision tree exploiting answer format achieves competitive scores without reading questions. Exclude from comparisons.</w:t>
            </w:r>
          </w:p>
        </w:tc>
      </w:tr>
      <w:tr>
        <w:tc>
          <w:tcPr>
            <w:tcW w:type="dxa" w:w="21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pPr>
              <w:spacing w:after="0"/>
            </w:pPr>
            <w:r>
              <w:rPr>
                <w:rFonts w:ascii="Arial" w:cs="Arial" w:eastAsia="Arial" w:hAnsi="Arial"/>
                <w:b/>
                <w:bCs/>
                <w:color w:val="0D1B2A"/>
                <w:sz w:val="18"/>
                <w:szCs w:val="18"/>
              </w:rPr>
              <w:t xml:space="preserve">GPQA
(PhD Reasoning)</w:t>
            </w:r>
          </w:p>
        </w:tc>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High</w:t>
            </w:r>
          </w:p>
        </w:tc>
        <w:tc>
          <w:tcPr>
            <w:tcW w:type="dxa" w:w="2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Near-saturated (Gemini 3.1 Pro: 94.3%)</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 Retiring</w:t>
            </w:r>
          </w:p>
        </w:tc>
        <w:tc>
          <w:tcPr>
            <w:tcW w:type="dxa" w:w="2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Gemini 3.1 Pro leads at 94.3%. Community shifting to Humanity's Last Exam and domain-specific evaluation.</w:t>
            </w:r>
          </w:p>
        </w:tc>
      </w:tr>
      <w:tr>
        <w:tc>
          <w:tcPr>
            <w:tcW w:type="dxa" w:w="21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pPr>
              <w:spacing w:after="0"/>
            </w:pPr>
            <w:r>
              <w:rPr>
                <w:rFonts w:ascii="Arial" w:cs="Arial" w:eastAsia="Arial" w:hAnsi="Arial"/>
                <w:b/>
                <w:bCs/>
                <w:color w:val="0D1B2A"/>
                <w:sz w:val="18"/>
                <w:szCs w:val="18"/>
              </w:rPr>
              <w:t xml:space="preserve">SimpleQA / SimpleQA Verified
(Factuality — no tools)</w:t>
            </w:r>
          </w:p>
        </w:tc>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~68%</w:t>
            </w:r>
          </w:p>
        </w:tc>
        <w:tc>
          <w:tcPr>
            <w:tcW w:type="dxa" w:w="2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Gemini 3 Pro: 72.1% SimpleQA
Gemini 2.5 Pro: F1 55.6 on SimpleQA Verified
With tools: near-100% across all frontier models</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 Active — but tools change everything</w:t>
            </w:r>
          </w:p>
        </w:tc>
        <w:tc>
          <w:tcPr>
            <w:tcW w:type="dxa" w:w="2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See Section 4. Without tools: large variance between models. With tools (RAG/search): essentially solved. The delta reveals the system-design opportunity.</w:t>
            </w:r>
          </w:p>
        </w:tc>
      </w:tr>
      <w:tr>
        <w:tc>
          <w:tcPr>
            <w:tcW w:type="dxa" w:w="21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spacing w:after="0"/>
            </w:pPr>
            <w:r>
              <w:rPr>
                <w:rFonts w:ascii="Arial" w:cs="Arial" w:eastAsia="Arial" w:hAnsi="Arial"/>
                <w:b/>
                <w:bCs/>
                <w:color w:val="0D1B2A"/>
                <w:sz w:val="18"/>
                <w:szCs w:val="18"/>
              </w:rPr>
              <w:t xml:space="preserve">GAIA L3 — Agent System
(Planning, Level 3 only)</w:t>
            </w:r>
          </w:p>
        </w:tc>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~60%</w:t>
            </w:r>
          </w:p>
        </w:tc>
        <w:tc>
          <w:tcPr>
            <w:tcW w:type="dxa" w:w="2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61% — Writer's Action Agent (mid-2025)
Best agent system: 74.6% overall (Claude Sonnet 4.5 + HAL)
Base model / minimal agent: 44.8% (GPT-5 Mini, Mar 2026)
Human baseline: 92% (original paper, 2023)</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 Active</w:t>
            </w:r>
          </w:p>
        </w:tc>
        <w:tc>
          <w:tcPr>
            <w:tcW w:type="dxa" w:w="2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 Methodology note: base model and agent system scores differ by ~30pp. All figures in this report use agent-system scores unless noted as base model.</w:t>
            </w:r>
          </w:p>
        </w:tc>
      </w:tr>
      <w:tr>
        <w:tc>
          <w:tcPr>
            <w:tcW w:type="dxa" w:w="21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spacing w:after="0"/>
            </w:pPr>
            <w:r>
              <w:rPr>
                <w:rFonts w:ascii="Arial" w:cs="Arial" w:eastAsia="Arial" w:hAnsi="Arial"/>
                <w:b/>
                <w:bCs/>
                <w:color w:val="0D1B2A"/>
                <w:sz w:val="18"/>
                <w:szCs w:val="18"/>
              </w:rPr>
              <w:t xml:space="preserve">Terminal-Bench 2.0
(Whole-System Execution)</w:t>
            </w:r>
          </w:p>
        </w:tc>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N/A — new</w:t>
            </w:r>
          </w:p>
        </w:tc>
        <w:tc>
          <w:tcPr>
            <w:tcW w:type="dxa" w:w="2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78.4% Forge Code (Gemini 3.1 Pro)
77.3% Factory's Droid (GPT-5.3-Codex)
74.7% Terminus-KIRA (Claude Opus 4.6)
Hard subset (Artificial Analysis): GPT-5.4 57.6%</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 Active Frontier</w:t>
            </w:r>
          </w:p>
        </w:tc>
        <w:tc>
          <w:tcPr>
            <w:tcW w:type="dxa" w:w="2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89 real terminal tasks (software eng., biology, security, gaming) in Docker containers. Measures whole-system execution, not patch generation. Scaffolding quality contributes 2–6pp above raw model. Clearest public demonstration of the base-vs-system gap.</w:t>
            </w:r>
          </w:p>
        </w:tc>
      </w:tr>
    </w:tbl>
    <w:p>
      <w:pPr>
        <w:spacing w:after="120"/>
      </w:pPr>
    </w:p>
    <w:p>
      <w:pPr>
        <w:pStyle w:val="Heading2"/>
        <w:spacing w:after="100" w:before="240"/>
      </w:pPr>
      <w:r>
        <w:rPr>
          <w:rFonts w:ascii="Arial" w:cs="Arial" w:eastAsia="Arial" w:hAnsi="Arial"/>
          <w:b/>
          <w:bCs/>
          <w:color w:val="0D1B2A"/>
          <w:sz w:val="28"/>
          <w:szCs w:val="28"/>
        </w:rPr>
        <w:t xml:space="preserve">2.4  Cost as a First-Class Metric</w:t>
      </w:r>
    </w:p>
    <w:p>
      <w:pPr>
        <w:spacing w:after="120" w:line="276"/>
      </w:pPr>
      <w:r>
        <w:rPr>
          <w:rFonts w:ascii="Arial" w:cs="Arial" w:eastAsia="Arial" w:hAnsi="Arial"/>
          <w:b w:val="false"/>
          <w:bCs w:val="false"/>
          <w:i w:val="false"/>
          <w:iCs w:val="false"/>
          <w:color w:val="374151"/>
          <w:sz w:val="22"/>
          <w:szCs w:val="22"/>
        </w:rPr>
        <w:t xml:space="preserve">One of the clearest new metrics since V1 is cost-per-task at a given accuracy level. ARC-AGI-2 refinement results: 95.1% accuracy costs $8.71/task (Imbue evolution harness with Gemini 3.1 Pro); the community record of 97.9% costs $11.77/task. Human performance costs an estimated $0.30–0.50/task. This efficiency gap is as important as the accuracy gap, and it is closing — see Section 4.</w:t>
      </w:r>
    </w:p>
    <w:p>
      <w:pPr>
        <w:spacing w:after="240"/>
      </w:pPr>
    </w:p>
    <w:p>
      <w:r>
        <w:br w:type="page"/>
      </w:r>
    </w:p>
    <w:p>
      <w:pPr>
        <w:pStyle w:val="Heading1"/>
        <w:spacing w:after="120" w:before="320"/>
      </w:pPr>
      <w:r>
        <w:rPr>
          <w:rFonts w:ascii="Arial" w:cs="Arial" w:eastAsia="Arial" w:hAnsi="Arial"/>
          <w:b/>
          <w:bCs/>
          <w:color w:val="0D1B2A"/>
          <w:sz w:val="36"/>
          <w:szCs w:val="36"/>
        </w:rPr>
        <w:t xml:space="preserve">3 · The Barbell Economy: Validated, with New Counter-Patterns</w:t>
      </w:r>
    </w:p>
    <w:p>
      <w:pPr>
        <w:pBdr>
          <w:bottom w:val="single" w:color="1A56DB" w:sz="8" w:space="1"/>
        </w:pBdr>
        <w:spacing w:after="200"/>
      </w:pPr>
    </w:p>
    <w:p>
      <w:pPr>
        <w:spacing w:after="120" w:line="276"/>
      </w:pPr>
      <w:r>
        <w:rPr>
          <w:rFonts w:ascii="Arial" w:cs="Arial" w:eastAsia="Arial" w:hAnsi="Arial"/>
          <w:b w:val="false"/>
          <w:bCs w:val="false"/>
          <w:i w:val="false"/>
          <w:iCs w:val="false"/>
          <w:color w:val="374151"/>
          <w:sz w:val="22"/>
          <w:szCs w:val="22"/>
        </w:rPr>
        <w:t xml:space="preserve">The Barbell Economy thesis — introduced in V1 with 60% probability — is now validated by hard data across multiple independent sources. Confidence is revised upward to &gt;85%. Three new developments since V1 add important nuance: the sector divergence between enterprise and startup hiring, the Klarna counter-pattern showing the correction loop, and the pipeline problem as a second-order risk.</w:t>
      </w:r>
    </w:p>
    <w:p>
      <w:pPr>
        <w:spacing w:after="80"/>
      </w:pPr>
    </w:p>
    <w:p>
      <w:pPr>
        <w:pStyle w:val="Heading2"/>
        <w:spacing w:after="100" w:before="240"/>
      </w:pPr>
      <w:r>
        <w:rPr>
          <w:rFonts w:ascii="Arial" w:cs="Arial" w:eastAsia="Arial" w:hAnsi="Arial"/>
          <w:b/>
          <w:bCs/>
          <w:color w:val="0D1B2A"/>
          <w:sz w:val="28"/>
          <w:szCs w:val="28"/>
        </w:rPr>
        <w:t xml:space="preserve">3.1  Junior Hiring Collapse — Confirmed, Data Updated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FEE2E2" w:val="clear"/>
            <w:tcMar>
              <w:top w:type="dxa" w:w="120"/>
              <w:left w:type="dxa" w:w="160"/>
              <w:bottom w:type="dxa" w:w="120"/>
              <w:right w:type="dxa" w:w="160"/>
            </w:tcMar>
          </w:tcPr>
          <w:p>
            <w:pPr>
              <w:spacing w:after="40"/>
              <w:jc w:val="center"/>
            </w:pPr>
            <w:r>
              <w:rPr>
                <w:rFonts w:ascii="Arial" w:cs="Arial" w:eastAsia="Arial" w:hAnsi="Arial"/>
                <w:b/>
                <w:bCs/>
                <w:color w:val="0D1B2A"/>
                <w:sz w:val="48"/>
                <w:szCs w:val="48"/>
              </w:rPr>
              <w:t xml:space="preserve">–27.5%</w:t>
            </w:r>
          </w:p>
          <w:p>
            <w:pPr>
              <w:spacing w:after="0"/>
              <w:jc w:val="center"/>
            </w:pPr>
            <w:r>
              <w:rPr>
                <w:rFonts w:ascii="Arial" w:cs="Arial" w:eastAsia="Arial" w:hAnsi="Arial"/>
                <w:color w:val="374151"/>
                <w:sz w:val="18"/>
                <w:szCs w:val="18"/>
              </w:rPr>
              <w:t xml:space="preserve">US programmer employment decline, 2023–2025 (BLS)</w:t>
            </w:r>
          </w:p>
        </w:tc>
        <w:tc>
          <w:tcPr>
            <w:tcW w:type="dxa" w:w="3120"/>
            <w:tcBorders>
              <w:top w:val="none" w:color="FFFFFF" w:sz="0"/>
              <w:left w:val="none" w:color="FFFFFF" w:sz="0"/>
              <w:bottom w:val="none" w:color="FFFFFF" w:sz="0"/>
              <w:right w:val="none" w:color="FFFFFF" w:sz="0"/>
            </w:tcBorders>
            <w:shd w:fill="FEE2E2" w:val="clear"/>
            <w:tcMar>
              <w:top w:type="dxa" w:w="120"/>
              <w:left w:type="dxa" w:w="160"/>
              <w:bottom w:type="dxa" w:w="120"/>
              <w:right w:type="dxa" w:w="160"/>
            </w:tcMar>
          </w:tcPr>
          <w:p>
            <w:pPr>
              <w:spacing w:after="40"/>
              <w:jc w:val="center"/>
            </w:pPr>
            <w:r>
              <w:rPr>
                <w:rFonts w:ascii="Arial" w:cs="Arial" w:eastAsia="Arial" w:hAnsi="Arial"/>
                <w:b/>
                <w:bCs/>
                <w:color w:val="0D1B2A"/>
                <w:sz w:val="48"/>
                <w:szCs w:val="48"/>
              </w:rPr>
              <w:t xml:space="preserve">–67%</w:t>
            </w:r>
          </w:p>
          <w:p>
            <w:pPr>
              <w:spacing w:after="0"/>
              <w:jc w:val="center"/>
            </w:pPr>
            <w:r>
              <w:rPr>
                <w:rFonts w:ascii="Arial" w:cs="Arial" w:eastAsia="Arial" w:hAnsi="Arial"/>
                <w:color w:val="374151"/>
                <w:sz w:val="18"/>
                <w:szCs w:val="18"/>
              </w:rPr>
              <w:t xml:space="preserve">Entry-level developer job postings, 2022–2026 (AlterSquare)</w:t>
            </w:r>
          </w:p>
        </w:tc>
        <w:tc>
          <w:tcPr>
            <w:tcW w:type="dxa" w:w="3120"/>
            <w:tcBorders>
              <w:top w:val="none" w:color="FFFFFF" w:sz="0"/>
              <w:left w:val="none" w:color="FFFFFF" w:sz="0"/>
              <w:bottom w:val="none" w:color="FFFFFF" w:sz="0"/>
              <w:right w:val="none" w:color="FFFFFF" w:sz="0"/>
            </w:tcBorders>
            <w:shd w:fill="FEF3C7" w:val="clear"/>
            <w:tcMar>
              <w:top w:type="dxa" w:w="120"/>
              <w:left w:type="dxa" w:w="160"/>
              <w:bottom w:type="dxa" w:w="120"/>
              <w:right w:type="dxa" w:w="160"/>
            </w:tcMar>
          </w:tcPr>
          <w:p>
            <w:pPr>
              <w:spacing w:after="40"/>
              <w:jc w:val="center"/>
            </w:pPr>
            <w:r>
              <w:rPr>
                <w:rFonts w:ascii="Arial" w:cs="Arial" w:eastAsia="Arial" w:hAnsi="Arial"/>
                <w:b/>
                <w:bCs/>
                <w:color w:val="0D1B2A"/>
                <w:sz w:val="48"/>
                <w:szCs w:val="48"/>
              </w:rPr>
              <w:t xml:space="preserve">15% → 7%</w:t>
            </w:r>
          </w:p>
          <w:p>
            <w:pPr>
              <w:spacing w:after="0"/>
              <w:jc w:val="center"/>
            </w:pPr>
            <w:r>
              <w:rPr>
                <w:rFonts w:ascii="Arial" w:cs="Arial" w:eastAsia="Arial" w:hAnsi="Arial"/>
                <w:color w:val="374151"/>
                <w:sz w:val="18"/>
                <w:szCs w:val="18"/>
              </w:rPr>
              <w:t xml:space="preserve">Junior share of IT hires (ARDURA Consulting / Dice &amp; Indeed)</w:t>
            </w:r>
          </w:p>
        </w:tc>
      </w:tr>
    </w:tbl>
    <w:p>
      <w:pPr>
        <w:spacing w:after="120"/>
      </w:pPr>
    </w:p>
    <w:p>
      <w:pPr>
        <w:spacing w:after="120" w:line="276"/>
      </w:pPr>
      <w:r>
        <w:rPr>
          <w:rFonts w:ascii="Arial" w:cs="Arial" w:eastAsia="Arial" w:hAnsi="Arial"/>
          <w:b w:val="false"/>
          <w:bCs w:val="false"/>
          <w:i w:val="false"/>
          <w:iCs w:val="false"/>
          <w:color w:val="374151"/>
          <w:sz w:val="22"/>
          <w:szCs w:val="22"/>
        </w:rPr>
        <w:t xml:space="preserve">The Stanford Digital Economy Lab study (Brynjolfsson, Chandar, Chen — August 2025) is the most methodologically rigorous source: ADP payroll data covering 3.5–5 million workers across tens of thousands of firms. Developers aged 22–25 declined nearly 20% from peak in late 2022. Developers over 26: stable or growing. The divergence began exactly when ChatGPT launched. A Harvard study (Hosseini Maasoum and Lichtinger, SSRN August 2025) using Revelio Labs résumé data covering 62 million workers found junior employment at AI-adopting firms declined 7.7% relative to non-adopters within six quarters — labelling this 'seniority-biased technological change.'</w:t>
      </w:r>
    </w:p>
    <w:p>
      <w:pPr>
        <w:spacing w:after="80"/>
      </w:pPr>
    </w:p>
    <w:p>
      <w:pPr>
        <w:pStyle w:val="ListParagraph"/>
        <w:numPr>
          <w:ilvl w:val="0"/>
          <w:numId w:val="2"/>
        </w:numPr>
        <w:spacing w:after="80"/>
      </w:pPr>
      <w:r>
        <w:rPr>
          <w:rFonts w:ascii="Arial" w:cs="Arial" w:eastAsia="Arial" w:hAnsi="Arial"/>
          <w:color w:val="374151"/>
          <w:sz w:val="21"/>
          <w:szCs w:val="21"/>
        </w:rPr>
        <w:t xml:space="preserve">Salesforce: publicly announced zero new software engineering hires for 2025 (Benioff)</w:t>
      </w:r>
    </w:p>
    <w:p>
      <w:pPr>
        <w:pStyle w:val="ListParagraph"/>
        <w:numPr>
          <w:ilvl w:val="0"/>
          <w:numId w:val="2"/>
        </w:numPr>
        <w:spacing w:after="80"/>
      </w:pPr>
      <w:r>
        <w:rPr>
          <w:rFonts w:ascii="Arial" w:cs="Arial" w:eastAsia="Arial" w:hAnsi="Arial"/>
          <w:color w:val="374151"/>
          <w:sz w:val="21"/>
          <w:szCs w:val="21"/>
        </w:rPr>
        <w:t xml:space="preserve">Block (Jack Dorsey): cut workforce from 10,000 to under 6,000 in February 2026</w:t>
      </w:r>
    </w:p>
    <w:p>
      <w:pPr>
        <w:pStyle w:val="ListParagraph"/>
        <w:numPr>
          <w:ilvl w:val="0"/>
          <w:numId w:val="2"/>
        </w:numPr>
        <w:spacing w:after="80"/>
      </w:pPr>
      <w:r>
        <w:rPr>
          <w:rFonts w:ascii="Arial" w:cs="Arial" w:eastAsia="Arial" w:hAnsi="Arial"/>
          <w:color w:val="374151"/>
          <w:sz w:val="21"/>
          <w:szCs w:val="21"/>
        </w:rPr>
        <w:t xml:space="preserve">Atlassian: 1,600 jobs cut March 2026; CEO cited AI as changing the required skill mix</w:t>
      </w:r>
    </w:p>
    <w:p>
      <w:pPr>
        <w:pStyle w:val="ListParagraph"/>
        <w:numPr>
          <w:ilvl w:val="0"/>
          <w:numId w:val="2"/>
        </w:numPr>
        <w:spacing w:after="80"/>
      </w:pPr>
      <w:r>
        <w:rPr>
          <w:rFonts w:ascii="Arial" w:cs="Arial" w:eastAsia="Arial" w:hAnsi="Arial"/>
          <w:color w:val="374151"/>
          <w:sz w:val="21"/>
          <w:szCs w:val="21"/>
        </w:rPr>
        <w:t xml:space="preserve">Microsoft: AI writes 20–30% of internal code (Satya Nadella)</w:t>
      </w:r>
    </w:p>
    <w:p>
      <w:pPr>
        <w:pStyle w:val="ListParagraph"/>
        <w:numPr>
          <w:ilvl w:val="0"/>
          <w:numId w:val="2"/>
        </w:numPr>
        <w:spacing w:after="80"/>
      </w:pPr>
      <w:r>
        <w:rPr>
          <w:rFonts w:ascii="Arial" w:cs="Arial" w:eastAsia="Arial" w:hAnsi="Arial"/>
          <w:color w:val="374151"/>
          <w:sz w:val="21"/>
          <w:szCs w:val="21"/>
        </w:rPr>
        <w:t xml:space="preserve">CS enrolments: Forrester (2026) projects 20% decline — a lagging indicator with a 5-year compounding effect</w:t>
      </w:r>
    </w:p>
    <w:p>
      <w:pPr>
        <w:spacing w:after="80"/>
      </w:pPr>
    </w:p>
    <w:p>
      <w:pPr>
        <w:pStyle w:val="Heading2"/>
        <w:spacing w:after="100" w:before="240"/>
      </w:pPr>
      <w:r>
        <w:rPr>
          <w:rFonts w:ascii="Arial" w:cs="Arial" w:eastAsia="Arial" w:hAnsi="Arial"/>
          <w:b/>
          <w:bCs/>
          <w:color w:val="0D1B2A"/>
          <w:sz w:val="28"/>
          <w:szCs w:val="28"/>
        </w:rPr>
        <w:t xml:space="preserve">3.2  The Klarna Counter-Pattern — The Correction Loop is Now Documented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140"/>
              <w:left w:type="dxa" w:w="200"/>
              <w:bottom w:type="dxa" w:w="140"/>
              <w:right w:type="dxa" w:w="200"/>
            </w:tcMar>
          </w:tcPr>
          <w:p>
            <w:pPr>
              <w:spacing w:after="60"/>
            </w:pPr>
            <w:r>
              <w:rPr>
                <w:rFonts w:ascii="Arial" w:cs="Arial" w:eastAsia="Arial" w:hAnsi="Arial"/>
                <w:b/>
                <w:bCs/>
                <w:color w:val="D97706"/>
                <w:sz w:val="20"/>
                <w:szCs w:val="20"/>
              </w:rPr>
              <w:t xml:space="preserve">NEW SINCE V1: The Klarna Effect</w:t>
            </w:r>
          </w:p>
          <w:p>
            <w:pPr>
              <w:spacing w:after="0"/>
            </w:pPr>
            <w:r>
              <w:rPr>
                <w:rFonts w:ascii="Arial" w:cs="Arial" w:eastAsia="Arial" w:hAnsi="Arial"/>
                <w:color w:val="374151"/>
                <w:sz w:val="20"/>
                <w:szCs w:val="20"/>
              </w:rPr>
              <w:t xml:space="preserve">Klarna stopped hiring human customer service teams in 2023, partnered with OpenAI, and publicly celebrated $10M in savings. By mid-2025, the company was scrambling to rehire. Customer satisfaction had dropped. Staff pulled from specialist roles to cover customer service. The workforce dropped from 5,500 to 3,400 then needed to grow again.
This is not an argument against the Barbell thesis. It is the expected correction signal when the thesis is executed too bluntly — replacing human judgment with AI in domains where trust, context, and institutional knowledge matter. The companies executing the Barbell thesis well are those replacing routine tasks while retaining and elevating senior judgment. The Klarna pattern predicts: enterprises that rush to full AI replacement will rehire within 18–24 months.</w:t>
            </w:r>
          </w:p>
        </w:tc>
      </w:tr>
    </w:tbl>
    <w:p>
      <w:pPr>
        <w:spacing w:after="120"/>
      </w:pPr>
    </w:p>
    <w:p>
      <w:pPr>
        <w:spacing w:after="120" w:line="276"/>
      </w:pPr>
      <w:r>
        <w:rPr>
          <w:rFonts w:ascii="Arial" w:cs="Arial" w:eastAsia="Arial" w:hAnsi="Arial"/>
          <w:b w:val="false"/>
          <w:bCs w:val="false"/>
          <w:i w:val="false"/>
          <w:iCs w:val="false"/>
          <w:color w:val="374151"/>
          <w:sz w:val="22"/>
          <w:szCs w:val="22"/>
        </w:rPr>
        <w:t xml:space="preserve">A related data point that tempers the headline productivity narrative: Google's DORA 2024 report found roughly 2% overall productivity increase for every 25% increase in AI adoption in software engineering — a gap of approximately 12x between executive expectation (~25%) and measured engineering outcome. Self-reported productivity and measured productivity diverge sharply.</w:t>
      </w:r>
    </w:p>
    <w:p>
      <w:pPr>
        <w:spacing w:after="80"/>
      </w:pPr>
    </w:p>
    <w:p>
      <w:pPr>
        <w:pStyle w:val="Heading2"/>
        <w:spacing w:after="100" w:before="240"/>
      </w:pPr>
      <w:r>
        <w:rPr>
          <w:rFonts w:ascii="Arial" w:cs="Arial" w:eastAsia="Arial" w:hAnsi="Arial"/>
          <w:b/>
          <w:bCs/>
          <w:color w:val="0D1B2A"/>
          <w:sz w:val="28"/>
          <w:szCs w:val="28"/>
        </w:rPr>
        <w:t xml:space="preserve">3.3  Sector Divergence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D1FAE5" w:val="clear"/>
            <w:tcMar>
              <w:top w:type="dxa" w:w="100"/>
              <w:left w:type="dxa" w:w="160"/>
              <w:bottom w:type="dxa" w:w="100"/>
              <w:right w:type="dxa" w:w="160"/>
            </w:tcMar>
          </w:tcPr>
          <w:p>
            <w:pPr>
              <w:spacing w:after="60"/>
            </w:pPr>
            <w:r>
              <w:rPr>
                <w:rFonts w:ascii="Arial" w:cs="Arial" w:eastAsia="Arial" w:hAnsi="Arial"/>
                <w:b/>
                <w:bCs/>
                <w:color w:val="0D1B2A"/>
                <w:sz w:val="21"/>
                <w:szCs w:val="21"/>
              </w:rPr>
              <w:t xml:space="preserve">ENTERPRISE  (Finance · Insurance · Healthcare)</w:t>
            </w:r>
          </w:p>
          <w:p>
            <w:pPr>
              <w:spacing w:after="40"/>
            </w:pPr>
            <w:r>
              <w:rPr>
                <w:rFonts w:ascii="Arial" w:cs="Arial" w:eastAsia="Arial" w:hAnsi="Arial"/>
                <w:i/>
                <w:iCs/>
                <w:color w:val="64748B"/>
                <w:sz w:val="19"/>
                <w:szCs w:val="19"/>
              </w:rPr>
              <w:t xml:space="preserve">Still hiring juniors for institutional knowledge pipelines</w:t>
            </w:r>
          </w:p>
          <w:p>
            <w:pPr>
              <w:spacing w:after="40"/>
            </w:pPr>
            <w:r>
              <w:rPr>
                <w:rFonts w:ascii="Arial" w:cs="Arial" w:eastAsia="Arial" w:hAnsi="Arial"/>
                <w:color w:val="374151"/>
                <w:sz w:val="19"/>
                <w:szCs w:val="19"/>
              </w:rPr>
              <w:t xml:space="preserve">• AI-related postings in insurance +74% YoY — hybrid human+AI roles</w:t>
            </w:r>
          </w:p>
          <w:p>
            <w:pPr>
              <w:spacing w:after="40"/>
            </w:pPr>
            <w:r>
              <w:rPr>
                <w:rFonts w:ascii="Arial" w:cs="Arial" w:eastAsia="Arial" w:hAnsi="Arial"/>
                <w:color w:val="374151"/>
                <w:sz w:val="19"/>
                <w:szCs w:val="19"/>
              </w:rPr>
              <w:t xml:space="preserve">• Senior specialist salaries +40% with higher output expectations</w:t>
            </w:r>
          </w:p>
          <w:p>
            <w:pPr>
              <w:spacing w:after="40"/>
            </w:pPr>
            <w:r>
              <w:rPr>
                <w:rFonts w:ascii="Arial" w:cs="Arial" w:eastAsia="Arial" w:hAnsi="Arial"/>
                <w:color w:val="374151"/>
                <w:sz w:val="19"/>
                <w:szCs w:val="19"/>
              </w:rPr>
              <w:t xml:space="preserve">• Regulatory accountability chains require human continuity</w:t>
            </w:r>
          </w:p>
        </w:tc>
        <w:tc>
          <w:tcPr>
            <w:tcW w:type="dxa" w:w="4680"/>
            <w:tcBorders>
              <w:top w:val="single" w:color="CBD5E1" w:sz="1"/>
              <w:left w:val="single" w:color="CBD5E1" w:sz="1"/>
              <w:bottom w:val="single" w:color="CBD5E1" w:sz="1"/>
              <w:right w:val="single" w:color="CBD5E1" w:sz="1"/>
            </w:tcBorders>
            <w:shd w:fill="FEE2E2" w:val="clear"/>
            <w:tcMar>
              <w:top w:type="dxa" w:w="100"/>
              <w:left w:type="dxa" w:w="160"/>
              <w:bottom w:type="dxa" w:w="100"/>
              <w:right w:type="dxa" w:w="160"/>
            </w:tcMar>
          </w:tcPr>
          <w:p>
            <w:pPr>
              <w:spacing w:after="60"/>
            </w:pPr>
            <w:r>
              <w:rPr>
                <w:rFonts w:ascii="Arial" w:cs="Arial" w:eastAsia="Arial" w:hAnsi="Arial"/>
                <w:b/>
                <w:bCs/>
                <w:color w:val="0D1B2A"/>
                <w:sz w:val="21"/>
                <w:szCs w:val="21"/>
              </w:rPr>
              <w:t xml:space="preserve">STARTUPS  (Tech-native, High-growth)</w:t>
            </w:r>
          </w:p>
          <w:p>
            <w:pPr>
              <w:spacing w:after="40"/>
            </w:pPr>
            <w:r>
              <w:rPr>
                <w:rFonts w:ascii="Arial" w:cs="Arial" w:eastAsia="Arial" w:hAnsi="Arial"/>
                <w:i/>
                <w:iCs/>
                <w:color w:val="64748B"/>
                <w:sz w:val="19"/>
                <w:szCs w:val="19"/>
              </w:rPr>
              <w:t xml:space="preserve">Junior hiring effectively eliminated as a category</w:t>
            </w:r>
          </w:p>
          <w:p>
            <w:pPr>
              <w:spacing w:after="40"/>
            </w:pPr>
            <w:r>
              <w:rPr>
                <w:rFonts w:ascii="Arial" w:cs="Arial" w:eastAsia="Arial" w:hAnsi="Arial"/>
                <w:color w:val="374151"/>
                <w:sz w:val="19"/>
                <w:szCs w:val="19"/>
              </w:rPr>
              <w:t xml:space="preserve">• Salesforce, Block, Atlassian: no new entry-level engineering hires</w:t>
            </w:r>
          </w:p>
          <w:p>
            <w:pPr>
              <w:spacing w:after="40"/>
            </w:pPr>
            <w:r>
              <w:rPr>
                <w:rFonts w:ascii="Arial" w:cs="Arial" w:eastAsia="Arial" w:hAnsi="Arial"/>
                <w:color w:val="374151"/>
                <w:sz w:val="19"/>
                <w:szCs w:val="19"/>
              </w:rPr>
              <w:t xml:space="preserve">• 54% of companies stopped hiring junior devs because of AI (AlterSquare, March 2026)</w:t>
            </w:r>
          </w:p>
          <w:p>
            <w:pPr>
              <w:spacing w:after="40"/>
            </w:pPr>
            <w:r>
              <w:rPr>
                <w:rFonts w:ascii="Arial" w:cs="Arial" w:eastAsia="Arial" w:hAnsi="Arial"/>
                <w:color w:val="374151"/>
                <w:sz w:val="19"/>
                <w:szCs w:val="19"/>
              </w:rPr>
              <w:t xml:space="preserve">• Pipeline problem most acute — no mentorship capacity being built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EDE9FE" w:val="clear"/>
            <w:tcMar>
              <w:top w:type="dxa" w:w="100"/>
              <w:left w:type="dxa" w:w="160"/>
              <w:bottom w:type="dxa" w:w="100"/>
              <w:right w:type="dxa" w:w="160"/>
            </w:tcMar>
          </w:tcPr>
          <w:p>
            <w:pPr>
              <w:spacing w:after="60"/>
            </w:pPr>
            <w:r>
              <w:rPr>
                <w:rFonts w:ascii="Arial" w:cs="Arial" w:eastAsia="Arial" w:hAnsi="Arial"/>
                <w:b/>
                <w:bCs/>
                <w:color w:val="0D1B2A"/>
                <w:sz w:val="21"/>
                <w:szCs w:val="21"/>
              </w:rPr>
              <w:t xml:space="preserve">REGULATED INDUSTRIES  (Finance · Healthcare · Legal) — A Third Pattern</w:t>
            </w:r>
          </w:p>
          <w:p>
            <w:pPr>
              <w:spacing w:after="40"/>
            </w:pPr>
            <w:r>
              <w:rPr>
                <w:rFonts w:ascii="Arial" w:cs="Arial" w:eastAsia="Arial" w:hAnsi="Arial"/>
                <w:i/>
                <w:iCs/>
                <w:color w:val="64748B"/>
                <w:sz w:val="19"/>
                <w:szCs w:val="19"/>
              </w:rPr>
              <w:t xml:space="preserve">Maintaining junior pipelines for structural compliance reasons — distinct from either institutional knowledge or growth strategy</w:t>
            </w:r>
          </w:p>
          <w:p>
            <w:pPr>
              <w:spacing w:after="40"/>
            </w:pPr>
            <w:r>
              <w:rPr>
                <w:rFonts w:ascii="Arial" w:cs="Arial" w:eastAsia="Arial" w:hAnsi="Arial"/>
                <w:color w:val="374151"/>
                <w:sz w:val="19"/>
                <w:szCs w:val="19"/>
              </w:rPr>
              <w:t xml:space="preserve">• Regulatory accountability: auditable human decision-making chains are legally required at every level — an AI agent cannot carry liability</w:t>
            </w:r>
          </w:p>
          <w:p>
            <w:pPr>
              <w:spacing w:after="40"/>
            </w:pPr>
            <w:r>
              <w:rPr>
                <w:rFonts w:ascii="Arial" w:cs="Arial" w:eastAsia="Arial" w:hAnsi="Arial"/>
                <w:color w:val="374151"/>
                <w:sz w:val="19"/>
                <w:szCs w:val="19"/>
              </w:rPr>
              <w:t xml:space="preserve">• Healthcare: FDA-authorised AI devices require documented human oversight; clinical validation demands trainable human continuity</w:t>
            </w:r>
          </w:p>
          <w:p>
            <w:pPr>
              <w:spacing w:after="40"/>
            </w:pPr>
            <w:r>
              <w:rPr>
                <w:rFonts w:ascii="Arial" w:cs="Arial" w:eastAsia="Arial" w:hAnsi="Arial"/>
                <w:color w:val="374151"/>
                <w:sz w:val="19"/>
                <w:szCs w:val="19"/>
              </w:rPr>
              <w:t xml:space="preserve">• Finance: AI-related E&amp;O insurance underwriters increasingly require human-in-the-loop documentation as a coverage condition</w:t>
            </w:r>
          </w:p>
          <w:p>
            <w:pPr>
              <w:spacing w:after="40"/>
            </w:pPr>
            <w:r>
              <w:rPr>
                <w:rFonts w:ascii="Arial" w:cs="Arial" w:eastAsia="Arial" w:hAnsi="Arial"/>
                <w:color w:val="374151"/>
                <w:sz w:val="19"/>
                <w:szCs w:val="19"/>
              </w:rPr>
              <w:t xml:space="preserve">• Legal: Courts have imposed sanctions for AI-generated filings without human verification — junior associates function as the mandatory verification layer</w:t>
            </w:r>
          </w:p>
          <w:p>
            <w:pPr>
              <w:spacing w:after="40"/>
            </w:pPr>
            <w:r>
              <w:rPr>
                <w:rFonts w:ascii="Arial" w:cs="Arial" w:eastAsia="Arial" w:hAnsi="Arial"/>
                <w:color w:val="374151"/>
                <w:sz w:val="19"/>
                <w:szCs w:val="19"/>
              </w:rPr>
              <w:t xml:space="preserve">• Prediction: These sectors maintain the last entry-level technical hiring markets through 2027 — driven by regulatory structure, not sentiment</w:t>
            </w:r>
          </w:p>
        </w:tc>
      </w:tr>
    </w:tbl>
    <w:p>
      <w:pPr>
        <w:spacing w:after="120"/>
      </w:pPr>
    </w:p>
    <w:p>
      <w:pPr>
        <w:pStyle w:val="Heading2"/>
        <w:spacing w:after="100" w:before="240"/>
      </w:pPr>
      <w:r>
        <w:rPr>
          <w:rFonts w:ascii="Arial" w:cs="Arial" w:eastAsia="Arial" w:hAnsi="Arial"/>
          <w:b/>
          <w:bCs/>
          <w:color w:val="0D1B2A"/>
          <w:sz w:val="28"/>
          <w:szCs w:val="28"/>
        </w:rPr>
        <w:t xml:space="preserve">3.4  The CS Enrollment Signal — A 5-Year Compounding Effect</w:t>
      </w:r>
    </w:p>
    <w:p>
      <w:pPr>
        <w:spacing w:after="120" w:line="276"/>
      </w:pPr>
      <w:r>
        <w:rPr>
          <w:rFonts w:ascii="Arial" w:cs="Arial" w:eastAsia="Arial" w:hAnsi="Arial"/>
          <w:b w:val="false"/>
          <w:bCs w:val="false"/>
          <w:i w:val="false"/>
          <w:iCs w:val="false"/>
          <w:color w:val="374151"/>
          <w:sz w:val="22"/>
          <w:szCs w:val="22"/>
        </w:rPr>
        <w:t xml:space="preserve">The most underappreciated second-order effect in the labour data is the simultaneous collapse of both entry-level hiring </w:t>
      </w:r>
      <w:r>
        <w:rPr>
          <w:rFonts w:ascii="Arial" w:cs="Arial" w:eastAsia="Arial" w:hAnsi="Arial"/>
          <w:b/>
          <w:bCs/>
          <w:i w:val="false"/>
          <w:iCs w:val="false"/>
          <w:color w:val="0D1B2A"/>
          <w:sz w:val="22"/>
          <w:szCs w:val="22"/>
        </w:rPr>
        <w:t xml:space="preserve">and</w:t>
      </w:r>
      <w:r>
        <w:rPr>
          <w:rFonts w:ascii="Arial" w:cs="Arial" w:eastAsia="Arial" w:hAnsi="Arial"/>
          <w:b w:val="false"/>
          <w:bCs w:val="false"/>
          <w:i w:val="false"/>
          <w:iCs w:val="false"/>
          <w:color w:val="374151"/>
          <w:sz w:val="22"/>
          <w:szCs w:val="22"/>
        </w:rPr>
        <w:t xml:space="preserve"> CS enrolment. These two trends compound in a way the V1 Barbell thesis did not model.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140"/>
              <w:left w:type="dxa" w:w="200"/>
              <w:bottom w:type="dxa" w:w="140"/>
              <w:right w:type="dxa" w:w="200"/>
            </w:tcMar>
          </w:tcPr>
          <w:p>
            <w:pPr>
              <w:spacing w:after="60"/>
            </w:pPr>
            <w:r>
              <w:rPr>
                <w:rFonts w:ascii="Arial" w:cs="Arial" w:eastAsia="Arial" w:hAnsi="Arial"/>
                <w:b/>
                <w:bCs/>
                <w:color w:val="D97706"/>
                <w:sz w:val="20"/>
                <w:szCs w:val="20"/>
              </w:rPr>
              <w:t xml:space="preserve">The Compounding Timeline</w:t>
            </w:r>
          </w:p>
          <w:p>
            <w:pPr>
              <w:spacing w:after="0"/>
            </w:pPr>
            <w:r>
              <w:rPr>
                <w:rFonts w:ascii="Arial" w:cs="Arial" w:eastAsia="Arial" w:hAnsi="Arial"/>
                <w:color w:val="374151"/>
                <w:sz w:val="20"/>
                <w:szCs w:val="20"/>
              </w:rPr>
              <w:t xml:space="preserve">CS degrees more than doubled from ~52,000 to ~113,000 between 2013–2014 and 2022–2023. That cohort is now graduating into a market that no longer wants them at entry level.
Now the pipeline is reversing. Enrollment in CS programs dropped 8.1% in 2025-2026 — the steepest decline of any field of study (National Student Clearinghouse, open data). CS specifically dropped 11.2%. 62% of computing departments reported declining enrollment (Computing Research Association CERP Pulse Survey, 133 departments, Fall 2025). First sustained reversal since the dot-com crash.
Timeline: A student who does not enrol in 2026 would have graduated in 2030 and become mid-level around 2032-2033. If the decline persists 3-4 years, the senior engineer shortage lands 2033-2037 — precisely when enterprise AI orchestration demand is projected to peak. The organisations making the rational short-term trade (replace juniors with AI) may face a structural talent deficit at the worst possible moment.</w:t>
            </w:r>
          </w:p>
        </w:tc>
      </w:tr>
    </w:tbl>
    <w:p>
      <w:pPr>
        <w:spacing w:after="80"/>
      </w:pPr>
    </w:p>
    <w:p>
      <w:pPr>
        <w:spacing w:after="120" w:line="276"/>
      </w:pPr>
      <w:r>
        <w:rPr>
          <w:rFonts w:ascii="Arial" w:cs="Arial" w:eastAsia="Arial" w:hAnsi="Arial"/>
          <w:b w:val="false"/>
          <w:bCs w:val="false"/>
          <w:i w:val="false"/>
          <w:iCs w:val="false"/>
          <w:color w:val="374151"/>
          <w:sz w:val="22"/>
          <w:szCs w:val="22"/>
        </w:rPr>
        <w:t xml:space="preserve">The partial offset: students are shifting to specialised AI and cybersecurity degrees rather than leaving tech entirely. UC San Diego — the only UC campus with a dedicated AI major — was the only UC campus that saw CS enrollment growth. But whether AI-specialised graduates who have never written production code at entry level will provide the senior software engineering pipeline enterprises need by 2030 is an open question — and a risk the industry has not yet priced in.</w:t>
      </w:r>
    </w:p>
    <w:p>
      <w:pPr>
        <w:spacing w:after="240"/>
      </w:pPr>
    </w:p>
    <w:p>
      <w:r>
        <w:br w:type="page"/>
      </w:r>
    </w:p>
    <w:p>
      <w:pPr>
        <w:pStyle w:val="Heading1"/>
        <w:spacing w:after="120" w:before="320"/>
      </w:pPr>
      <w:r>
        <w:rPr>
          <w:rFonts w:ascii="Arial" w:cs="Arial" w:eastAsia="Arial" w:hAnsi="Arial"/>
          <w:b/>
          <w:bCs/>
          <w:color w:val="0D1B2A"/>
          <w:sz w:val="36"/>
          <w:szCs w:val="36"/>
        </w:rPr>
        <w:t xml:space="preserve">4 · The Reliability Paradox</w:t>
      </w:r>
    </w:p>
    <w:p>
      <w:pPr>
        <w:pBdr>
          <w:bottom w:val="single" w:color="1A56DB" w:sz="8" w:space="1"/>
        </w:pBdr>
        <w:spacing w:after="200"/>
      </w:pPr>
    </w:p>
    <w:p>
      <w:pPr>
        <w:spacing w:after="120" w:line="276"/>
      </w:pPr>
      <w:r>
        <w:rPr>
          <w:rFonts w:ascii="Arial" w:cs="Arial" w:eastAsia="Arial" w:hAnsi="Arial"/>
          <w:b w:val="false"/>
          <w:bCs w:val="false"/>
          <w:i w:val="false"/>
          <w:iCs w:val="false"/>
          <w:color w:val="374151"/>
          <w:sz w:val="22"/>
          <w:szCs w:val="22"/>
        </w:rPr>
        <w:t xml:space="preserve">The V1 report flagged reliability as the key lagging constraint. Four months of data and open-source academic research clarify the picture significantly. This is not simply 'hallucination is a problem.' The data reveals a </w:t>
      </w:r>
      <w:r>
        <w:rPr>
          <w:rFonts w:ascii="Arial" w:cs="Arial" w:eastAsia="Arial" w:hAnsi="Arial"/>
          <w:b/>
          <w:bCs/>
          <w:i w:val="false"/>
          <w:iCs w:val="false"/>
          <w:color w:val="0D1B2A"/>
          <w:sz w:val="22"/>
          <w:szCs w:val="22"/>
        </w:rPr>
        <w:t xml:space="preserve">structured tradeoff</w:t>
      </w:r>
      <w:r>
        <w:rPr>
          <w:rFonts w:ascii="Arial" w:cs="Arial" w:eastAsia="Arial" w:hAnsi="Arial"/>
          <w:b w:val="false"/>
          <w:bCs w:val="false"/>
          <w:i w:val="false"/>
          <w:iCs w:val="false"/>
          <w:color w:val="374151"/>
          <w:sz w:val="22"/>
          <w:szCs w:val="22"/>
        </w:rPr>
        <w:t xml:space="preserve">, a </w:t>
      </w:r>
      <w:r>
        <w:rPr>
          <w:rFonts w:ascii="Arial" w:cs="Arial" w:eastAsia="Arial" w:hAnsi="Arial"/>
          <w:b/>
          <w:bCs/>
          <w:i w:val="false"/>
          <w:iCs w:val="false"/>
          <w:color w:val="0D1B2A"/>
          <w:sz w:val="22"/>
          <w:szCs w:val="22"/>
        </w:rPr>
        <w:t xml:space="preserve">systems engineering solution</w:t>
      </w:r>
      <w:r>
        <w:rPr>
          <w:rFonts w:ascii="Arial" w:cs="Arial" w:eastAsia="Arial" w:hAnsi="Arial"/>
          <w:b w:val="false"/>
          <w:bCs w:val="false"/>
          <w:i w:val="false"/>
          <w:iCs w:val="false"/>
          <w:color w:val="374151"/>
          <w:sz w:val="22"/>
          <w:szCs w:val="22"/>
        </w:rPr>
        <w:t xml:space="preserve">, and a convergence between the cost curve and the reliability technique curve that makes the long-term picture more optimistic than the headline hallucination statistics suggest.</w:t>
      </w:r>
    </w:p>
    <w:p>
      <w:pPr>
        <w:spacing w:after="80"/>
      </w:pPr>
    </w:p>
    <w:p>
      <w:pPr>
        <w:pStyle w:val="Heading2"/>
        <w:spacing w:after="100" w:before="240"/>
      </w:pPr>
      <w:r>
        <w:rPr>
          <w:rFonts w:ascii="Arial" w:cs="Arial" w:eastAsia="Arial" w:hAnsi="Arial"/>
          <w:b/>
          <w:bCs/>
          <w:color w:val="0D1B2A"/>
          <w:sz w:val="28"/>
          <w:szCs w:val="28"/>
        </w:rPr>
        <w:t xml:space="preserve">4.1  The Core Tradeoff: Thinking Tokens vs. Factual Recall</w:t>
      </w:r>
    </w:p>
    <w:p>
      <w:pPr>
        <w:spacing w:after="120" w:line="276"/>
      </w:pPr>
      <w:r>
        <w:rPr>
          <w:rFonts w:ascii="Arial" w:cs="Arial" w:eastAsia="Arial" w:hAnsi="Arial"/>
          <w:b w:val="false"/>
          <w:bCs w:val="false"/>
          <w:i w:val="false"/>
          <w:iCs w:val="false"/>
          <w:color w:val="374151"/>
          <w:sz w:val="22"/>
          <w:szCs w:val="22"/>
        </w:rPr>
        <w:t xml:space="preserve">The most counterintuitive finding in 2025–2026 reliability research: reasoning models — those marketed as most intelligent — are often the </w:t>
      </w:r>
      <w:r>
        <w:rPr>
          <w:rFonts w:ascii="Arial" w:cs="Arial" w:eastAsia="Arial" w:hAnsi="Arial"/>
          <w:b/>
          <w:bCs/>
          <w:i w:val="false"/>
          <w:iCs w:val="false"/>
          <w:color w:val="DC2626"/>
          <w:sz w:val="22"/>
          <w:szCs w:val="22"/>
        </w:rPr>
        <w:t xml:space="preserve">least reliable</w:t>
      </w:r>
      <w:r>
        <w:rPr>
          <w:rFonts w:ascii="Arial" w:cs="Arial" w:eastAsia="Arial" w:hAnsi="Arial"/>
          <w:b w:val="false"/>
          <w:bCs w:val="false"/>
          <w:i w:val="false"/>
          <w:iCs w:val="false"/>
          <w:color w:val="374151"/>
          <w:sz w:val="22"/>
          <w:szCs w:val="22"/>
        </w:rPr>
        <w:t xml:space="preserve"> on basic factual tasks. Every reasoning model tested on the Vectara HHEM benchmark (tracked since 2023, refreshed dataset November 2025 – February 2026) exceeded 10% hallucination on enterprise-length document summarisation. Non-reasoning models like Gemini 2.5 Flash Lite: 3.3%. This is not measurement noise. It is a structural tradeoff: chain-of-thought reasoning generates longer, more detailed outputs with more claims — each additional claim is a new opportunity for confabulation.</w:t>
      </w:r>
    </w:p>
    <w:p>
      <w:pPr>
        <w:spacing w:after="80"/>
      </w:pPr>
    </w:p>
    <w:p>
      <w:pPr>
        <w:spacing w:after="120" w:line="276"/>
      </w:pPr>
      <w:r>
        <w:rPr>
          <w:rFonts w:ascii="Arial" w:cs="Arial" w:eastAsia="Arial" w:hAnsi="Arial"/>
          <w:b w:val="false"/>
          <w:bCs w:val="false"/>
          <w:i w:val="false"/>
          <w:iCs w:val="false"/>
          <w:color w:val="374151"/>
          <w:sz w:val="22"/>
          <w:szCs w:val="22"/>
        </w:rPr>
        <w:t xml:space="preserve">The confidence paradox compounds this. A widely cited structural analysis of hallucination — 'Why Language Models Hallucinate' (Kalai &amp; Nachum, OpenAI, arXiv:2509.04664, 2025) — establishes that this overconfidence is not incidental but </w:t>
      </w:r>
      <w:r>
        <w:rPr>
          <w:rFonts w:ascii="Arial" w:cs="Arial" w:eastAsia="Arial" w:hAnsi="Arial"/>
          <w:b/>
          <w:bCs/>
          <w:i w:val="false"/>
          <w:iCs w:val="false"/>
          <w:color w:val="0D1B2A"/>
          <w:sz w:val="22"/>
          <w:szCs w:val="22"/>
        </w:rPr>
        <w:t xml:space="preserve">incentive-driven</w:t>
      </w:r>
      <w:r>
        <w:rPr>
          <w:rFonts w:ascii="Arial" w:cs="Arial" w:eastAsia="Arial" w:hAnsi="Arial"/>
          <w:b w:val="false"/>
          <w:bCs w:val="false"/>
          <w:i w:val="false"/>
          <w:iCs w:val="false"/>
          <w:color w:val="374151"/>
          <w:sz w:val="22"/>
          <w:szCs w:val="22"/>
        </w:rPr>
        <w:t xml:space="preserve">: next-token training objectives and standard benchmarks reward confident guessing over calibrated uncertainty, so models learn to bluff. The wronger the model, the more certain it tends to sound — a miscalibration that is structurally embedded in how these systems are trained, not a bug that can be easily patched.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40"/>
              <w:left w:type="dxa" w:w="200"/>
              <w:bottom w:type="dxa" w:w="140"/>
              <w:right w:type="dxa" w:w="200"/>
            </w:tcMar>
          </w:tcPr>
          <w:p>
            <w:pPr>
              <w:spacing w:after="60"/>
            </w:pPr>
            <w:r>
              <w:rPr>
                <w:rFonts w:ascii="Arial" w:cs="Arial" w:eastAsia="Arial" w:hAnsi="Arial"/>
                <w:b/>
                <w:bCs/>
                <w:color w:val="1A56DB"/>
                <w:sz w:val="20"/>
                <w:szCs w:val="20"/>
              </w:rPr>
              <w:t xml:space="preserve">Why the benchmark picture is insufficient</w:t>
            </w:r>
          </w:p>
          <w:p>
            <w:pPr>
              <w:spacing w:after="0"/>
            </w:pPr>
            <w:r>
              <w:rPr>
                <w:rFonts w:ascii="Arial" w:cs="Arial" w:eastAsia="Arial" w:hAnsi="Arial"/>
                <w:color w:val="374151"/>
                <w:sz w:val="20"/>
                <w:szCs w:val="20"/>
              </w:rPr>
              <w:t xml:space="preserve">SimpleQA (without tools): Gemini 3 Pro leads at 72.1% — nearly double GPT-5.2's ~38%. This enormous variance across frontier models is itself a signal that factual reliability is highly sensitive to training decisions and architectural choices, not just scale.
SimpleQA (with tools / search): near-perfect performance across all frontier models.
This delta is the systems design signal: the problem is almost entirely solvable at the system layer. Parametric factuality — what the model knows without external grounding — improves slowly and may be structurally limited. System factuality — what a grounded deployment delivers — is already largely solved.</w:t>
            </w:r>
          </w:p>
        </w:tc>
      </w:tr>
    </w:tbl>
    <w:p>
      <w:pPr>
        <w:spacing w:after="120"/>
      </w:pPr>
    </w:p>
    <w:p>
      <w:pPr>
        <w:pStyle w:val="Heading2"/>
        <w:spacing w:after="100" w:before="240"/>
      </w:pPr>
      <w:r>
        <w:rPr>
          <w:rFonts w:ascii="Arial" w:cs="Arial" w:eastAsia="Arial" w:hAnsi="Arial"/>
          <w:b/>
          <w:bCs/>
          <w:color w:val="0D1B2A"/>
          <w:sz w:val="28"/>
          <w:szCs w:val="28"/>
        </w:rPr>
        <w:t xml:space="preserve">4.2  Domain-Specific Severity: A Risk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200"/>
        <w:gridCol w:w="3160"/>
      </w:tblGrid>
      <w:tr>
        <w:trPr>
          <w:tblHeader/>
        </w:trPr>
        <w:tc>
          <w:tcPr>
            <w:tcW w:type="dxa" w:w="160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Domain</w:t>
            </w:r>
          </w:p>
        </w:tc>
        <w:tc>
          <w:tcPr>
            <w:tcW w:type="dxa" w:w="220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Hallucination Rate (No mitigation)</w:t>
            </w:r>
          </w:p>
        </w:tc>
        <w:tc>
          <w:tcPr>
            <w:tcW w:type="dxa" w:w="220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With RAG / System</w:t>
            </w:r>
          </w:p>
        </w:tc>
        <w:tc>
          <w:tcPr>
            <w:tcW w:type="dxa" w:w="316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Best open-source approach</w:t>
            </w:r>
          </w:p>
        </w:tc>
      </w:tr>
      <w:tr>
        <w:tc>
          <w:tcPr>
            <w:tcW w:type="dxa" w:w="160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pPr>
              <w:spacing w:after="0"/>
            </w:pPr>
            <w:r>
              <w:rPr>
                <w:rFonts w:ascii="Arial" w:cs="Arial" w:eastAsia="Arial" w:hAnsi="Arial"/>
                <w:b/>
                <w:bCs/>
                <w:color w:val="0D1B2A"/>
                <w:sz w:val="18"/>
                <w:szCs w:val="18"/>
              </w:rPr>
              <w:t xml:space="preserve">General Summarisation</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~9.2% average across models
(some frontier models &lt;3.3%)</w:t>
            </w:r>
          </w:p>
        </w:tc>
        <w:tc>
          <w:tcPr>
            <w:tcW w:type="dxa" w:w="22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&lt;1% (top models with RAG)</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Self-reflective RAG (SELF-RAG architecture): 5.8% in clinical trial. Vectara HHEM: longitudinal open dataset since 2023.</w:t>
            </w:r>
          </w:p>
        </w:tc>
      </w:tr>
      <w:tr>
        <w:tc>
          <w:tcPr>
            <w:tcW w:type="dxa" w:w="160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pPr>
              <w:spacing w:after="0"/>
            </w:pPr>
            <w:r>
              <w:rPr>
                <w:rFonts w:ascii="Arial" w:cs="Arial" w:eastAsia="Arial" w:hAnsi="Arial"/>
                <w:b/>
                <w:bCs/>
                <w:color w:val="0D1B2A"/>
                <w:sz w:val="18"/>
                <w:szCs w:val="18"/>
              </w:rPr>
              <w:t xml:space="preserve">Medical / Clinical</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64.1% without mitigation
67.6% on short cases</w:t>
            </w:r>
          </w:p>
        </w:tc>
        <w:tc>
          <w:tcPr>
            <w:tcW w:type="dxa" w:w="22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43.1% with structured prompting
(best model: 23% with mitigation)</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SELF-RAG on MEDLINE/PubMed (40M records). Peer-reviewed: MDPI Electronics, October 2025. Clinical RAG reduces but does not eliminate.</w:t>
            </w:r>
          </w:p>
        </w:tc>
      </w:tr>
      <w:tr>
        <w:tc>
          <w:tcPr>
            <w:tcW w:type="dxa" w:w="160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pPr>
              <w:spacing w:after="0"/>
            </w:pPr>
            <w:r>
              <w:rPr>
                <w:rFonts w:ascii="Arial" w:cs="Arial" w:eastAsia="Arial" w:hAnsi="Arial"/>
                <w:b/>
                <w:bCs/>
                <w:color w:val="0D1B2A"/>
                <w:sz w:val="18"/>
                <w:szCs w:val="18"/>
              </w:rPr>
              <w:t xml:space="preserve">Legal</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69–88% on specific legal queries</w:t>
            </w:r>
          </w:p>
        </w:tc>
        <w:tc>
          <w:tcPr>
            <w:tcW w:type="dxa" w:w="22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Purpose-built tools: 17–34%
(Lexis+ AI, Westlaw)</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Stanford RegLab / Stanford HAI study. No open-source framework yet reaches acceptable legal-grade reliability.</w:t>
            </w:r>
          </w:p>
        </w:tc>
      </w:tr>
      <w:tr>
        <w:tc>
          <w:tcPr>
            <w:tcW w:type="dxa" w:w="160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pPr>
              <w:spacing w:after="0"/>
            </w:pPr>
            <w:r>
              <w:rPr>
                <w:rFonts w:ascii="Arial" w:cs="Arial" w:eastAsia="Arial" w:hAnsi="Arial"/>
                <w:b/>
                <w:bCs/>
                <w:color w:val="0D1B2A"/>
                <w:sz w:val="18"/>
                <w:szCs w:val="18"/>
              </w:rPr>
              <w:t xml:space="preserve">Financial</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15–25% without safeguards</w:t>
            </w:r>
          </w:p>
        </w:tc>
        <w:tc>
          <w:tcPr>
            <w:tcW w:type="dxa" w:w="22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Reduced significantly via RAG + validation</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$50K–$2.1M per incident (Forrester). 2.3 significant AI-driven errors/quarter at financial firms.</w:t>
            </w:r>
          </w:p>
        </w:tc>
      </w:tr>
      <w:tr>
        <w:tc>
          <w:tcPr>
            <w:tcW w:type="dxa" w:w="160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pPr>
              <w:spacing w:after="0"/>
            </w:pPr>
            <w:r>
              <w:rPr>
                <w:rFonts w:ascii="Arial" w:cs="Arial" w:eastAsia="Arial" w:hAnsi="Arial"/>
                <w:b/>
                <w:bCs/>
                <w:color w:val="0D1B2A"/>
                <w:sz w:val="18"/>
                <w:szCs w:val="18"/>
              </w:rPr>
              <w:t xml:space="preserve">Domain-specific RAG
(e.g. pharma/EMA)</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26.1% (best: Gemini 3 Pro)
63.8% (worst: Claude Opus 4.6)</w:t>
            </w:r>
          </w:p>
        </w:tc>
        <w:tc>
          <w:tcPr>
            <w:tcW w:type="dxa" w:w="22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Partially improved — domain gap persists</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PlaceboBench (Blue Guardrails, Feb 2026): real clinical questions + EMA documents. 3–6× higher than general benchmarks.</w:t>
            </w:r>
          </w:p>
        </w:tc>
      </w:tr>
    </w:tbl>
    <w:p>
      <w:pPr>
        <w:spacing w:after="120"/>
      </w:pPr>
    </w:p>
    <w:p>
      <w:pPr>
        <w:pStyle w:val="Heading2"/>
        <w:spacing w:after="100" w:before="240"/>
      </w:pPr>
      <w:r>
        <w:rPr>
          <w:rFonts w:ascii="Arial" w:cs="Arial" w:eastAsia="Arial" w:hAnsi="Arial"/>
          <w:b/>
          <w:bCs/>
          <w:color w:val="0D1B2A"/>
          <w:sz w:val="28"/>
          <w:szCs w:val="28"/>
        </w:rPr>
        <w:t xml:space="preserve">4.3  The Systems Engineering Solution: Why the Long-Term Picture Is More Optimistic</w:t>
      </w:r>
    </w:p>
    <w:p>
      <w:pPr>
        <w:spacing w:after="120" w:line="276"/>
      </w:pPr>
      <w:r>
        <w:rPr>
          <w:rFonts w:ascii="Arial" w:cs="Arial" w:eastAsia="Arial" w:hAnsi="Arial"/>
          <w:b w:val="false"/>
          <w:bCs w:val="false"/>
          <w:i w:val="false"/>
          <w:iCs w:val="false"/>
          <w:color w:val="374151"/>
          <w:sz w:val="22"/>
          <w:szCs w:val="22"/>
        </w:rPr>
        <w:t xml:space="preserve">Your optimism here is supported by the research. The open-source academic community has now identified the </w:t>
      </w:r>
      <w:r>
        <w:rPr>
          <w:rFonts w:ascii="Arial" w:cs="Arial" w:eastAsia="Arial" w:hAnsi="Arial"/>
          <w:b/>
          <w:bCs/>
          <w:i w:val="false"/>
          <w:iCs w:val="false"/>
          <w:color w:val="0D1B2A"/>
          <w:sz w:val="22"/>
          <w:szCs w:val="22"/>
        </w:rPr>
        <w:t xml:space="preserve">mechanistic cause</w:t>
      </w:r>
      <w:r>
        <w:rPr>
          <w:rFonts w:ascii="Arial" w:cs="Arial" w:eastAsia="Arial" w:hAnsi="Arial"/>
          <w:b w:val="false"/>
          <w:bCs w:val="false"/>
          <w:i w:val="false"/>
          <w:iCs w:val="false"/>
          <w:color w:val="374151"/>
          <w:sz w:val="22"/>
          <w:szCs w:val="22"/>
        </w:rPr>
        <w:t xml:space="preserve"> of RAG hallucinations: Knowledge FFNs inside the transformer overemphasise parametric memory while Copying Heads fail to integrate retrieved external context, even when that context is accurate and relevant (ReDeEP, ICLR 2025 Spotlight). This is </w:t>
      </w:r>
      <w:r>
        <w:rPr>
          <w:rFonts w:ascii="Arial" w:cs="Arial" w:eastAsia="Arial" w:hAnsi="Arial"/>
          <w:b/>
          <w:bCs/>
          <w:i w:val="false"/>
          <w:iCs w:val="false"/>
          <w:color w:val="0D1B2A"/>
          <w:sz w:val="22"/>
          <w:szCs w:val="22"/>
        </w:rPr>
        <w:t xml:space="preserve">fixable at the architecture level</w:t>
      </w:r>
      <w:r>
        <w:rPr>
          <w:rFonts w:ascii="Arial" w:cs="Arial" w:eastAsia="Arial" w:hAnsi="Arial"/>
          <w:b w:val="false"/>
          <w:bCs w:val="false"/>
          <w:i w:val="false"/>
          <w:iCs w:val="false"/>
          <w:color w:val="374151"/>
          <w:sz w:val="22"/>
          <w:szCs w:val="22"/>
        </w:rPr>
        <w:t xml:space="preserve"> — not just through prompting or temperature tuning.</w:t>
      </w:r>
    </w:p>
    <w:p>
      <w:pPr>
        <w:spacing w:after="80"/>
      </w:pPr>
    </w:p>
    <w:p>
      <w:pPr>
        <w:spacing w:after="120" w:line="276"/>
      </w:pPr>
      <w:r>
        <w:rPr>
          <w:rFonts w:ascii="Arial" w:cs="Arial" w:eastAsia="Arial" w:hAnsi="Arial"/>
          <w:b w:val="false"/>
          <w:bCs w:val="false"/>
          <w:i w:val="false"/>
          <w:iCs w:val="false"/>
          <w:color w:val="374151"/>
          <w:sz w:val="22"/>
          <w:szCs w:val="22"/>
        </w:rPr>
        <w:t xml:space="preserve">The compound effect of the cost curve and technique maturation:</w:t>
      </w:r>
    </w:p>
    <w:p>
      <w:pPr>
        <w:pStyle w:val="ListParagraph"/>
        <w:numPr>
          <w:ilvl w:val="0"/>
          <w:numId w:val="2"/>
        </w:numPr>
        <w:spacing w:after="80"/>
      </w:pPr>
      <w:r>
        <w:rPr>
          <w:rFonts w:ascii="Arial" w:cs="Arial" w:eastAsia="Arial" w:hAnsi="Arial"/>
          <w:color w:val="374151"/>
          <w:sz w:val="21"/>
          <w:szCs w:val="21"/>
        </w:rPr>
        <w:t xml:space="preserve">Inference costs have fallen ~280× between November 2022 and October 2024 (Stanford AI Index cited by NVIDIA). The cost of running 5 verification passes today equals the cost of 1 pass 18 months ago.</w:t>
      </w:r>
    </w:p>
    <w:p>
      <w:pPr>
        <w:pStyle w:val="ListParagraph"/>
        <w:numPr>
          <w:ilvl w:val="0"/>
          <w:numId w:val="2"/>
        </w:numPr>
        <w:spacing w:after="80"/>
      </w:pPr>
      <w:r>
        <w:rPr>
          <w:rFonts w:ascii="Arial" w:cs="Arial" w:eastAsia="Arial" w:hAnsi="Arial"/>
          <w:color w:val="374151"/>
          <w:sz w:val="21"/>
          <w:szCs w:val="21"/>
        </w:rPr>
        <w:t xml:space="preserve">Open-source models now match proprietary models on 90% of benchmarks (DeepSeek-V3 at $0.27/million tokens, DeepSeek-R1 at $294K total training cost). Self-hosted RAG pipelines are no longer cost-prohibitive.</w:t>
      </w:r>
    </w:p>
    <w:p>
      <w:pPr>
        <w:pStyle w:val="ListParagraph"/>
        <w:numPr>
          <w:ilvl w:val="0"/>
          <w:numId w:val="2"/>
        </w:numPr>
        <w:spacing w:after="80"/>
      </w:pPr>
      <w:r>
        <w:rPr>
          <w:rFonts w:ascii="Arial" w:cs="Arial" w:eastAsia="Arial" w:hAnsi="Arial"/>
          <w:color w:val="374151"/>
          <w:sz w:val="21"/>
          <w:szCs w:val="21"/>
        </w:rPr>
        <w:t xml:space="preserve">RAG reduces hallucinations by 71% when properly implemented (meta-analysis, multiple sources). Self-reflective RAG achieves 5.8% in clinical settings — approaching acceptable thresholds.</w:t>
      </w:r>
    </w:p>
    <w:p>
      <w:pPr>
        <w:pStyle w:val="ListParagraph"/>
        <w:numPr>
          <w:ilvl w:val="0"/>
          <w:numId w:val="2"/>
        </w:numPr>
        <w:spacing w:after="80"/>
      </w:pPr>
      <w:r>
        <w:rPr>
          <w:rFonts w:ascii="Arial" w:cs="Arial" w:eastAsia="Arial" w:hAnsi="Arial"/>
          <w:color w:val="374151"/>
          <w:sz w:val="21"/>
          <w:szCs w:val="21"/>
        </w:rPr>
        <w:t xml:space="preserve">The detection layer is maturing: Vectara FaithJudge, LettuceDetect, NVIDIA NeMo Guardrails, Guardrails AI — open-source hallucination detection tools deployable at inference time.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1FAE5" w:val="clear"/>
            <w:tcMar>
              <w:top w:type="dxa" w:w="140"/>
              <w:left w:type="dxa" w:w="200"/>
              <w:bottom w:type="dxa" w:w="140"/>
              <w:right w:type="dxa" w:w="200"/>
            </w:tcMar>
          </w:tcPr>
          <w:p>
            <w:pPr>
              <w:spacing w:after="60"/>
            </w:pPr>
            <w:r>
              <w:rPr>
                <w:rFonts w:ascii="Arial" w:cs="Arial" w:eastAsia="Arial" w:hAnsi="Arial"/>
                <w:b/>
                <w:bCs/>
                <w:color w:val="0E9F6E"/>
                <w:sz w:val="20"/>
                <w:szCs w:val="20"/>
              </w:rPr>
              <w:t xml:space="preserve">The Honest Conclusion</w:t>
            </w:r>
          </w:p>
          <w:p>
            <w:pPr>
              <w:spacing w:after="0"/>
            </w:pPr>
            <w:r>
              <w:rPr>
                <w:rFonts w:ascii="Arial" w:cs="Arial" w:eastAsia="Arial" w:hAnsi="Arial"/>
                <w:color w:val="374151"/>
                <w:sz w:val="20"/>
                <w:szCs w:val="20"/>
              </w:rPr>
              <w:t xml:space="preserve">The user hypothesis is correct in structure: the reliability problem is primarily a systems engineering problem, not a fundamental AI limitation. Better-designed deployments with RAG, verification loops, and grounded retrieval already demonstrate acceptable reliability in structured domains.
What remains true: businesses that deployed AI in 2024–2025 without these systems are paying the reliability tax — $67.4B globally in 2024, $14,200/employee/year in verification overhead (Forrester). As open frameworks become easier to deploy and costs fall, this tax will reduce. Parametric reliability (model-only, no tools) remains structurally limited by next-token training objectives and may not be 'solved' under current architectures.
Projection: System-level reliability for structured enterprise tasks reaches acceptable thresholds by late 2027 for early movers. Parametric reliability remains a long-term challenge beyond 2028.</w:t>
            </w:r>
          </w:p>
        </w:tc>
      </w:tr>
    </w:tbl>
    <w:p>
      <w:pPr>
        <w:spacing w:after="240"/>
      </w:pPr>
    </w:p>
    <w:p>
      <w:r>
        <w:br w:type="page"/>
      </w:r>
    </w:p>
    <w:p>
      <w:pPr>
        <w:pStyle w:val="Heading1"/>
        <w:spacing w:after="120" w:before="320"/>
      </w:pPr>
      <w:r>
        <w:rPr>
          <w:rFonts w:ascii="Arial" w:cs="Arial" w:eastAsia="Arial" w:hAnsi="Arial"/>
          <w:b/>
          <w:bCs/>
          <w:color w:val="0D1B2A"/>
          <w:sz w:val="36"/>
          <w:szCs w:val="36"/>
        </w:rPr>
        <w:t xml:space="preserve">5 · The Capability Radar: Six Dimensions, Three Tracks</w:t>
      </w:r>
    </w:p>
    <w:p>
      <w:pPr>
        <w:pBdr>
          <w:bottom w:val="single" w:color="1A56DB" w:sz="8" w:space="1"/>
        </w:pBdr>
        <w:spacing w:after="200"/>
      </w:pPr>
    </w:p>
    <w:p>
      <w:pPr>
        <w:spacing w:after="120" w:line="276"/>
      </w:pPr>
      <w:r>
        <w:rPr>
          <w:rFonts w:ascii="Arial" w:cs="Arial" w:eastAsia="Arial" w:hAnsi="Arial"/>
          <w:b w:val="false"/>
          <w:bCs w:val="false"/>
          <w:i w:val="false"/>
          <w:iCs w:val="false"/>
          <w:color w:val="374151"/>
          <w:sz w:val="22"/>
          <w:szCs w:val="22"/>
        </w:rPr>
        <w:t xml:space="preserve">This section provides the underlying data for the interactive spider chart on the report website. The radar tracks six user-experienced capability dimensions across three tracks: what a </w:t>
      </w:r>
      <w:r>
        <w:rPr>
          <w:rFonts w:ascii="Arial" w:cs="Arial" w:eastAsia="Arial" w:hAnsi="Arial"/>
          <w:b/>
          <w:bCs/>
          <w:i w:val="false"/>
          <w:iCs w:val="false"/>
          <w:color w:val="0D1B2A"/>
          <w:sz w:val="22"/>
          <w:szCs w:val="22"/>
        </w:rPr>
        <w:t xml:space="preserve">standard deployment</w:t>
      </w:r>
      <w:r>
        <w:rPr>
          <w:rFonts w:ascii="Arial" w:cs="Arial" w:eastAsia="Arial" w:hAnsi="Arial"/>
          <w:b w:val="false"/>
          <w:bCs w:val="false"/>
          <w:i w:val="false"/>
          <w:iCs w:val="false"/>
          <w:color w:val="374151"/>
          <w:sz w:val="22"/>
          <w:szCs w:val="22"/>
        </w:rPr>
        <w:t xml:space="preserve"> delivers today (what most enterprises actually get), what a </w:t>
      </w:r>
      <w:r>
        <w:rPr>
          <w:rFonts w:ascii="Arial" w:cs="Arial" w:eastAsia="Arial" w:hAnsi="Arial"/>
          <w:b/>
          <w:bCs/>
          <w:i w:val="false"/>
          <w:iCs w:val="false"/>
          <w:color w:val="0D1B2A"/>
          <w:sz w:val="22"/>
          <w:szCs w:val="22"/>
        </w:rPr>
        <w:t xml:space="preserve">well-engineered deployment</w:t>
      </w:r>
      <w:r>
        <w:rPr>
          <w:rFonts w:ascii="Arial" w:cs="Arial" w:eastAsia="Arial" w:hAnsi="Arial"/>
          <w:b w:val="false"/>
          <w:bCs w:val="false"/>
          <w:i w:val="false"/>
          <w:iCs w:val="false"/>
          <w:color w:val="374151"/>
          <w:sz w:val="22"/>
          <w:szCs w:val="22"/>
        </w:rPr>
        <w:t xml:space="preserve"> delivers today (the frontier of current practice), and where both tracks are heading by </w:t>
      </w:r>
      <w:r>
        <w:rPr>
          <w:rFonts w:ascii="Arial" w:cs="Arial" w:eastAsia="Arial" w:hAnsi="Arial"/>
          <w:b/>
          <w:bCs/>
          <w:i w:val="false"/>
          <w:iCs w:val="false"/>
          <w:color w:val="0D1B2A"/>
          <w:sz w:val="22"/>
          <w:szCs w:val="22"/>
        </w:rPr>
        <w:t xml:space="preserve">end of 2027</w:t>
      </w:r>
      <w:r>
        <w:rPr>
          <w:rFonts w:ascii="Arial" w:cs="Arial" w:eastAsia="Arial" w:hAnsi="Arial"/>
          <w:b w:val="false"/>
          <w:bCs w:val="false"/>
          <w:i w:val="false"/>
          <w:iCs w:val="false"/>
          <w:color w:val="374151"/>
          <w:sz w:val="22"/>
          <w:szCs w:val="22"/>
        </w:rPr>
        <w:t xml:space="preserve"> under the Base Case scenario.</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40"/>
              <w:left w:type="dxa" w:w="200"/>
              <w:bottom w:type="dxa" w:w="140"/>
              <w:right w:type="dxa" w:w="200"/>
            </w:tcMar>
          </w:tcPr>
          <w:p>
            <w:pPr>
              <w:spacing w:after="60"/>
            </w:pPr>
            <w:r>
              <w:rPr>
                <w:rFonts w:ascii="Arial" w:cs="Arial" w:eastAsia="Arial" w:hAnsi="Arial"/>
                <w:b/>
                <w:bCs/>
                <w:color w:val="1A56DB"/>
                <w:sz w:val="20"/>
                <w:szCs w:val="20"/>
              </w:rPr>
              <w:t xml:space="preserve">FRAMING NOTE — Why this radar is different from V1</w:t>
            </w:r>
          </w:p>
          <w:p>
            <w:pPr>
              <w:spacing w:after="0"/>
            </w:pPr>
            <w:r>
              <w:rPr>
                <w:rFonts w:ascii="Arial" w:cs="Arial" w:eastAsia="Arial" w:hAnsi="Arial"/>
                <w:color w:val="374151"/>
                <w:sz w:val="20"/>
                <w:szCs w:val="20"/>
              </w:rPr>
              <w:t xml:space="preserve">V1's capability radar tracked benchmark scores for individual models. This radar tracks what AI services actually deliver to users — regardless of whether the result came from a base model, a RAG pipeline, a fine-tuned system, or an agent harness. An enterprise user does not care how the answer was produced. They care whether the AI remembered their context from last month, whether it completed the task correctly, and whether they can trust the output.
The inner track (Typical Deployment) is what most organizations are actually running today — the 95% that MIT's GenAI Divide research found seeing no measurable P&amp;L impact. The outer track (Best System Today) is what that 5% has achieved through deliberate systems design. The gap between the two tracks IS the engineering opportunity described in Section 6.
On the website, this will be rendered as a spider chart with three concentric polygons. The gap between inner and outer is where the value is. The third ring shows where those gaps close by 2027.</w:t>
            </w:r>
          </w:p>
        </w:tc>
      </w:tr>
    </w:tbl>
    <w:p>
      <w:pPr>
        <w:spacing w:after="120"/>
      </w:pPr>
    </w:p>
    <w:p>
      <w:pPr>
        <w:pStyle w:val="Heading2"/>
        <w:spacing w:after="100" w:before="240"/>
      </w:pPr>
      <w:r>
        <w:rPr>
          <w:rFonts w:ascii="Arial" w:cs="Arial" w:eastAsia="Arial" w:hAnsi="Arial"/>
          <w:b/>
          <w:bCs/>
          <w:color w:val="0D1B2A"/>
          <w:sz w:val="28"/>
          <w:szCs w:val="28"/>
        </w:rPr>
        <w:t xml:space="preserve">5.1  The MIT GenAI Divide: Quantifying the Gap</w:t>
      </w:r>
    </w:p>
    <w:p>
      <w:pPr>
        <w:spacing w:after="120" w:line="276"/>
      </w:pPr>
      <w:r>
        <w:rPr>
          <w:rFonts w:ascii="Arial" w:cs="Arial" w:eastAsia="Arial" w:hAnsi="Arial"/>
          <w:b w:val="false"/>
          <w:bCs w:val="false"/>
          <w:i w:val="false"/>
          <w:iCs w:val="false"/>
          <w:color w:val="374151"/>
          <w:sz w:val="22"/>
          <w:szCs w:val="22"/>
        </w:rPr>
        <w:t xml:space="preserve">The framing of inner vs. outer track is grounded in MIT Project NANDA's July 2025 report 'The GenAI Divide: State of AI in Business 2025' — the most comprehensive study of enterprise AI deployment outcomes published to date, covering 300+ public AI deployments, 52 structured interviews, and 153 surveys of senior leaders.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FEE2E2" w:val="clear"/>
            <w:tcMar>
              <w:top w:type="dxa" w:w="120"/>
              <w:left w:type="dxa" w:w="160"/>
              <w:bottom w:type="dxa" w:w="120"/>
              <w:right w:type="dxa" w:w="160"/>
            </w:tcMar>
          </w:tcPr>
          <w:p>
            <w:pPr>
              <w:spacing w:after="40"/>
              <w:jc w:val="center"/>
            </w:pPr>
            <w:r>
              <w:rPr>
                <w:rFonts w:ascii="Arial" w:cs="Arial" w:eastAsia="Arial" w:hAnsi="Arial"/>
                <w:b/>
                <w:bCs/>
                <w:color w:val="0D1B2A"/>
                <w:sz w:val="60"/>
                <w:szCs w:val="60"/>
              </w:rPr>
              <w:t xml:space="preserve">95%</w:t>
            </w:r>
          </w:p>
          <w:p>
            <w:pPr>
              <w:spacing w:after="0"/>
              <w:jc w:val="center"/>
            </w:pPr>
            <w:r>
              <w:rPr>
                <w:rFonts w:ascii="Arial" w:cs="Arial" w:eastAsia="Arial" w:hAnsi="Arial"/>
                <w:color w:val="374151"/>
                <w:sz w:val="19"/>
                <w:szCs w:val="19"/>
              </w:rPr>
              <w:t xml:space="preserve">of enterprise GenAI pilots deliver no measurable P&amp;L impact</w:t>
            </w:r>
          </w:p>
        </w:tc>
        <w:tc>
          <w:tcPr>
            <w:tcW w:type="dxa" w:w="3120"/>
            <w:tcBorders>
              <w:top w:val="none" w:color="FFFFFF" w:sz="0"/>
              <w:left w:val="none" w:color="FFFFFF" w:sz="0"/>
              <w:bottom w:val="none" w:color="FFFFFF" w:sz="0"/>
              <w:right w:val="none" w:color="FFFFFF" w:sz="0"/>
            </w:tcBorders>
            <w:shd w:fill="D1FAE5" w:val="clear"/>
            <w:tcMar>
              <w:top w:type="dxa" w:w="120"/>
              <w:left w:type="dxa" w:w="160"/>
              <w:bottom w:type="dxa" w:w="120"/>
              <w:right w:type="dxa" w:w="160"/>
            </w:tcMar>
          </w:tcPr>
          <w:p>
            <w:pPr>
              <w:spacing w:after="40"/>
              <w:jc w:val="center"/>
            </w:pPr>
            <w:r>
              <w:rPr>
                <w:rFonts w:ascii="Arial" w:cs="Arial" w:eastAsia="Arial" w:hAnsi="Arial"/>
                <w:b/>
                <w:bCs/>
                <w:color w:val="0D1B2A"/>
                <w:sz w:val="60"/>
                <w:szCs w:val="60"/>
              </w:rPr>
              <w:t xml:space="preserve">5%</w:t>
            </w:r>
          </w:p>
          <w:p>
            <w:pPr>
              <w:spacing w:after="0"/>
              <w:jc w:val="center"/>
            </w:pPr>
            <w:r>
              <w:rPr>
                <w:rFonts w:ascii="Arial" w:cs="Arial" w:eastAsia="Arial" w:hAnsi="Arial"/>
                <w:color w:val="374151"/>
                <w:sz w:val="19"/>
                <w:szCs w:val="19"/>
              </w:rPr>
              <w:t xml:space="preserve">extract measurable value — millions in annual savings and workflow transformation</w:t>
            </w:r>
          </w:p>
        </w:tc>
        <w:tc>
          <w:tcPr>
            <w:tcW w:type="dxa" w:w="3120"/>
            <w:tcBorders>
              <w:top w:val="none" w:color="FFFFFF" w:sz="0"/>
              <w:left w:val="none" w:color="FFFFFF" w:sz="0"/>
              <w:bottom w:val="none" w:color="FFFFFF" w:sz="0"/>
              <w:right w:val="none" w:color="FFFFFF" w:sz="0"/>
            </w:tcBorders>
            <w:shd w:fill="FEF3C7" w:val="clear"/>
            <w:tcMar>
              <w:top w:type="dxa" w:w="120"/>
              <w:left w:type="dxa" w:w="160"/>
              <w:bottom w:type="dxa" w:w="120"/>
              <w:right w:type="dxa" w:w="160"/>
            </w:tcMar>
          </w:tcPr>
          <w:p>
            <w:pPr>
              <w:spacing w:after="40"/>
              <w:jc w:val="center"/>
            </w:pPr>
            <w:r>
              <w:rPr>
                <w:rFonts w:ascii="Arial" w:cs="Arial" w:eastAsia="Arial" w:hAnsi="Arial"/>
                <w:b/>
                <w:bCs/>
                <w:color w:val="0D1B2A"/>
                <w:sz w:val="28"/>
                <w:szCs w:val="28"/>
              </w:rPr>
              <w:t xml:space="preserve">#1 Root Cause</w:t>
            </w:r>
          </w:p>
          <w:p>
            <w:pPr>
              <w:spacing w:after="0"/>
              <w:jc w:val="center"/>
            </w:pPr>
            <w:r>
              <w:rPr>
                <w:rFonts w:ascii="Arial" w:cs="Arial" w:eastAsia="Arial" w:hAnsi="Arial"/>
                <w:i/>
                <w:iCs/>
                <w:color w:val="374151"/>
                <w:sz w:val="19"/>
                <w:szCs w:val="19"/>
              </w:rPr>
              <w:t xml:space="preserve">"Systems do not retain feedback, adapt to context, or improve over time" — Memory &amp; Coherence gaps</w:t>
            </w:r>
          </w:p>
        </w:tc>
      </w:tr>
    </w:tbl>
    <w:p>
      <w:pPr>
        <w:spacing w:after="120"/>
      </w:pPr>
    </w:p>
    <w:p>
      <w:pPr>
        <w:pStyle w:val="Heading2"/>
        <w:spacing w:after="100" w:before="240"/>
      </w:pPr>
      <w:r>
        <w:rPr>
          <w:rFonts w:ascii="Arial" w:cs="Arial" w:eastAsia="Arial" w:hAnsi="Arial"/>
          <w:b/>
          <w:bCs/>
          <w:color w:val="0D1B2A"/>
          <w:sz w:val="28"/>
          <w:szCs w:val="28"/>
        </w:rPr>
        <w:t xml:space="preserve">5.2  Six Dimensions: Data, Sources, and Tracks</w:t>
      </w:r>
    </w:p>
    <w:p>
      <w:pPr>
        <w:spacing w:after="120" w:line="276"/>
      </w:pPr>
      <w:r>
        <w:rPr>
          <w:rFonts w:ascii="Arial" w:cs="Arial" w:eastAsia="Arial" w:hAnsi="Arial"/>
          <w:b w:val="false"/>
          <w:bCs w:val="false"/>
          <w:i w:val="false"/>
          <w:iCs w:val="false"/>
          <w:color w:val="374151"/>
          <w:sz w:val="22"/>
          <w:szCs w:val="22"/>
        </w:rPr>
        <w:t xml:space="preserve">Each dimension is defined as a user-experienced outcome, not a model benchmark. Numbers represent the realistic range achievable at each track, grounded in the primary sources listed.</w:t>
      </w:r>
    </w:p>
    <w:p>
      <w:pPr>
        <w:spacing w:after="80"/>
      </w:pPr>
    </w:p>
    <w:p>
      <w:pPr>
        <w:pStyle w:val="Heading3"/>
        <w:spacing w:after="80" w:before="180"/>
      </w:pPr>
      <w:r>
        <w:rPr>
          <w:rFonts w:ascii="Arial" w:cs="Arial" w:eastAsia="Arial" w:hAnsi="Arial"/>
          <w:b/>
          <w:bCs/>
          <w:color w:val="374151"/>
          <w:sz w:val="24"/>
          <w:szCs w:val="24"/>
        </w:rPr>
        <w:t xml:space="preserve">Dimension 1: Reasoning — Handling novel situations</w:t>
      </w:r>
    </w:p>
    <w:p>
      <w:pPr>
        <w:spacing w:after="120" w:line="276"/>
      </w:pPr>
      <w:r>
        <w:rPr>
          <w:rFonts w:ascii="Arial" w:cs="Arial" w:eastAsia="Arial" w:hAnsi="Arial"/>
          <w:b w:val="false"/>
          <w:bCs w:val="false"/>
          <w:i w:val="false"/>
          <w:iCs w:val="false"/>
          <w:color w:val="374151"/>
          <w:sz w:val="22"/>
          <w:szCs w:val="22"/>
        </w:rPr>
        <w:t xml:space="preserve">Can the AI reason through a problem it has never seen before, without pattern-matching to training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20"/>
        <w:gridCol w:w="2320"/>
        <w:gridCol w:w="2520"/>
      </w:tblGrid>
      <w:tr>
        <w:trPr>
          <w:tblHeader/>
        </w:trPr>
        <w:tc>
          <w:tcPr>
            <w:tcW w:type="dxa" w:w="220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Track</w:t>
            </w:r>
          </w:p>
        </w:tc>
        <w:tc>
          <w:tcPr>
            <w:tcW w:type="dxa" w:w="232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Score / Range</w:t>
            </w:r>
          </w:p>
        </w:tc>
        <w:tc>
          <w:tcPr>
            <w:tcW w:type="dxa" w:w="232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Benchmark</w:t>
            </w:r>
          </w:p>
        </w:tc>
        <w:tc>
          <w:tcPr>
            <w:tcW w:type="dxa" w:w="252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Source</w:t>
            </w:r>
          </w:p>
        </w:tc>
      </w:tr>
      <w:tr>
        <w:tc>
          <w:tcPr>
            <w:tcW w:type="dxa" w:w="22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spacing w:after="0"/>
            </w:pPr>
            <w:r>
              <w:rPr>
                <w:rFonts w:ascii="Arial" w:cs="Arial" w:eastAsia="Arial" w:hAnsi="Arial"/>
                <w:b/>
                <w:bCs/>
                <w:color w:val="0D1B2A"/>
                <w:sz w:val="19"/>
                <w:szCs w:val="19"/>
              </w:rPr>
              <w:t xml:space="preserve">Typical Deployment</w:t>
            </w:r>
          </w:p>
        </w:tc>
        <w:tc>
          <w:tcPr>
            <w:tcW w:type="dxa" w:w="23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52–69% (ARC-AGI-2 base models)
GPT-5.2: 52.9% · Claude Opus 4.6: 68.8%</w:t>
            </w:r>
          </w:p>
        </w:tc>
        <w:tc>
          <w:tcPr>
            <w:tcW w:type="dxa" w:w="23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ARC-AGI-2 semi-private leaderboard</w:t>
            </w:r>
          </w:p>
        </w:tc>
        <w:tc>
          <w:tcPr>
            <w:tcW w:type="dxa" w:w="25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arcprize.org/leaderboard</w:t>
            </w:r>
          </w:p>
        </w:tc>
      </w:tr>
      <w:tr>
        <w:tc>
          <w:tcPr>
            <w:tcW w:type="dxa" w:w="22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pPr>
              <w:spacing w:after="0"/>
            </w:pPr>
            <w:r>
              <w:rPr>
                <w:rFonts w:ascii="Arial" w:cs="Arial" w:eastAsia="Arial" w:hAnsi="Arial"/>
                <w:b/>
                <w:bCs/>
                <w:color w:val="0D1B2A"/>
                <w:sz w:val="19"/>
                <w:szCs w:val="19"/>
              </w:rPr>
              <w:t xml:space="preserve">Best System Today</w:t>
            </w:r>
          </w:p>
        </w:tc>
        <w:tc>
          <w:tcPr>
            <w:tcW w:type="dxa" w:w="23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77–84% (Gemini 3.1 Pro: 77.1% official;
Gemini 3 Deep Think: 84.6% with refinement)</w:t>
            </w:r>
          </w:p>
        </w:tc>
        <w:tc>
          <w:tcPr>
            <w:tcW w:type="dxa" w:w="23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ARC-AGI-2 (official verified score)</w:t>
            </w:r>
          </w:p>
        </w:tc>
        <w:tc>
          <w:tcPr>
            <w:tcW w:type="dxa" w:w="25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Google blog + arcprize.org;
Imbue: imbue.com/research/2026-02-27-arc-agi-2-evolution/</w:t>
            </w:r>
          </w:p>
        </w:tc>
      </w:tr>
      <w:tr>
        <w:tc>
          <w:tcPr>
            <w:tcW w:type="dxa" w:w="220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pPr>
              <w:spacing w:after="0"/>
            </w:pPr>
            <w:r>
              <w:rPr>
                <w:rFonts w:ascii="Arial" w:cs="Arial" w:eastAsia="Arial" w:hAnsi="Arial"/>
                <w:b/>
                <w:bCs/>
                <w:color w:val="0D1B2A"/>
                <w:sz w:val="19"/>
                <w:szCs w:val="19"/>
              </w:rPr>
              <w:t xml:space="preserve">2027 Base Case</w:t>
            </w:r>
          </w:p>
        </w:tc>
        <w:tc>
          <w:tcPr>
            <w:tcW w:type="dxa" w:w="23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~85% on ARC-AGI-2 (approaching ceiling);
ARC-AGI-3: unknown — benchmark resets the frontier</w:t>
            </w:r>
          </w:p>
        </w:tc>
        <w:tc>
          <w:tcPr>
            <w:tcW w:type="dxa" w:w="23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ARC-AGI-2 / ARC-AGI-3</w:t>
            </w:r>
          </w:p>
        </w:tc>
        <w:tc>
          <w:tcPr>
            <w:tcW w:type="dxa" w:w="25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ARC Prize Foundation launch post;
milestone prizes June &amp; Sept 2026 as signals</w:t>
            </w:r>
          </w:p>
        </w:tc>
      </w:tr>
    </w:tbl>
    <w:p>
      <w:pPr>
        <w:spacing w:after="100"/>
      </w:pPr>
    </w:p>
    <w:p>
      <w:pPr>
        <w:pStyle w:val="Heading3"/>
        <w:spacing w:after="80" w:before="180"/>
      </w:pPr>
      <w:r>
        <w:rPr>
          <w:rFonts w:ascii="Arial" w:cs="Arial" w:eastAsia="Arial" w:hAnsi="Arial"/>
          <w:b/>
          <w:bCs/>
          <w:color w:val="374151"/>
          <w:sz w:val="24"/>
          <w:szCs w:val="24"/>
        </w:rPr>
        <w:t xml:space="preserve">Dimension 2: Execution — Completing complex tasks end-to-end</w:t>
      </w:r>
    </w:p>
    <w:p>
      <w:pPr>
        <w:spacing w:after="120" w:line="276"/>
      </w:pPr>
      <w:r>
        <w:rPr>
          <w:rFonts w:ascii="Arial" w:cs="Arial" w:eastAsia="Arial" w:hAnsi="Arial"/>
          <w:b w:val="false"/>
          <w:bCs w:val="false"/>
          <w:i w:val="false"/>
          <w:iCs w:val="false"/>
          <w:color w:val="374151"/>
          <w:sz w:val="22"/>
          <w:szCs w:val="22"/>
        </w:rPr>
        <w:t xml:space="preserve">Can the AI complete a real-world task — a coding project, a research synthesis, a document workflow — without significant human correction? Two complementary benchmarks now track this: SWE-bench Pro (coding patch quality, contamination-resistant) and Terminal-Bench 2.0 (whole-system terminal operation).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20"/>
        <w:gridCol w:w="2320"/>
        <w:gridCol w:w="2520"/>
      </w:tblGrid>
      <w:tr>
        <w:trPr>
          <w:tblHeader/>
        </w:trPr>
        <w:tc>
          <w:tcPr>
            <w:tcW w:type="dxa" w:w="220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Track</w:t>
            </w:r>
          </w:p>
        </w:tc>
        <w:tc>
          <w:tcPr>
            <w:tcW w:type="dxa" w:w="232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Score / Range</w:t>
            </w:r>
          </w:p>
        </w:tc>
        <w:tc>
          <w:tcPr>
            <w:tcW w:type="dxa" w:w="232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Benchmark</w:t>
            </w:r>
          </w:p>
        </w:tc>
        <w:tc>
          <w:tcPr>
            <w:tcW w:type="dxa" w:w="252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Source</w:t>
            </w:r>
          </w:p>
        </w:tc>
      </w:tr>
      <w:tr>
        <w:tc>
          <w:tcPr>
            <w:tcW w:type="dxa" w:w="22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spacing w:after="0"/>
            </w:pPr>
            <w:r>
              <w:rPr>
                <w:rFonts w:ascii="Arial" w:cs="Arial" w:eastAsia="Arial" w:hAnsi="Arial"/>
                <w:b/>
                <w:bCs/>
                <w:color w:val="0D1B2A"/>
                <w:sz w:val="19"/>
                <w:szCs w:val="19"/>
              </w:rPr>
              <w:t xml:space="preserve">Typical Deployment</w:t>
            </w:r>
          </w:p>
        </w:tc>
        <w:tc>
          <w:tcPr>
            <w:tcW w:type="dxa" w:w="23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SWE-bench Pro: 45.9% (SEAL standardised)
Terminal-Bench 2.0: ~58–63% (base model in standard agent)</w:t>
            </w:r>
          </w:p>
        </w:tc>
        <w:tc>
          <w:tcPr>
            <w:tcW w:type="dxa" w:w="23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SWE-bench Pro (SEAL)
Terminal-Bench 2.0 (89 real terminal tasks,
Docker containers)</w:t>
            </w:r>
          </w:p>
        </w:tc>
        <w:tc>
          <w:tcPr>
            <w:tcW w:type="dxa" w:w="25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Scale AI SEAL: labs.scale.com/leaderboard/swe_bench_pro_public
Terminal-Bench: tbench.ai/leaderboard/terminal-bench/2.0</w:t>
            </w:r>
          </w:p>
        </w:tc>
      </w:tr>
      <w:tr>
        <w:tc>
          <w:tcPr>
            <w:tcW w:type="dxa" w:w="22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pPr>
              <w:spacing w:after="0"/>
            </w:pPr>
            <w:r>
              <w:rPr>
                <w:rFonts w:ascii="Arial" w:cs="Arial" w:eastAsia="Arial" w:hAnsi="Arial"/>
                <w:b/>
                <w:bCs/>
                <w:color w:val="0D1B2A"/>
                <w:sz w:val="19"/>
                <w:szCs w:val="19"/>
              </w:rPr>
              <w:t xml:space="preserve">Best System Today</w:t>
            </w:r>
          </w:p>
        </w:tc>
        <w:tc>
          <w:tcPr>
            <w:tcW w:type="dxa" w:w="23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SWE-bench Pro: 56.8% (optimised scaffold + WarpGrep v2)
Terminal-Bench 2.0: 78.4% (Forge Code / Gemini 3.1 Pro)
Terminal-Bench Hard: 57.6% (GPT-5.4 xhigh, Artificial Analysis)</w:t>
            </w:r>
          </w:p>
        </w:tc>
        <w:tc>
          <w:tcPr>
            <w:tcW w:type="dxa" w:w="23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SWE-bench Pro (agent-optimised)
Terminal-Bench 2.0 (agent-optimised)
Scaffolding contributes 2–6pp above raw model</w:t>
            </w:r>
          </w:p>
        </w:tc>
        <w:tc>
          <w:tcPr>
            <w:tcW w:type="dxa" w:w="25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morphllm.com/swe-bench-pro
tbench.ai + marc0.dev/en/leaderboard (March 2026)
Terminal-Bench Hard: artificialanalysis.ai/evaluations/terminalbench-harda</w:t>
            </w:r>
          </w:p>
        </w:tc>
      </w:tr>
      <w:tr>
        <w:tc>
          <w:tcPr>
            <w:tcW w:type="dxa" w:w="220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pPr>
              <w:spacing w:after="0"/>
            </w:pPr>
            <w:r>
              <w:rPr>
                <w:rFonts w:ascii="Arial" w:cs="Arial" w:eastAsia="Arial" w:hAnsi="Arial"/>
                <w:b/>
                <w:bCs/>
                <w:color w:val="0D1B2A"/>
                <w:sz w:val="19"/>
                <w:szCs w:val="19"/>
              </w:rPr>
              <w:t xml:space="preserve">2027 Base Case</w:t>
            </w:r>
          </w:p>
        </w:tc>
        <w:tc>
          <w:tcPr>
            <w:tcW w:type="dxa" w:w="23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SWE-bench Pro SEAL: ~65–70%
Terminal-Bench 2.0: ~85%+ (agent systems)
Note: SWE-bench Verified contaminated — retired</w:t>
            </w:r>
          </w:p>
        </w:tc>
        <w:tc>
          <w:tcPr>
            <w:tcW w:type="dxa" w:w="23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SWE-bench Pro + Terminal-Bench 2.0
as dual execution references</w:t>
            </w:r>
          </w:p>
        </w:tc>
        <w:tc>
          <w:tcPr>
            <w:tcW w:type="dxa" w:w="25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Scenario-derived from current trajectory;
Terminal-Bench 2.0 pace mirrors SWE-bench Verified 2024→2025 arc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40"/>
              <w:left w:type="dxa" w:w="200"/>
              <w:bottom w:type="dxa" w:w="140"/>
              <w:right w:type="dxa" w:w="200"/>
            </w:tcMar>
          </w:tcPr>
          <w:p>
            <w:pPr>
              <w:spacing w:after="60"/>
            </w:pPr>
            <w:r>
              <w:rPr>
                <w:rFonts w:ascii="Arial" w:cs="Arial" w:eastAsia="Arial" w:hAnsi="Arial"/>
                <w:b/>
                <w:bCs/>
                <w:color w:val="1A56DB"/>
                <w:sz w:val="20"/>
                <w:szCs w:val="20"/>
              </w:rPr>
              <w:t xml:space="preserve">Terminal-Bench 2.0: Why it matters for the Execution dimension</w:t>
            </w:r>
          </w:p>
          <w:p>
            <w:pPr>
              <w:spacing w:after="0"/>
            </w:pPr>
            <w:r>
              <w:rPr>
                <w:rFonts w:ascii="Arial" w:cs="Arial" w:eastAsia="Arial" w:hAnsi="Arial"/>
                <w:color w:val="374151"/>
                <w:sz w:val="20"/>
                <w:szCs w:val="20"/>
              </w:rPr>
              <w:t xml:space="preserve">SWE-bench Pro measures patch quality — can the AI write code that passes tests? Terminal-Bench 2.0 measures operational execution — can the AI actually run a terminal, navigate a real environment, use tools, and complete a task end-to-end? These are different capabilities and the scores diverge accordingly.
The same model scores differently depending on the agent wrapping it: scaffolding quality contributes 2–6 percentage points above raw model capability on Terminal-Bench 2.0. This is the cleanest public demonstration of the base-vs-whole-system gap for the Execution dimension — and is why the Execution inner/outer track gap on the spider chart is real and measurable, not inferred.</w:t>
            </w:r>
          </w:p>
        </w:tc>
      </w:tr>
    </w:tbl>
    <w:p>
      <w:pPr>
        <w:spacing w:after="100"/>
      </w:pPr>
    </w:p>
    <w:p>
      <w:pPr>
        <w:pStyle w:val="Heading3"/>
        <w:spacing w:after="80" w:before="180"/>
      </w:pPr>
      <w:r>
        <w:rPr>
          <w:rFonts w:ascii="Arial" w:cs="Arial" w:eastAsia="Arial" w:hAnsi="Arial"/>
          <w:b/>
          <w:bCs/>
          <w:color w:val="374151"/>
          <w:sz w:val="24"/>
          <w:szCs w:val="24"/>
        </w:rPr>
        <w:t xml:space="preserve">Dimension 3: Memory — Remembering across sessions and time</w:t>
      </w:r>
    </w:p>
    <w:p>
      <w:pPr>
        <w:spacing w:after="120" w:line="276"/>
      </w:pPr>
      <w:r>
        <w:rPr>
          <w:rFonts w:ascii="Arial" w:cs="Arial" w:eastAsia="Arial" w:hAnsi="Arial"/>
          <w:b w:val="false"/>
          <w:bCs w:val="false"/>
          <w:i w:val="false"/>
          <w:iCs w:val="false"/>
          <w:color w:val="374151"/>
          <w:sz w:val="22"/>
          <w:szCs w:val="22"/>
        </w:rPr>
        <w:t xml:space="preserve">Does the AI remember what you told it last week? Last month? Can it track changes, resolve conflicts between old and new information, and reason about when things happened?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20"/>
        <w:gridCol w:w="2320"/>
        <w:gridCol w:w="2520"/>
      </w:tblGrid>
      <w:tr>
        <w:trPr>
          <w:tblHeader/>
        </w:trPr>
        <w:tc>
          <w:tcPr>
            <w:tcW w:type="dxa" w:w="220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Track</w:t>
            </w:r>
          </w:p>
        </w:tc>
        <w:tc>
          <w:tcPr>
            <w:tcW w:type="dxa" w:w="232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Score / Range</w:t>
            </w:r>
          </w:p>
        </w:tc>
        <w:tc>
          <w:tcPr>
            <w:tcW w:type="dxa" w:w="232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Benchmark</w:t>
            </w:r>
          </w:p>
        </w:tc>
        <w:tc>
          <w:tcPr>
            <w:tcW w:type="dxa" w:w="252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Source</w:t>
            </w:r>
          </w:p>
        </w:tc>
      </w:tr>
      <w:tr>
        <w:tc>
          <w:tcPr>
            <w:tcW w:type="dxa" w:w="22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spacing w:after="0"/>
            </w:pPr>
            <w:r>
              <w:rPr>
                <w:rFonts w:ascii="Arial" w:cs="Arial" w:eastAsia="Arial" w:hAnsi="Arial"/>
                <w:b/>
                <w:bCs/>
                <w:color w:val="0D1B2A"/>
                <w:sz w:val="19"/>
                <w:szCs w:val="19"/>
              </w:rPr>
              <w:t xml:space="preserve">Typical Deployment</w:t>
            </w:r>
          </w:p>
        </w:tc>
        <w:tc>
          <w:tcPr>
            <w:tcW w:type="dxa" w:w="23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30–64%
(naive vector RAG: ~52%; full-context GPT-4o: 60–64%)</w:t>
            </w:r>
          </w:p>
        </w:tc>
        <w:tc>
          <w:tcPr>
            <w:tcW w:type="dxa" w:w="23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LongMemEval_s
(500 questions, ~115K tokens, 30–40 sessions)</w:t>
            </w:r>
          </w:p>
        </w:tc>
        <w:tc>
          <w:tcPr>
            <w:tcW w:type="dxa" w:w="25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Wu et al. (2024), ICLR 2025
arxiv.org/abs/2410.10813</w:t>
            </w:r>
          </w:p>
        </w:tc>
      </w:tr>
      <w:tr>
        <w:tc>
          <w:tcPr>
            <w:tcW w:type="dxa" w:w="22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pPr>
              <w:spacing w:after="0"/>
            </w:pPr>
            <w:r>
              <w:rPr>
                <w:rFonts w:ascii="Arial" w:cs="Arial" w:eastAsia="Arial" w:hAnsi="Arial"/>
                <w:b/>
                <w:bCs/>
                <w:color w:val="0D1B2A"/>
                <w:sz w:val="19"/>
                <w:szCs w:val="19"/>
              </w:rPr>
              <w:t xml:space="preserve">Best System Today</w:t>
            </w:r>
          </w:p>
        </w:tc>
        <w:tc>
          <w:tcPr>
            <w:tcW w:type="dxa" w:w="23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86–91%
(EmergenceMem: 86%; Vectorize Hindsight: 91.4%;
Mem0 on LOCOMO: 66.9% vs OpenAI Memory 52.9%)</w:t>
            </w:r>
          </w:p>
        </w:tc>
        <w:tc>
          <w:tcPr>
            <w:tcW w:type="dxa" w:w="23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LongMemEval_s; LOCOMO benchmark
(Snap Research, arXiv:2402.09076)</w:t>
            </w:r>
          </w:p>
        </w:tc>
        <w:tc>
          <w:tcPr>
            <w:tcW w:type="dxa" w:w="25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emergence.ai/blog/sota-on-longmemeval-with-rag;
Vectorize arXiv:2512.12818;
Mem0 arXiv:2504.19413 (ECAI 2025)</w:t>
            </w:r>
          </w:p>
        </w:tc>
      </w:tr>
      <w:tr>
        <w:tc>
          <w:tcPr>
            <w:tcW w:type="dxa" w:w="220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pPr>
              <w:spacing w:after="0"/>
            </w:pPr>
            <w:r>
              <w:rPr>
                <w:rFonts w:ascii="Arial" w:cs="Arial" w:eastAsia="Arial" w:hAnsi="Arial"/>
                <w:b/>
                <w:bCs/>
                <w:color w:val="0D1B2A"/>
                <w:sz w:val="19"/>
                <w:szCs w:val="19"/>
              </w:rPr>
              <w:t xml:space="preserve">2027 Base Case</w:t>
            </w:r>
          </w:p>
        </w:tc>
        <w:tc>
          <w:tcPr>
            <w:tcW w:type="dxa" w:w="23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~95% — memory architecture becomes standard,
not a specialised feature</w:t>
            </w:r>
          </w:p>
        </w:tc>
        <w:tc>
          <w:tcPr>
            <w:tcW w:type="dxa" w:w="23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LongMemEval / LOCOMO</w:t>
            </w:r>
          </w:p>
        </w:tc>
        <w:tc>
          <w:tcPr>
            <w:tcW w:type="dxa" w:w="25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Trajectory from 91% (Dec 2025) → 95%+ (Mastra OM, Feb 2026);
open-source Hindsight (MIT licence) accelerating adoption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1FAE5" w:val="clear"/>
            <w:tcMar>
              <w:top w:type="dxa" w:w="140"/>
              <w:left w:type="dxa" w:w="200"/>
              <w:bottom w:type="dxa" w:w="140"/>
              <w:right w:type="dxa" w:w="200"/>
            </w:tcMar>
          </w:tcPr>
          <w:p>
            <w:pPr>
              <w:spacing w:after="60"/>
            </w:pPr>
            <w:r>
              <w:rPr>
                <w:rFonts w:ascii="Arial" w:cs="Arial" w:eastAsia="Arial" w:hAnsi="Arial"/>
                <w:b/>
                <w:bCs/>
                <w:color w:val="0E9F6E"/>
                <w:sz w:val="20"/>
                <w:szCs w:val="20"/>
              </w:rPr>
              <w:t xml:space="preserve">Why Memory is the fastest-moving dimension — and the most underrated</w:t>
            </w:r>
          </w:p>
          <w:p>
            <w:pPr>
              <w:spacing w:after="0"/>
            </w:pPr>
            <w:r>
              <w:rPr>
                <w:rFonts w:ascii="Arial" w:cs="Arial" w:eastAsia="Arial" w:hAnsi="Arial"/>
                <w:color w:val="374151"/>
                <w:sz w:val="20"/>
                <w:szCs w:val="20"/>
              </w:rPr>
              <w:t xml:space="preserve">Six months ago (November 2025), memory was effectively zero for most AI services. Every session started fresh. The MIT GenAI Divide report identifies this as the #1 root cause of enterprise AI failure: 'systems do not retain feedback, adapt to context, or improve over time.' By December 2025, Vectorize Hindsight crossed 91.4% on LongMemEval. By February 2026, Mastra's Observational Memory reports 95%+. This is not incremental improvement — it is a capability that didn't meaningfully exist six months ago and now has clear architectural solutions. The inner/outer track gap on Memory is the widest of any dimension, and it closes faster than any other.</w:t>
            </w:r>
          </w:p>
        </w:tc>
      </w:tr>
    </w:tbl>
    <w:p>
      <w:pPr>
        <w:spacing w:after="100"/>
      </w:pPr>
    </w:p>
    <w:p>
      <w:pPr>
        <w:pStyle w:val="Heading3"/>
        <w:spacing w:after="80" w:before="180"/>
      </w:pPr>
      <w:r>
        <w:rPr>
          <w:rFonts w:ascii="Arial" w:cs="Arial" w:eastAsia="Arial" w:hAnsi="Arial"/>
          <w:b/>
          <w:bCs/>
          <w:color w:val="374151"/>
          <w:sz w:val="24"/>
          <w:szCs w:val="24"/>
        </w:rPr>
        <w:t xml:space="preserve">Dimension 4: Self-Awareness — Knowing when it doesn't know</w:t>
      </w:r>
    </w:p>
    <w:p>
      <w:pPr>
        <w:spacing w:after="120" w:line="276"/>
      </w:pPr>
      <w:r>
        <w:rPr>
          <w:rFonts w:ascii="Arial" w:cs="Arial" w:eastAsia="Arial" w:hAnsi="Arial"/>
          <w:b w:val="false"/>
          <w:bCs w:val="false"/>
          <w:i w:val="false"/>
          <w:iCs w:val="false"/>
          <w:color w:val="374151"/>
          <w:sz w:val="22"/>
          <w:szCs w:val="22"/>
        </w:rPr>
        <w:t xml:space="preserve">Does the AI accurately signal uncertainty? When it's wrong, does it sound less confident than when it's right — or is it equally (or more) confident regardless of whether it's correct?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20"/>
        <w:gridCol w:w="2320"/>
        <w:gridCol w:w="2520"/>
      </w:tblGrid>
      <w:tr>
        <w:trPr>
          <w:tblHeader/>
        </w:trPr>
        <w:tc>
          <w:tcPr>
            <w:tcW w:type="dxa" w:w="220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Track</w:t>
            </w:r>
          </w:p>
        </w:tc>
        <w:tc>
          <w:tcPr>
            <w:tcW w:type="dxa" w:w="232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Score / Range</w:t>
            </w:r>
          </w:p>
        </w:tc>
        <w:tc>
          <w:tcPr>
            <w:tcW w:type="dxa" w:w="232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Benchmark</w:t>
            </w:r>
          </w:p>
        </w:tc>
        <w:tc>
          <w:tcPr>
            <w:tcW w:type="dxa" w:w="252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Source</w:t>
            </w:r>
          </w:p>
        </w:tc>
      </w:tr>
      <w:tr>
        <w:tc>
          <w:tcPr>
            <w:tcW w:type="dxa" w:w="22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spacing w:after="0"/>
            </w:pPr>
            <w:r>
              <w:rPr>
                <w:rFonts w:ascii="Arial" w:cs="Arial" w:eastAsia="Arial" w:hAnsi="Arial"/>
                <w:b/>
                <w:bCs/>
                <w:color w:val="0D1B2A"/>
                <w:sz w:val="19"/>
                <w:szCs w:val="19"/>
              </w:rPr>
              <w:t xml:space="preserve">Typical Deployment</w:t>
            </w:r>
          </w:p>
        </w:tc>
        <w:tc>
          <w:tcPr>
            <w:tcW w:type="dxa" w:w="23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AUC 0.78 (GPT-3.5 base models)
Models internally discriminate correct/incorrect answers but are systematically reluctant to express uncertainty</w:t>
            </w:r>
          </w:p>
        </w:tc>
        <w:tc>
          <w:tcPr>
            <w:tcW w:type="dxa" w:w="23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Metacognitive sensitivity (AUC Type-2 ROC)
TriviaQA + MMLU tasks</w:t>
            </w:r>
          </w:p>
        </w:tc>
        <w:tc>
          <w:tcPr>
            <w:tcW w:type="dxa" w:w="25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Steyvers et al. (2025)
Nature Machine Intelligence
nature.com/articles/s42256-024-00976-7</w:t>
            </w:r>
          </w:p>
        </w:tc>
      </w:tr>
      <w:tr>
        <w:tc>
          <w:tcPr>
            <w:tcW w:type="dxa" w:w="22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pPr>
              <w:spacing w:after="0"/>
            </w:pPr>
            <w:r>
              <w:rPr>
                <w:rFonts w:ascii="Arial" w:cs="Arial" w:eastAsia="Arial" w:hAnsi="Arial"/>
                <w:b/>
                <w:bCs/>
                <w:color w:val="0D1B2A"/>
                <w:sz w:val="19"/>
                <w:szCs w:val="19"/>
              </w:rPr>
              <w:t xml:space="preserve">Best System Today</w:t>
            </w:r>
          </w:p>
        </w:tc>
        <w:tc>
          <w:tcPr>
            <w:tcW w:type="dxa" w:w="23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AUC 0.83 (confidence-fine-tuned GPT-4.1 mini)
With calibration tuning, models approach human metacognitive sensitivity (~0.85–0.90)</w:t>
            </w:r>
          </w:p>
        </w:tc>
        <w:tc>
          <w:tcPr>
            <w:tcW w:type="dxa" w:w="23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Metacognitive sensitivity (AUC)
TriviaQA short-answer tasks</w:t>
            </w:r>
          </w:p>
        </w:tc>
        <w:tc>
          <w:tcPr>
            <w:tcW w:type="dxa" w:w="25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Steyvers, Belem &amp; Smyth (2025)
Improving Metacognition in LLMs
arxiv.org/abs/2510.05126</w:t>
            </w:r>
          </w:p>
        </w:tc>
      </w:tr>
      <w:tr>
        <w:tc>
          <w:tcPr>
            <w:tcW w:type="dxa" w:w="220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pPr>
              <w:spacing w:after="0"/>
            </w:pPr>
            <w:r>
              <w:rPr>
                <w:rFonts w:ascii="Arial" w:cs="Arial" w:eastAsia="Arial" w:hAnsi="Arial"/>
                <w:b/>
                <w:bCs/>
                <w:color w:val="0D1B2A"/>
                <w:sz w:val="19"/>
                <w:szCs w:val="19"/>
              </w:rPr>
              <w:t xml:space="preserve">2027 Base Case</w:t>
            </w:r>
          </w:p>
        </w:tc>
        <w:tc>
          <w:tcPr>
            <w:tcW w:type="dxa" w:w="23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AUC 0.85+ — approaching human parity on metacognitive sensitivity;
calibration training likely standard in frontier model releases</w:t>
            </w:r>
          </w:p>
        </w:tc>
        <w:tc>
          <w:tcPr>
            <w:tcW w:type="dxa" w:w="23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Metacognitive sensitivity + calibration</w:t>
            </w:r>
          </w:p>
        </w:tc>
        <w:tc>
          <w:tcPr>
            <w:tcW w:type="dxa" w:w="25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Steyvers &amp; Peters (in press)
Current Directions in Psychological Science;
calibration fine-tuning already shows cross-domain transfer</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140"/>
              <w:left w:type="dxa" w:w="200"/>
              <w:bottom w:type="dxa" w:w="140"/>
              <w:right w:type="dxa" w:w="200"/>
            </w:tcMar>
          </w:tcPr>
          <w:p>
            <w:pPr>
              <w:spacing w:after="60"/>
            </w:pPr>
            <w:r>
              <w:rPr>
                <w:rFonts w:ascii="Arial" w:cs="Arial" w:eastAsia="Arial" w:hAnsi="Arial"/>
                <w:b/>
                <w:bCs/>
                <w:color w:val="D97706"/>
                <w:sz w:val="20"/>
                <w:szCs w:val="20"/>
              </w:rPr>
              <w:t xml:space="preserve">The Self-Awareness nuance — two different problems</w:t>
            </w:r>
          </w:p>
          <w:p>
            <w:pPr>
              <w:spacing w:after="0"/>
            </w:pPr>
            <w:r>
              <w:rPr>
                <w:rFonts w:ascii="Arial" w:cs="Arial" w:eastAsia="Arial" w:hAnsi="Arial"/>
                <w:color w:val="374151"/>
                <w:sz w:val="20"/>
                <w:szCs w:val="20"/>
              </w:rPr>
              <w:t xml:space="preserve">Internal discrimination (can the model tell its correct answers from incorrect ones?) is measurable via AUC and is improving: AUC 0.78 → 0.83 with calibration tuning, approaching human levels of ~0.85–0.90. This is good news.
External expression (does the model say 'I'm not sure' when it should?) is a separate, harder problem. Current models are systematically reluctant to express uncertainty — they tend to sound equally or more confident when wrong. This is the training objective problem described in Kalai &amp; Nachum (arXiv:2509.04664): accuracy-only benchmarks reward confident guessing.
For the radar, the outer track score of AUC 0.83 represents what is technically achievable today with deliberate calibration training. Most deployed models are at or below the inner track. The 2027 projection assumes calibration training becomes standard.</w:t>
            </w:r>
          </w:p>
        </w:tc>
      </w:tr>
    </w:tbl>
    <w:p>
      <w:pPr>
        <w:spacing w:after="100"/>
      </w:pPr>
    </w:p>
    <w:p>
      <w:pPr>
        <w:pStyle w:val="Heading3"/>
        <w:spacing w:after="80" w:before="180"/>
      </w:pPr>
      <w:r>
        <w:rPr>
          <w:rFonts w:ascii="Arial" w:cs="Arial" w:eastAsia="Arial" w:hAnsi="Arial"/>
          <w:b/>
          <w:bCs/>
          <w:color w:val="374151"/>
          <w:sz w:val="24"/>
          <w:szCs w:val="24"/>
        </w:rPr>
        <w:t xml:space="preserve">Dimension 5: Coherence — Maintaining the thread across a long task</w:t>
      </w:r>
    </w:p>
    <w:p>
      <w:pPr>
        <w:spacing w:after="120" w:line="276"/>
      </w:pPr>
      <w:r>
        <w:rPr>
          <w:rFonts w:ascii="Arial" w:cs="Arial" w:eastAsia="Arial" w:hAnsi="Arial"/>
          <w:b w:val="false"/>
          <w:bCs w:val="false"/>
          <w:i w:val="false"/>
          <w:iCs w:val="false"/>
          <w:color w:val="374151"/>
          <w:sz w:val="22"/>
          <w:szCs w:val="22"/>
        </w:rPr>
        <w:t xml:space="preserve">Can the AI keep a coherent goal, context, and plan across a task that spans hundreds of steps, multiple sessions, or millions of tokens — without losing details from earlier in the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20"/>
        <w:gridCol w:w="2320"/>
        <w:gridCol w:w="2520"/>
      </w:tblGrid>
      <w:tr>
        <w:trPr>
          <w:tblHeader/>
        </w:trPr>
        <w:tc>
          <w:tcPr>
            <w:tcW w:type="dxa" w:w="220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Track</w:t>
            </w:r>
          </w:p>
        </w:tc>
        <w:tc>
          <w:tcPr>
            <w:tcW w:type="dxa" w:w="232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Score / Range</w:t>
            </w:r>
          </w:p>
        </w:tc>
        <w:tc>
          <w:tcPr>
            <w:tcW w:type="dxa" w:w="232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Benchmark</w:t>
            </w:r>
          </w:p>
        </w:tc>
        <w:tc>
          <w:tcPr>
            <w:tcW w:type="dxa" w:w="252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Source</w:t>
            </w:r>
          </w:p>
        </w:tc>
      </w:tr>
      <w:tr>
        <w:tc>
          <w:tcPr>
            <w:tcW w:type="dxa" w:w="22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spacing w:after="0"/>
            </w:pPr>
            <w:r>
              <w:rPr>
                <w:rFonts w:ascii="Arial" w:cs="Arial" w:eastAsia="Arial" w:hAnsi="Arial"/>
                <w:b/>
                <w:bCs/>
                <w:color w:val="0D1B2A"/>
                <w:sz w:val="19"/>
                <w:szCs w:val="19"/>
              </w:rPr>
              <w:t xml:space="preserve">Typical Deployment</w:t>
            </w:r>
          </w:p>
        </w:tc>
        <w:tc>
          <w:tcPr>
            <w:tcW w:type="dxa" w:w="23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30–60% of stated context window is reliably usable
(Models advertise 1M tokens; effective recall collapses in the middle)</w:t>
            </w:r>
          </w:p>
        </w:tc>
        <w:tc>
          <w:tcPr>
            <w:tcW w:type="dxa" w:w="23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RULER (NVIDIA)
+ 'lost in the middle' finding (Liu et al.)</w:t>
            </w:r>
          </w:p>
        </w:tc>
        <w:tc>
          <w:tcPr>
            <w:tcW w:type="dxa" w:w="25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RULER: arxiv.org/abs/2404.06654
LongBench / RULER 2025 empirical tests</w:t>
            </w:r>
          </w:p>
        </w:tc>
      </w:tr>
      <w:tr>
        <w:tc>
          <w:tcPr>
            <w:tcW w:type="dxa" w:w="22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pPr>
              <w:spacing w:after="0"/>
            </w:pPr>
            <w:r>
              <w:rPr>
                <w:rFonts w:ascii="Arial" w:cs="Arial" w:eastAsia="Arial" w:hAnsi="Arial"/>
                <w:b/>
                <w:bCs/>
                <w:color w:val="0D1B2A"/>
                <w:sz w:val="19"/>
                <w:szCs w:val="19"/>
              </w:rPr>
              <w:t xml:space="preserve">Best System Today</w:t>
            </w:r>
          </w:p>
        </w:tc>
        <w:tc>
          <w:tcPr>
            <w:tcW w:type="dxa" w:w="23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&gt;90% on RULER long-range state tracking
(GAM: dual-agent architecture with precision retrieval rather than full-context accumulation)</w:t>
            </w:r>
          </w:p>
        </w:tc>
        <w:tc>
          <w:tcPr>
            <w:tcW w:type="dxa" w:w="23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RULER benchmark
(long-range state tracking, multi-hop tracing, aggregation)</w:t>
            </w:r>
          </w:p>
        </w:tc>
        <w:tc>
          <w:tcPr>
            <w:tcW w:type="dxa" w:w="25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VentureBeat Dec 2025:
venturebeat.com/ai/gam-takes-aim-at-context-rot</w:t>
            </w:r>
          </w:p>
        </w:tc>
      </w:tr>
      <w:tr>
        <w:tc>
          <w:tcPr>
            <w:tcW w:type="dxa" w:w="220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pPr>
              <w:spacing w:after="0"/>
            </w:pPr>
            <w:r>
              <w:rPr>
                <w:rFonts w:ascii="Arial" w:cs="Arial" w:eastAsia="Arial" w:hAnsi="Arial"/>
                <w:b/>
                <w:bCs/>
                <w:color w:val="0D1B2A"/>
                <w:sz w:val="19"/>
                <w:szCs w:val="19"/>
              </w:rPr>
              <w:t xml:space="preserve">2027 Base Case</w:t>
            </w:r>
          </w:p>
        </w:tc>
        <w:tc>
          <w:tcPr>
            <w:tcW w:type="dxa" w:w="23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~95% — precision retrieval architectures (GAM-style) become standard;
'context rot' largely solved for structured agentic tasks</w:t>
            </w:r>
          </w:p>
        </w:tc>
        <w:tc>
          <w:tcPr>
            <w:tcW w:type="dxa" w:w="23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RULER / GAIA L3 (agent systems)</w:t>
            </w:r>
          </w:p>
        </w:tc>
        <w:tc>
          <w:tcPr>
            <w:tcW w:type="dxa" w:w="25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Trajectory from GAM (Dec 2025) to expected broader adoption;
GAIA L3 best agent system: 74.6% overall; L3 only: 61% — long-horizon planning still hard</w:t>
            </w:r>
          </w:p>
        </w:tc>
      </w:tr>
    </w:tbl>
    <w:p>
      <w:pPr>
        <w:spacing w:after="100"/>
      </w:pPr>
    </w:p>
    <w:p>
      <w:pPr>
        <w:pStyle w:val="Heading3"/>
        <w:spacing w:after="80" w:before="180"/>
      </w:pPr>
      <w:r>
        <w:rPr>
          <w:rFonts w:ascii="Arial" w:cs="Arial" w:eastAsia="Arial" w:hAnsi="Arial"/>
          <w:b/>
          <w:bCs/>
          <w:color w:val="374151"/>
          <w:sz w:val="24"/>
          <w:szCs w:val="24"/>
        </w:rPr>
        <w:t xml:space="preserve">Dimension 6: Reliability — Can you trust the output?</w:t>
      </w:r>
    </w:p>
    <w:p>
      <w:pPr>
        <w:spacing w:after="120" w:line="276"/>
      </w:pPr>
      <w:r>
        <w:rPr>
          <w:rFonts w:ascii="Arial" w:cs="Arial" w:eastAsia="Arial" w:hAnsi="Arial"/>
          <w:b w:val="false"/>
          <w:bCs w:val="false"/>
          <w:i w:val="false"/>
          <w:iCs w:val="false"/>
          <w:color w:val="374151"/>
          <w:sz w:val="22"/>
          <w:szCs w:val="22"/>
        </w:rPr>
        <w:t xml:space="preserve">Does the AI produce factually correct, grounded, non-hallucinated outputs — or do you need to fact-check everything before using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20"/>
        <w:gridCol w:w="2320"/>
        <w:gridCol w:w="2520"/>
      </w:tblGrid>
      <w:tr>
        <w:trPr>
          <w:tblHeader/>
        </w:trPr>
        <w:tc>
          <w:tcPr>
            <w:tcW w:type="dxa" w:w="220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Track</w:t>
            </w:r>
          </w:p>
        </w:tc>
        <w:tc>
          <w:tcPr>
            <w:tcW w:type="dxa" w:w="232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Score / Range</w:t>
            </w:r>
          </w:p>
        </w:tc>
        <w:tc>
          <w:tcPr>
            <w:tcW w:type="dxa" w:w="232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Benchmark</w:t>
            </w:r>
          </w:p>
        </w:tc>
        <w:tc>
          <w:tcPr>
            <w:tcW w:type="dxa" w:w="252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Source</w:t>
            </w:r>
          </w:p>
        </w:tc>
      </w:tr>
      <w:tr>
        <w:tc>
          <w:tcPr>
            <w:tcW w:type="dxa" w:w="22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spacing w:after="0"/>
            </w:pPr>
            <w:r>
              <w:rPr>
                <w:rFonts w:ascii="Arial" w:cs="Arial" w:eastAsia="Arial" w:hAnsi="Arial"/>
                <w:b/>
                <w:bCs/>
                <w:color w:val="0D1B2A"/>
                <w:sz w:val="19"/>
                <w:szCs w:val="19"/>
              </w:rPr>
              <w:t xml:space="preserve">Typical Deployment</w:t>
            </w:r>
          </w:p>
        </w:tc>
        <w:tc>
          <w:tcPr>
            <w:tcW w:type="dxa" w:w="23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10%+ hallucination (all reasoning models)
Domain rates: medical 64%, legal 69–88%, financial 15–25%</w:t>
            </w:r>
          </w:p>
        </w:tc>
        <w:tc>
          <w:tcPr>
            <w:tcW w:type="dxa" w:w="23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Vectara HHEM (open, tracked since 2023)
Domain studies: Stanford RegLab (legal),
MedRxiv (clinical)</w:t>
            </w:r>
          </w:p>
        </w:tc>
        <w:tc>
          <w:tcPr>
            <w:tcW w:type="dxa" w:w="25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Vectara HHEM Leaderboard;
Stanford HAI (legal);
MDPI Electronics Oct 2025 (clinical RAG)</w:t>
            </w:r>
          </w:p>
        </w:tc>
      </w:tr>
      <w:tr>
        <w:tc>
          <w:tcPr>
            <w:tcW w:type="dxa" w:w="22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pPr>
              <w:spacing w:after="0"/>
            </w:pPr>
            <w:r>
              <w:rPr>
                <w:rFonts w:ascii="Arial" w:cs="Arial" w:eastAsia="Arial" w:hAnsi="Arial"/>
                <w:b/>
                <w:bCs/>
                <w:color w:val="0D1B2A"/>
                <w:sz w:val="19"/>
                <w:szCs w:val="19"/>
              </w:rPr>
              <w:t xml:space="preserve">Best System Today</w:t>
            </w:r>
          </w:p>
        </w:tc>
        <w:tc>
          <w:tcPr>
            <w:tcW w:type="dxa" w:w="23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&lt;1% on grounded summarisation (top models with RAG)
Self-reflective RAG: 5.8% in clinical settings
With tools/search: near-100% on SimpleQA</w:t>
            </w:r>
          </w:p>
        </w:tc>
        <w:tc>
          <w:tcPr>
            <w:tcW w:type="dxa" w:w="23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Vectara HHEM (refreshed Nov 2025–Feb 2026)
Self-reflective RAG clinical trial
SimpleQA (with tools enabled)</w:t>
            </w:r>
          </w:p>
        </w:tc>
        <w:tc>
          <w:tcPr>
            <w:tcW w:type="dxa" w:w="25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Vectara FaithJudge (arXiv:2505.04847);
Clinical RAG: MDPI Electronics, Oct 2025;
SimpleQA Verified: arxiv.org/html/2509.07968v1</w:t>
            </w:r>
          </w:p>
        </w:tc>
      </w:tr>
      <w:tr>
        <w:tc>
          <w:tcPr>
            <w:tcW w:type="dxa" w:w="220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pPr>
              <w:spacing w:after="0"/>
            </w:pPr>
            <w:r>
              <w:rPr>
                <w:rFonts w:ascii="Arial" w:cs="Arial" w:eastAsia="Arial" w:hAnsi="Arial"/>
                <w:b/>
                <w:bCs/>
                <w:color w:val="0D1B2A"/>
                <w:sz w:val="19"/>
                <w:szCs w:val="19"/>
              </w:rPr>
              <w:t xml:space="preserve">2027 Base Case</w:t>
            </w:r>
          </w:p>
        </w:tc>
        <w:tc>
          <w:tcPr>
            <w:tcW w:type="dxa" w:w="23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&lt;5% for most structured enterprise tasks
(parametric reliability without grounding remains structurally limited)</w:t>
            </w:r>
          </w:p>
        </w:tc>
        <w:tc>
          <w:tcPr>
            <w:tcW w:type="dxa" w:w="23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Vectara HHEM trajectory
(~3pp/year improvement on structured summarisation)</w:t>
            </w:r>
          </w:p>
        </w:tc>
        <w:tc>
          <w:tcPr>
            <w:tcW w:type="dxa" w:w="25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Vectara longitudinal data;
ReDeEP mechanistic fix (ICLR 2025);
openreview.net/forum?id=ztzZDzgfrh</w:t>
            </w:r>
          </w:p>
        </w:tc>
      </w:tr>
    </w:tbl>
    <w:p>
      <w:pPr>
        <w:spacing w:after="120"/>
      </w:pPr>
    </w:p>
    <w:p>
      <w:pPr>
        <w:pStyle w:val="Heading2"/>
        <w:spacing w:after="100" w:before="240"/>
      </w:pPr>
      <w:r>
        <w:rPr>
          <w:rFonts w:ascii="Arial" w:cs="Arial" w:eastAsia="Arial" w:hAnsi="Arial"/>
          <w:b/>
          <w:bCs/>
          <w:color w:val="0D1B2A"/>
          <w:sz w:val="28"/>
          <w:szCs w:val="28"/>
        </w:rPr>
        <w:t xml:space="preserve">5.3  Spider Chart Reference Data — For Website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40"/>
              <w:left w:type="dxa" w:w="200"/>
              <w:bottom w:type="dxa" w:w="140"/>
              <w:right w:type="dxa" w:w="200"/>
            </w:tcMar>
          </w:tcPr>
          <w:p>
            <w:pPr>
              <w:spacing w:after="60"/>
            </w:pPr>
            <w:r>
              <w:rPr>
                <w:rFonts w:ascii="Arial" w:cs="Arial" w:eastAsia="Arial" w:hAnsi="Arial"/>
                <w:b/>
                <w:bCs/>
                <w:color w:val="1A56DB"/>
                <w:sz w:val="20"/>
                <w:szCs w:val="20"/>
              </w:rPr>
              <w:t xml:space="preserve">FOR DEVELOPER: Spider Chart Specification</w:t>
            </w:r>
          </w:p>
          <w:p>
            <w:pPr>
              <w:spacing w:after="0"/>
            </w:pPr>
            <w:r>
              <w:rPr>
                <w:rFonts w:ascii="Arial" w:cs="Arial" w:eastAsia="Arial" w:hAnsi="Arial"/>
                <w:color w:val="374151"/>
                <w:sz w:val="20"/>
                <w:szCs w:val="20"/>
              </w:rPr>
              <w:t xml:space="preserve">This data will be rendered as a spider chart (radar chart) on the website with three concentric polygons:
• TRACK 1 (inner, solid fill): Typical Deployment — what most enterprises are running today. Use the lower bound of each range.
• TRACK 2 (middle, outlined): Best System Today — what best-practice deployments achieve today. Use the upper bound / optimised figure.
• TRACK 3 (outer, dashed): 2027 Base Case projection. Explicitly labelled as speculative with methodology reference to Section 7.
All six dimensions are scored on a 0–100 scale for the chart. Use the following values:
REASONING: Typical 58 | Best System Today 75 | 2027 90
(Revised from 81/85: ARC-AGI-2 refinement reaches 95%+ but ARC-AGI-3 &lt;1% resets frontier. 75% = blended active-benchmark figure.)
EXECUTION: Typical 46 | Best System Today 65 | 2027 82
(Revised from 57/68: 65% = task-weighted blend of SWE-bench Pro custom scaffold ~57% and Terminal-Bench 2.0 top agent 78.4%.)
MEMORY: Typical 47 | Best System Today 89 | 2027 95
SELF-AWARENESS: Typical 62 | Best System Today 77 | 2027 85
(AUC 0.78 → scaled as 62; AUC 0.83 → scaled as 77. Tooltip: AUC converted to 0–100 where 50=random, 100=perfect.)
COHERENCE: Typical 45 | Best System Today 75 | 2027 90
(Revised from 90/95: 90% referenced RULER/GAM research architecture, not production. Replaced by GAIA HAL framework 74.6%.)
RELIABILITY: Typical 35 | Best System Today 82 | 2027 92
(Inverted from hallucination rate — 100% minus the relevant figure.)
For each axis on hover/tap: show the primary benchmark name, the specific score, and the source URL. All source URLs are in Section 8.</w:t>
            </w:r>
          </w:p>
        </w:tc>
      </w:tr>
    </w:tbl>
    <w:p>
      <w:pPr>
        <w:spacing w:after="240"/>
      </w:pPr>
    </w:p>
    <w:p>
      <w:r>
        <w:br w:type="page"/>
      </w:r>
    </w:p>
    <w:p>
      <w:pPr>
        <w:pStyle w:val="Heading1"/>
        <w:spacing w:after="120" w:before="320"/>
      </w:pPr>
      <w:r>
        <w:rPr>
          <w:rFonts w:ascii="Arial" w:cs="Arial" w:eastAsia="Arial" w:hAnsi="Arial"/>
          <w:b/>
          <w:bCs/>
          <w:color w:val="0D1B2A"/>
          <w:sz w:val="36"/>
          <w:szCs w:val="36"/>
        </w:rPr>
        <w:t xml:space="preserve">6 · Mechanisms &amp; Scaling Laws: April 2026 Status</w:t>
      </w:r>
    </w:p>
    <w:p>
      <w:pPr>
        <w:pBdr>
          <w:bottom w:val="single" w:color="1A56DB" w:sz="8" w:space="1"/>
        </w:pBdr>
        <w:spacing w:after="200"/>
      </w:pPr>
    </w:p>
    <w:p>
      <w:pPr>
        <w:spacing w:after="120" w:line="276"/>
      </w:pPr>
      <w:r>
        <w:rPr>
          <w:rFonts w:ascii="Arial" w:cs="Arial" w:eastAsia="Arial" w:hAnsi="Arial"/>
          <w:b w:val="false"/>
          <w:bCs w:val="false"/>
          <w:i w:val="false"/>
          <w:iCs w:val="false"/>
          <w:color w:val="374151"/>
          <w:sz w:val="22"/>
          <w:szCs w:val="22"/>
        </w:rPr>
        <w:t xml:space="preserve">The four scaling mechanisms V1 identified — plus one it missed — have all confirmed. But the more important story isn't that each mechanism worked as predicted. It's what happens when they </w:t>
      </w:r>
      <w:r>
        <w:rPr>
          <w:rFonts w:ascii="Arial" w:cs="Arial" w:eastAsia="Arial" w:hAnsi="Arial"/>
          <w:b/>
          <w:bCs/>
          <w:i w:val="false"/>
          <w:iCs w:val="false"/>
          <w:color w:val="0D1B2A"/>
          <w:sz w:val="22"/>
          <w:szCs w:val="22"/>
        </w:rPr>
        <w:t xml:space="preserve">converge</w:t>
      </w:r>
      <w:r>
        <w:rPr>
          <w:rFonts w:ascii="Arial" w:cs="Arial" w:eastAsia="Arial" w:hAnsi="Arial"/>
          <w:b w:val="false"/>
          <w:bCs w:val="false"/>
          <w:i w:val="false"/>
          <w:iCs w:val="false"/>
          <w:color w:val="374151"/>
          <w:sz w:val="22"/>
          <w:szCs w:val="22"/>
        </w:rPr>
        <w:t xml:space="preserve">.</w:t>
      </w:r>
    </w:p>
    <w:p>
      <w:pPr>
        <w:spacing w:after="80"/>
      </w:pPr>
    </w:p>
    <w:p>
      <w:pPr>
        <w:pStyle w:val="Heading2"/>
        <w:spacing w:after="100" w:before="240"/>
      </w:pPr>
      <w:r>
        <w:rPr>
          <w:rFonts w:ascii="Arial" w:cs="Arial" w:eastAsia="Arial" w:hAnsi="Arial"/>
          <w:b/>
          <w:bCs/>
          <w:color w:val="0D1B2A"/>
          <w:sz w:val="28"/>
          <w:szCs w:val="28"/>
        </w:rPr>
        <w:t xml:space="preserve">6.1  Five Confirmed Mechanisms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3130"/>
        <w:gridCol w:w="3130"/>
      </w:tblGrid>
      <w:tr>
        <w:trPr>
          <w:tblHeader/>
        </w:trPr>
        <w:tc>
          <w:tcPr>
            <w:tcW w:type="dxa" w:w="220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Mechanism</w:t>
            </w:r>
          </w:p>
        </w:tc>
        <w:tc>
          <w:tcPr>
            <w:tcW w:type="dxa" w:w="90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Status</w:t>
            </w:r>
          </w:p>
        </w:tc>
        <w:tc>
          <w:tcPr>
            <w:tcW w:type="dxa" w:w="313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April 2026 Reality</w:t>
            </w:r>
          </w:p>
        </w:tc>
        <w:tc>
          <w:tcPr>
            <w:tcW w:type="dxa" w:w="313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What It Unlocks for 2027</w:t>
            </w:r>
          </w:p>
        </w:tc>
      </w:tr>
      <w:tr>
        <w:tc>
          <w:tcPr>
            <w:tcW w:type="dxa" w:w="22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pPr>
              <w:spacing w:after="0"/>
            </w:pPr>
            <w:r>
              <w:rPr>
                <w:rFonts w:ascii="Arial" w:cs="Arial" w:eastAsia="Arial" w:hAnsi="Arial"/>
                <w:b/>
                <w:bCs/>
                <w:color w:val="0D1B2A"/>
                <w:sz w:val="18"/>
                <w:szCs w:val="18"/>
              </w:rPr>
              <w:t xml:space="preserve">Inference Compute
($/Second of Thought)</w:t>
            </w:r>
          </w:p>
        </w:tc>
        <w:tc>
          <w:tcPr>
            <w:tcW w:type="dxa" w:w="9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pPr>
              <w:spacing w:after="0"/>
            </w:pPr>
            <w:r>
              <w:rPr>
                <w:rFonts w:ascii="Arial" w:cs="Arial" w:eastAsia="Arial" w:hAnsi="Arial"/>
                <w:b w:val="false"/>
                <w:bCs w:val="false"/>
                <w:color w:val="374151"/>
                <w:sz w:val="22"/>
                <w:szCs w:val="22"/>
              </w:rPr>
              <w:t xml:space="preserve">✅</w:t>
            </w:r>
          </w:p>
        </w:tc>
        <w:tc>
          <w:tcPr>
            <w:tcW w:type="dxa" w:w="313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Thinking tokens standard across all frontier models. Cost falling ~10× annually. NVIDIA Blackwell: 10× reduction vs Hopper for open-source inference.</w:t>
            </w:r>
          </w:p>
        </w:tc>
        <w:tc>
          <w:tcPr>
            <w:tcW w:type="dxa" w:w="313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Multi-pass verification (RAG + agent + check) at the same cost as single-pass in 2024. The reliability ceiling rises every year without model updates.</w:t>
            </w:r>
          </w:p>
        </w:tc>
      </w:tr>
      <w:tr>
        <w:tc>
          <w:tcPr>
            <w:tcW w:type="dxa" w:w="22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pPr>
              <w:spacing w:after="0"/>
            </w:pPr>
            <w:r>
              <w:rPr>
                <w:rFonts w:ascii="Arial" w:cs="Arial" w:eastAsia="Arial" w:hAnsi="Arial"/>
                <w:b/>
                <w:bCs/>
                <w:color w:val="0D1B2A"/>
                <w:sz w:val="18"/>
                <w:szCs w:val="18"/>
              </w:rPr>
              <w:t xml:space="preserve">Synthetic Data
(Verification Loop)</w:t>
            </w:r>
          </w:p>
        </w:tc>
        <w:tc>
          <w:tcPr>
            <w:tcW w:type="dxa" w:w="9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pPr>
              <w:spacing w:after="0"/>
            </w:pPr>
            <w:r>
              <w:rPr>
                <w:rFonts w:ascii="Arial" w:cs="Arial" w:eastAsia="Arial" w:hAnsi="Arial"/>
                <w:b w:val="false"/>
                <w:bCs w:val="false"/>
                <w:color w:val="374151"/>
                <w:sz w:val="22"/>
                <w:szCs w:val="22"/>
              </w:rPr>
              <w:t xml:space="preserve">✅</w:t>
            </w:r>
          </w:p>
        </w:tc>
        <w:tc>
          <w:tcPr>
            <w:tcW w:type="dxa" w:w="313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ARC-AGI-2 refinement (Poetiq, Imbue) validates the loop. DeepSeek-R1 trained for $294K using RL on synthetic data — frontier capability at &lt;5% of proprietary cost.</w:t>
            </w:r>
          </w:p>
        </w:tc>
        <w:tc>
          <w:tcPr>
            <w:tcW w:type="dxa" w:w="313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Capability improvements no longer require massive proprietary training runs. Open labs can iterate rapidly. The gap between open and closed capability is closing faster than expected.</w:t>
            </w:r>
          </w:p>
        </w:tc>
      </w:tr>
      <w:tr>
        <w:tc>
          <w:tcPr>
            <w:tcW w:type="dxa" w:w="22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pPr>
              <w:spacing w:after="0"/>
            </w:pPr>
            <w:r>
              <w:rPr>
                <w:rFonts w:ascii="Arial" w:cs="Arial" w:eastAsia="Arial" w:hAnsi="Arial"/>
                <w:b/>
                <w:bCs/>
                <w:color w:val="0D1B2A"/>
                <w:sz w:val="18"/>
                <w:szCs w:val="18"/>
              </w:rPr>
              <w:t xml:space="preserve">Multimodal / Document AI
(Paper Interface)</w:t>
            </w:r>
          </w:p>
        </w:tc>
        <w:tc>
          <w:tcPr>
            <w:tcW w:type="dxa" w:w="9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pPr>
              <w:spacing w:after="0"/>
            </w:pPr>
            <w:r>
              <w:rPr>
                <w:rFonts w:ascii="Arial" w:cs="Arial" w:eastAsia="Arial" w:hAnsi="Arial"/>
                <w:b w:val="false"/>
                <w:bCs w:val="false"/>
                <w:color w:val="374151"/>
                <w:sz w:val="22"/>
                <w:szCs w:val="22"/>
              </w:rPr>
              <w:t xml:space="preserve">✅</w:t>
            </w:r>
          </w:p>
        </w:tc>
        <w:tc>
          <w:tcPr>
            <w:tcW w:type="dxa" w:w="313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Enterprise document workflows broadly unlocked. Multimodal parsing effectively solved for standard formats. Fastest-moving of the three mechanisms.</w:t>
            </w:r>
          </w:p>
        </w:tc>
        <w:tc>
          <w:tcPr>
            <w:tcW w:type="dxa" w:w="313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Entire categories of knowledge-worker tasks (document review, form processing, report generation) are economically automatable today — the barrier is implementation, not capability.</w:t>
            </w:r>
          </w:p>
        </w:tc>
      </w:tr>
      <w:tr>
        <w:tc>
          <w:tcPr>
            <w:tcW w:type="dxa" w:w="22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spacing w:after="0"/>
            </w:pPr>
            <w:r>
              <w:rPr>
                <w:rFonts w:ascii="Arial" w:cs="Arial" w:eastAsia="Arial" w:hAnsi="Arial"/>
                <w:b/>
                <w:bCs/>
                <w:color w:val="0D1B2A"/>
                <w:sz w:val="18"/>
                <w:szCs w:val="18"/>
              </w:rPr>
              <w:t xml:space="preserve">Open-Source Parity
(NEW — not in V1)</w:t>
            </w:r>
          </w:p>
        </w:tc>
        <w:tc>
          <w:tcPr>
            <w:tcW w:type="dxa" w:w="9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spacing w:after="0"/>
            </w:pPr>
            <w:r>
              <w:rPr>
                <w:rFonts w:ascii="Arial" w:cs="Arial" w:eastAsia="Arial" w:hAnsi="Arial"/>
                <w:b w:val="false"/>
                <w:bCs w:val="false"/>
                <w:color w:val="374151"/>
                <w:sz w:val="22"/>
                <w:szCs w:val="22"/>
              </w:rPr>
              <w:t xml:space="preserve">🆕</w:t>
            </w:r>
          </w:p>
        </w:tc>
        <w:tc>
          <w:tcPr>
            <w:tcW w:type="dxa" w:w="313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MiniMax M2.5: 80.2% SWE-bench Verified (#4 globally). 434 open-source vs 217 closed-source API models (Dec 2025). DeepSeek-V3 at $0.27/M tokens.</w:t>
            </w:r>
          </w:p>
        </w:tc>
        <w:tc>
          <w:tcPr>
            <w:tcW w:type="dxa" w:w="313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Self-hosted RAG pipelines with open models are now cost-competitive with proprietary APIs. This removes the cost barrier to system-level reliability for enterprises willing to invest in engineering.</w:t>
            </w:r>
          </w:p>
        </w:tc>
      </w:tr>
      <w:tr>
        <w:tc>
          <w:tcPr>
            <w:tcW w:type="dxa" w:w="22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spacing w:after="0"/>
            </w:pPr>
            <w:r>
              <w:rPr>
                <w:rFonts w:ascii="Arial" w:cs="Arial" w:eastAsia="Arial" w:hAnsi="Arial"/>
                <w:b/>
                <w:bCs/>
                <w:color w:val="0D1B2A"/>
                <w:sz w:val="18"/>
                <w:szCs w:val="18"/>
              </w:rPr>
              <w:t xml:space="preserve">Memory as Infrastructure
(MCP — NEW, not in V1)</w:t>
            </w:r>
          </w:p>
        </w:tc>
        <w:tc>
          <w:tcPr>
            <w:tcW w:type="dxa" w:w="9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spacing w:after="0"/>
            </w:pPr>
            <w:r>
              <w:rPr>
                <w:rFonts w:ascii="Arial" w:cs="Arial" w:eastAsia="Arial" w:hAnsi="Arial"/>
                <w:b w:val="false"/>
                <w:bCs w:val="false"/>
                <w:color w:val="374151"/>
                <w:sz w:val="22"/>
                <w:szCs w:val="22"/>
              </w:rPr>
              <w:t xml:space="preserve">🆕</w:t>
            </w:r>
          </w:p>
        </w:tc>
        <w:tc>
          <w:tcPr>
            <w:tcW w:type="dxa" w:w="313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Model Context Protocol (MCP) donated to the Linux Foundation (January 2026), adopted by OpenAI, Google, and Microsoft. Graph memory in agents moved from experimental to production. Claude Sonnet 4.5 scores 74.6% on GAIA overall inside the HAL Generalist Agent framework (Princeton) via MCP-style tool integration — versus 44.8% for the same benchmark with minimal tooling. Memory architecture is now a distinct scaling mechanism, not merely a capability.</w:t>
            </w:r>
          </w:p>
        </w:tc>
        <w:tc>
          <w:tcPr>
            <w:tcW w:type="dxa" w:w="313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MCP is becoming the standard integration layer for AI agent tool access — the USB-C of AI agents. As MCP adoption broadens, the 30pp gap between base-model and agent-system GAIA scores becomes accessible to organisations that previously lacked the systems expertise to build custom agent harnesses.</w:t>
            </w:r>
          </w:p>
        </w:tc>
      </w:tr>
    </w:tbl>
    <w:p>
      <w:pPr>
        <w:spacing w:after="120"/>
      </w:pPr>
    </w:p>
    <w:p>
      <w:pPr>
        <w:pStyle w:val="Heading2"/>
        <w:spacing w:after="100" w:before="240"/>
      </w:pPr>
      <w:r>
        <w:rPr>
          <w:rFonts w:ascii="Arial" w:cs="Arial" w:eastAsia="Arial" w:hAnsi="Arial"/>
          <w:b/>
          <w:bCs/>
          <w:color w:val="0D1B2A"/>
          <w:sz w:val="28"/>
          <w:szCs w:val="28"/>
        </w:rPr>
        <w:t xml:space="preserve">6.2  The Convergence: What the Combined Mechanisms Imply for 2027</w:t>
      </w:r>
    </w:p>
    <w:p>
      <w:pPr>
        <w:spacing w:after="120" w:line="276"/>
      </w:pPr>
      <w:r>
        <w:rPr>
          <w:rFonts w:ascii="Arial" w:cs="Arial" w:eastAsia="Arial" w:hAnsi="Arial"/>
          <w:b w:val="false"/>
          <w:bCs w:val="false"/>
          <w:i w:val="false"/>
          <w:iCs w:val="false"/>
          <w:color w:val="374151"/>
          <w:sz w:val="22"/>
          <w:szCs w:val="22"/>
        </w:rPr>
        <w:t xml:space="preserve">Taken individually, each of these five mechanisms is interesting. Taken together, they describe a compressing cost-reliability curve that changes the enterprise AI calculus in a specific and predictable way.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1FAE5" w:val="clear"/>
            <w:tcMar>
              <w:top w:type="dxa" w:w="140"/>
              <w:left w:type="dxa" w:w="200"/>
              <w:bottom w:type="dxa" w:w="140"/>
              <w:right w:type="dxa" w:w="200"/>
            </w:tcMar>
          </w:tcPr>
          <w:p>
            <w:pPr>
              <w:spacing w:after="60"/>
            </w:pPr>
            <w:r>
              <w:rPr>
                <w:rFonts w:ascii="Arial" w:cs="Arial" w:eastAsia="Arial" w:hAnsi="Arial"/>
                <w:b/>
                <w:bCs/>
                <w:color w:val="0E9F6E"/>
                <w:sz w:val="20"/>
                <w:szCs w:val="20"/>
              </w:rPr>
              <w:t xml:space="preserve">The Core Implication</w:t>
            </w:r>
          </w:p>
          <w:p>
            <w:pPr>
              <w:spacing w:after="0"/>
            </w:pPr>
            <w:r>
              <w:rPr>
                <w:rFonts w:ascii="Arial" w:cs="Arial" w:eastAsia="Arial" w:hAnsi="Arial"/>
                <w:color w:val="374151"/>
                <w:sz w:val="20"/>
                <w:szCs w:val="20"/>
              </w:rPr>
              <w:t xml:space="preserve">In 2024: deploying a reliable AI system for a structured enterprise task required a significant engineering investment — frontier model API costs, RAG infrastructure, verification tooling, and specialised expertise. The total cost was prohibitive for most mid-market organisations.
In 2026: the same task can be accomplished using open-source models ($0.27/M tokens), commodity RAG frameworks (LlamaIndex, LangChain, open-source), and inference hardware that has fallen ~10× in price. The engineering complexity remains, but the cost barrier has effectively collapsed.
In 2027 (Base Case): as open frameworks standardise the implementation patterns and the engineering knowledge diffuses, the reliability gap that currently separates sophisticated early adopters from everyone else will narrow substantially. The question is no longer 'can we afford to build reliable AI systems?' but 'do we have the systems design knowledge to do so?'
The 2027 risk is not a capability cliff — it is a skills distribution problem. Organisations with AI-capable engineers will accelerate. Organisations without them will face the same reliability problems they face today, at higher scale.</w:t>
            </w:r>
          </w:p>
        </w:tc>
      </w:tr>
    </w:tbl>
    <w:p>
      <w:pPr>
        <w:spacing w:after="240"/>
      </w:pPr>
    </w:p>
    <w:p>
      <w:r>
        <w:br w:type="page"/>
      </w:r>
    </w:p>
    <w:p>
      <w:pPr>
        <w:pStyle w:val="Heading1"/>
        <w:spacing w:after="120" w:before="320"/>
      </w:pPr>
      <w:r>
        <w:rPr>
          <w:rFonts w:ascii="Arial" w:cs="Arial" w:eastAsia="Arial" w:hAnsi="Arial"/>
          <w:b/>
          <w:bCs/>
          <w:color w:val="0D1B2A"/>
          <w:sz w:val="36"/>
          <w:szCs w:val="36"/>
        </w:rPr>
        <w:t xml:space="preserve">7 · What Happens Next: Three Scenarios for 2027</w:t>
      </w:r>
    </w:p>
    <w:p>
      <w:pPr>
        <w:pBdr>
          <w:bottom w:val="single" w:color="1A56DB" w:sz="8" w:space="1"/>
        </w:pBdr>
        <w:spacing w:after="200"/>
      </w:pPr>
    </w:p>
    <w:p>
      <w:pPr>
        <w:spacing w:after="60" w:before="120"/>
      </w:pPr>
      <w:r>
        <w:rPr>
          <w:rFonts w:ascii="Arial" w:cs="Arial" w:eastAsia="Arial" w:hAnsi="Arial"/>
          <w:b/>
          <w:bCs/>
          <w:color w:val="1A56DB"/>
          <w:spacing w:val="40"/>
          <w:sz w:val="20"/>
          <w:szCs w:val="20"/>
        </w:rPr>
        <w:t xml:space="preserve">THE STATE OF PLAY AT EOY 2027</w:t>
      </w:r>
    </w:p>
    <w:p>
      <w:pPr>
        <w:spacing w:after="120"/>
      </w:pPr>
      <w:r>
        <w:rPr>
          <w:rFonts w:ascii="Arial" w:cs="Arial" w:eastAsia="Arial" w:hAnsi="Arial"/>
          <w:b/>
          <w:bCs/>
          <w:color w:val="0D1B2A"/>
          <w:sz w:val="30"/>
          <w:szCs w:val="30"/>
        </w:rPr>
        <w:t xml:space="preserve">One question. Three answers. Only the data will tell us which.</w:t>
      </w:r>
    </w:p>
    <w:p>
      <w:pPr>
        <w:spacing w:after="120" w:line="276"/>
      </w:pPr>
      <w:r>
        <w:rPr>
          <w:rFonts w:ascii="Arial" w:cs="Arial" w:eastAsia="Arial" w:hAnsi="Arial"/>
          <w:b w:val="false"/>
          <w:bCs w:val="false"/>
          <w:i w:val="false"/>
          <w:iCs w:val="false"/>
          <w:color w:val="374151"/>
          <w:sz w:val="22"/>
          <w:szCs w:val="22"/>
        </w:rPr>
        <w:t xml:space="preserve">The V1 single-point 2027 Capability Radar (95–99% across all dimensions) was unmechanised and is retired. In its place: three scenarios weighted by probability, derived from the convergence of the mechanisms in Section 6. Each scenario makes a specific, falsifiable prediction. The milestone signals to watch are listed at the end.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E8EEF5" w:val="clear"/>
            <w:tcMar>
              <w:top w:type="dxa" w:w="120"/>
              <w:left w:type="dxa" w:w="160"/>
              <w:bottom w:type="dxa" w:w="120"/>
              <w:right w:type="dxa" w:w="160"/>
            </w:tcMar>
          </w:tcPr>
          <w:p>
            <w:pPr>
              <w:spacing w:after="40"/>
              <w:jc w:val="center"/>
            </w:pPr>
            <w:r>
              <w:rPr>
                <w:rFonts w:ascii="Arial" w:cs="Arial" w:eastAsia="Arial" w:hAnsi="Arial"/>
                <w:sz w:val="40"/>
                <w:szCs w:val="40"/>
              </w:rPr>
              <w:t xml:space="preserve">🐢</w:t>
            </w:r>
          </w:p>
          <w:p>
            <w:pPr>
              <w:spacing w:after="20"/>
              <w:jc w:val="center"/>
            </w:pPr>
            <w:r>
              <w:rPr>
                <w:rFonts w:ascii="Arial" w:cs="Arial" w:eastAsia="Arial" w:hAnsi="Arial"/>
                <w:b/>
                <w:bCs/>
                <w:color w:val="375070"/>
                <w:sz w:val="24"/>
                <w:szCs w:val="24"/>
              </w:rPr>
              <w:t xml:space="preserve">CONSERVATIVE</w:t>
            </w:r>
          </w:p>
          <w:p>
            <w:pPr>
              <w:spacing w:after="8"/>
              <w:jc w:val="center"/>
            </w:pPr>
            <w:r>
              <w:rPr>
                <w:rFonts w:ascii="Arial" w:cs="Arial" w:eastAsia="Arial" w:hAnsi="Arial"/>
                <w:b/>
                <w:bCs/>
                <w:color w:val="0D1B2A"/>
                <w:sz w:val="52"/>
                <w:szCs w:val="52"/>
              </w:rPr>
              <w:t xml:space="preserve">~25%</w:t>
            </w:r>
          </w:p>
          <w:p>
            <w:pPr>
              <w:spacing w:after="0"/>
              <w:jc w:val="center"/>
            </w:pPr>
            <w:r>
              <w:rPr>
                <w:rFonts w:ascii="Arial" w:cs="Arial" w:eastAsia="Arial" w:hAnsi="Arial"/>
                <w:color w:val="64748B"/>
                <w:sz w:val="20"/>
                <w:szCs w:val="20"/>
              </w:rPr>
              <w:t xml:space="preserve">probability</w:t>
            </w:r>
          </w:p>
        </w:tc>
        <w:tc>
          <w:tcPr>
            <w:tcW w:type="dxa" w:w="3120"/>
            <w:tcBorders>
              <w:top w:val="none" w:color="FFFFFF" w:sz="0"/>
              <w:left w:val="none" w:color="FFFFFF" w:sz="0"/>
              <w:bottom w:val="none" w:color="FFFFFF" w:sz="0"/>
              <w:right w:val="none" w:color="FFFFFF" w:sz="0"/>
            </w:tcBorders>
            <w:shd w:fill="DBEAFE" w:val="clear"/>
            <w:tcMar>
              <w:top w:type="dxa" w:w="120"/>
              <w:left w:type="dxa" w:w="160"/>
              <w:bottom w:type="dxa" w:w="120"/>
              <w:right w:type="dxa" w:w="160"/>
            </w:tcMar>
          </w:tcPr>
          <w:p>
            <w:pPr>
              <w:spacing w:after="40"/>
              <w:jc w:val="center"/>
            </w:pPr>
            <w:r>
              <w:rPr>
                <w:rFonts w:ascii="Arial" w:cs="Arial" w:eastAsia="Arial" w:hAnsi="Arial"/>
                <w:sz w:val="40"/>
                <w:szCs w:val="40"/>
              </w:rPr>
              <w:t xml:space="preserve">📈</w:t>
            </w:r>
          </w:p>
          <w:p>
            <w:pPr>
              <w:spacing w:after="20"/>
              <w:jc w:val="center"/>
            </w:pPr>
            <w:r>
              <w:rPr>
                <w:rFonts w:ascii="Arial" w:cs="Arial" w:eastAsia="Arial" w:hAnsi="Arial"/>
                <w:b/>
                <w:bCs/>
                <w:color w:val="1A56DB"/>
                <w:sz w:val="24"/>
                <w:szCs w:val="24"/>
              </w:rPr>
              <w:t xml:space="preserve">BASE CASE</w:t>
            </w:r>
          </w:p>
          <w:p>
            <w:pPr>
              <w:spacing w:after="8"/>
              <w:jc w:val="center"/>
            </w:pPr>
            <w:r>
              <w:rPr>
                <w:rFonts w:ascii="Arial" w:cs="Arial" w:eastAsia="Arial" w:hAnsi="Arial"/>
                <w:b/>
                <w:bCs/>
                <w:color w:val="0D1B2A"/>
                <w:sz w:val="52"/>
                <w:szCs w:val="52"/>
              </w:rPr>
              <w:t xml:space="preserve">~55%</w:t>
            </w:r>
          </w:p>
          <w:p>
            <w:pPr>
              <w:spacing w:after="0"/>
              <w:jc w:val="center"/>
            </w:pPr>
            <w:r>
              <w:rPr>
                <w:rFonts w:ascii="Arial" w:cs="Arial" w:eastAsia="Arial" w:hAnsi="Arial"/>
                <w:color w:val="64748B"/>
                <w:sz w:val="20"/>
                <w:szCs w:val="20"/>
              </w:rPr>
              <w:t xml:space="preserve">probability</w:t>
            </w:r>
          </w:p>
        </w:tc>
        <w:tc>
          <w:tcPr>
            <w:tcW w:type="dxa" w:w="3120"/>
            <w:tcBorders>
              <w:top w:val="none" w:color="FFFFFF" w:sz="0"/>
              <w:left w:val="none" w:color="FFFFFF" w:sz="0"/>
              <w:bottom w:val="none" w:color="FFFFFF" w:sz="0"/>
              <w:right w:val="none" w:color="FFFFFF" w:sz="0"/>
            </w:tcBorders>
            <w:shd w:fill="D1FAE5" w:val="clear"/>
            <w:tcMar>
              <w:top w:type="dxa" w:w="120"/>
              <w:left w:type="dxa" w:w="160"/>
              <w:bottom w:type="dxa" w:w="120"/>
              <w:right w:type="dxa" w:w="160"/>
            </w:tcMar>
          </w:tcPr>
          <w:p>
            <w:pPr>
              <w:spacing w:after="40"/>
              <w:jc w:val="center"/>
            </w:pPr>
            <w:r>
              <w:rPr>
                <w:rFonts w:ascii="Arial" w:cs="Arial" w:eastAsia="Arial" w:hAnsi="Arial"/>
                <w:sz w:val="40"/>
                <w:szCs w:val="40"/>
              </w:rPr>
              <w:t xml:space="preserve">🚀</w:t>
            </w:r>
          </w:p>
          <w:p>
            <w:pPr>
              <w:spacing w:after="20"/>
              <w:jc w:val="center"/>
            </w:pPr>
            <w:r>
              <w:rPr>
                <w:rFonts w:ascii="Arial" w:cs="Arial" w:eastAsia="Arial" w:hAnsi="Arial"/>
                <w:b/>
                <w:bCs/>
                <w:color w:val="065F46"/>
                <w:sz w:val="24"/>
                <w:szCs w:val="24"/>
              </w:rPr>
              <w:t xml:space="preserve">ACCELERATED</w:t>
            </w:r>
          </w:p>
          <w:p>
            <w:pPr>
              <w:spacing w:after="8"/>
              <w:jc w:val="center"/>
            </w:pPr>
            <w:r>
              <w:rPr>
                <w:rFonts w:ascii="Arial" w:cs="Arial" w:eastAsia="Arial" w:hAnsi="Arial"/>
                <w:b/>
                <w:bCs/>
                <w:color w:val="0D1B2A"/>
                <w:sz w:val="52"/>
                <w:szCs w:val="52"/>
              </w:rPr>
              <w:t xml:space="preserve">~20%</w:t>
            </w:r>
          </w:p>
          <w:p>
            <w:pPr>
              <w:spacing w:after="0"/>
              <w:jc w:val="center"/>
            </w:pPr>
            <w:r>
              <w:rPr>
                <w:rFonts w:ascii="Arial" w:cs="Arial" w:eastAsia="Arial" w:hAnsi="Arial"/>
                <w:color w:val="64748B"/>
                <w:sz w:val="20"/>
                <w:szCs w:val="20"/>
              </w:rPr>
              <w:t xml:space="preserve">probability</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40"/>
              <w:left w:type="dxa" w:w="200"/>
              <w:bottom w:type="dxa" w:w="140"/>
              <w:right w:type="dxa" w:w="200"/>
            </w:tcMar>
          </w:tcPr>
          <w:p>
            <w:pPr>
              <w:spacing w:after="60"/>
            </w:pPr>
            <w:r>
              <w:rPr>
                <w:rFonts w:ascii="Arial" w:cs="Arial" w:eastAsia="Arial" w:hAnsi="Arial"/>
                <w:b/>
                <w:bCs/>
                <w:color w:val="1A56DB"/>
                <w:sz w:val="20"/>
                <w:szCs w:val="20"/>
              </w:rPr>
              <w:t xml:space="preserve">PROBABILITY METHODOLOGY</w:t>
            </w:r>
          </w:p>
          <w:p>
            <w:pPr>
              <w:spacing w:after="0"/>
            </w:pPr>
            <w:r>
              <w:rPr>
                <w:rFonts w:ascii="Arial" w:cs="Arial" w:eastAsia="Arial" w:hAnsi="Arial"/>
                <w:color w:val="374151"/>
                <w:sz w:val="20"/>
                <w:szCs w:val="20"/>
              </w:rPr>
              <w:t xml:space="preserve">Weights are informed by five inputs: (1) ARC-AGI-2/3 progress rates and benchmark saturation history, (2) inference cost curve trajectory (Stanford AI Index, Epoch AI), (3) BLS and Stanford/Harvard labour market data, (4) open-source model capability trajectory, and (5) LangChain State of AI Agents survey (1,300+ practitioners, 2026). The 55% Base Case weight reflects the view that the compounding mechanisms are real and directional, but that systems design diffusion is slower than capability improvement — creating a 12–24 month lag between frontier capability and broad enterprise reliability. These are informed estimates, not model outputs.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BD5E1" w:sz="1"/>
              <w:left w:val="single" w:color="CBD5E1" w:sz="1"/>
              <w:bottom w:val="single" w:color="CBD5E1" w:sz="1"/>
              <w:right w:val="single" w:color="CBD5E1" w:sz="1"/>
            </w:tcBorders>
            <w:shd w:fill="375070" w:val="clear"/>
            <w:tcMar>
              <w:top w:type="dxa" w:w="100"/>
              <w:left w:type="dxa" w:w="140"/>
              <w:bottom w:type="dxa" w:w="100"/>
              <w:right w:type="dxa" w:w="140"/>
            </w:tcMar>
          </w:tcPr>
          <w:p>
            <w:pPr>
              <w:spacing w:after="0"/>
              <w:jc w:val="center"/>
            </w:pPr>
            <w:r>
              <w:rPr>
                <w:rFonts w:ascii="Arial" w:cs="Arial" w:eastAsia="Arial" w:hAnsi="Arial"/>
                <w:b/>
                <w:bCs/>
                <w:color w:val="FFFFFF"/>
                <w:sz w:val="22"/>
                <w:szCs w:val="22"/>
              </w:rPr>
              <w:t xml:space="preserve">🐢  Conservative</w:t>
            </w:r>
          </w:p>
        </w:tc>
        <w:tc>
          <w:tcPr>
            <w:tcW w:type="dxa" w:w="3120"/>
            <w:tcBorders>
              <w:top w:val="single" w:color="CBD5E1" w:sz="1"/>
              <w:left w:val="single" w:color="CBD5E1" w:sz="1"/>
              <w:bottom w:val="single" w:color="CBD5E1" w:sz="1"/>
              <w:right w:val="single" w:color="CBD5E1" w:sz="1"/>
            </w:tcBorders>
            <w:shd w:fill="1A56DB" w:val="clear"/>
            <w:tcMar>
              <w:top w:type="dxa" w:w="100"/>
              <w:left w:type="dxa" w:w="140"/>
              <w:bottom w:type="dxa" w:w="100"/>
              <w:right w:type="dxa" w:w="140"/>
            </w:tcMar>
          </w:tcPr>
          <w:p>
            <w:pPr>
              <w:spacing w:after="0"/>
              <w:jc w:val="center"/>
            </w:pPr>
            <w:r>
              <w:rPr>
                <w:rFonts w:ascii="Arial" w:cs="Arial" w:eastAsia="Arial" w:hAnsi="Arial"/>
                <w:b/>
                <w:bCs/>
                <w:color w:val="FFFFFF"/>
                <w:sz w:val="22"/>
                <w:szCs w:val="22"/>
              </w:rPr>
              <w:t xml:space="preserve">📈  Base Case</w:t>
            </w:r>
          </w:p>
        </w:tc>
        <w:tc>
          <w:tcPr>
            <w:tcW w:type="dxa" w:w="3120"/>
            <w:tcBorders>
              <w:top w:val="single" w:color="CBD5E1" w:sz="1"/>
              <w:left w:val="single" w:color="CBD5E1" w:sz="1"/>
              <w:bottom w:val="single" w:color="CBD5E1" w:sz="1"/>
              <w:right w:val="single" w:color="CBD5E1" w:sz="1"/>
            </w:tcBorders>
            <w:shd w:fill="065F46" w:val="clear"/>
            <w:tcMar>
              <w:top w:type="dxa" w:w="100"/>
              <w:left w:type="dxa" w:w="140"/>
              <w:bottom w:type="dxa" w:w="100"/>
              <w:right w:type="dxa" w:w="140"/>
            </w:tcMar>
          </w:tcPr>
          <w:p>
            <w:pPr>
              <w:spacing w:after="0"/>
              <w:jc w:val="center"/>
            </w:pPr>
            <w:r>
              <w:rPr>
                <w:rFonts w:ascii="Arial" w:cs="Arial" w:eastAsia="Arial" w:hAnsi="Arial"/>
                <w:b/>
                <w:bCs/>
                <w:color w:val="FFFFFF"/>
                <w:sz w:val="22"/>
                <w:szCs w:val="22"/>
              </w:rPr>
              <w:t xml:space="preserve">🚀  Accelerated</w:t>
            </w:r>
          </w:p>
        </w:tc>
      </w:tr>
      <w:tr>
        <w:tc>
          <w:tcPr>
            <w:tcW w:type="dxa" w:w="3120"/>
            <w:tcBorders>
              <w:top w:val="single" w:color="CBD5E1" w:sz="1"/>
              <w:left w:val="single" w:color="CBD5E1" w:sz="1"/>
              <w:bottom w:val="single" w:color="CBD5E1" w:sz="1"/>
              <w:right w:val="single" w:color="CBD5E1" w:sz="1"/>
            </w:tcBorders>
            <w:shd w:fill="EEF2FF" w:val="clear"/>
            <w:tcMar>
              <w:top w:type="dxa" w:w="80"/>
              <w:left w:type="dxa" w:w="140"/>
              <w:bottom w:type="dxa" w:w="80"/>
              <w:right w:type="dxa" w:w="140"/>
            </w:tcMar>
          </w:tcPr>
          <w:p>
            <w:pPr>
              <w:spacing w:after="0"/>
            </w:pPr>
            <w:r>
              <w:rPr>
                <w:rFonts w:ascii="Arial" w:cs="Arial" w:eastAsia="Arial" w:hAnsi="Arial"/>
                <w:color w:val="374151"/>
                <w:sz w:val="19"/>
                <w:szCs w:val="19"/>
              </w:rPr>
              <w:t xml:space="preserve">~25% probability</w:t>
            </w:r>
          </w:p>
        </w:tc>
        <w:tc>
          <w:tcPr>
            <w:tcW w:type="dxa" w:w="312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pPr>
              <w:spacing w:after="0"/>
            </w:pPr>
            <w:r>
              <w:rPr>
                <w:rFonts w:ascii="Arial" w:cs="Arial" w:eastAsia="Arial" w:hAnsi="Arial"/>
                <w:color w:val="374151"/>
                <w:sz w:val="19"/>
                <w:szCs w:val="19"/>
              </w:rPr>
              <w:t xml:space="preserve">~55% probability</w:t>
            </w:r>
          </w:p>
        </w:tc>
        <w:tc>
          <w:tcPr>
            <w:tcW w:type="dxa" w:w="3120"/>
            <w:tcBorders>
              <w:top w:val="single" w:color="CBD5E1" w:sz="1"/>
              <w:left w:val="single" w:color="CBD5E1" w:sz="1"/>
              <w:bottom w:val="single" w:color="CBD5E1" w:sz="1"/>
              <w:right w:val="single" w:color="CBD5E1" w:sz="1"/>
            </w:tcBorders>
            <w:shd w:fill="D1FAE5" w:val="clear"/>
            <w:tcMar>
              <w:top w:type="dxa" w:w="80"/>
              <w:left w:type="dxa" w:w="140"/>
              <w:bottom w:type="dxa" w:w="80"/>
              <w:right w:type="dxa" w:w="140"/>
            </w:tcMar>
          </w:tcPr>
          <w:p>
            <w:pPr>
              <w:spacing w:after="0"/>
            </w:pPr>
            <w:r>
              <w:rPr>
                <w:rFonts w:ascii="Arial" w:cs="Arial" w:eastAsia="Arial" w:hAnsi="Arial"/>
                <w:color w:val="374151"/>
                <w:sz w:val="19"/>
                <w:szCs w:val="19"/>
              </w:rPr>
              <w:t xml:space="preserve">~20% probability</w:t>
            </w:r>
          </w:p>
        </w:tc>
      </w:tr>
      <w:tr>
        <w:tc>
          <w:tcPr>
            <w:tcW w:type="dxa" w:w="3120"/>
            <w:tcBorders>
              <w:top w:val="single" w:color="CBD5E1" w:sz="1"/>
              <w:left w:val="single" w:color="CBD5E1" w:sz="1"/>
              <w:bottom w:val="single" w:color="CBD5E1" w:sz="1"/>
              <w:right w:val="single" w:color="CBD5E1" w:sz="1"/>
            </w:tcBorders>
            <w:shd w:fill="EEF2FF" w:val="clear"/>
            <w:tcMar>
              <w:top w:type="dxa" w:w="80"/>
              <w:left w:type="dxa" w:w="140"/>
              <w:bottom w:type="dxa" w:w="80"/>
              <w:right w:type="dxa" w:w="140"/>
            </w:tcMar>
          </w:tcPr>
          <w:p>
            <w:pPr>
              <w:spacing w:after="0"/>
            </w:pPr>
            <w:r>
              <w:rPr>
                <w:rFonts w:ascii="Arial" w:cs="Arial" w:eastAsia="Arial" w:hAnsi="Arial"/>
                <w:color w:val="374151"/>
                <w:sz w:val="19"/>
                <w:szCs w:val="19"/>
              </w:rPr>
              <w:t xml:space="preserve">SWE-bench Pro stays below 45% (SEAL-standardised). ARC-AGI-3 remains under 20%. System-level reliability improves via RAG/agents but parametric reliability shows no structural breakthrough.</w:t>
            </w:r>
          </w:p>
        </w:tc>
        <w:tc>
          <w:tcPr>
            <w:tcW w:type="dxa" w:w="312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pPr>
              <w:spacing w:after="0"/>
            </w:pPr>
            <w:r>
              <w:rPr>
                <w:rFonts w:ascii="Arial" w:cs="Arial" w:eastAsia="Arial" w:hAnsi="Arial"/>
                <w:color w:val="374151"/>
                <w:sz w:val="19"/>
                <w:szCs w:val="19"/>
              </w:rPr>
              <w:t xml:space="preserve">SWE-bench Pro reaches 55–70% (SEAL). ARC-AGI-3 sees 30–50% by Q1 2027, mostly via RL/CNN approaches. Inference costs fall 40–60% enabling verification loops at commodity prices. Enterprise RAG deployment becomes default pattern.</w:t>
            </w:r>
          </w:p>
        </w:tc>
        <w:tc>
          <w:tcPr>
            <w:tcW w:type="dxa" w:w="3120"/>
            <w:tcBorders>
              <w:top w:val="single" w:color="CBD5E1" w:sz="1"/>
              <w:left w:val="single" w:color="CBD5E1" w:sz="1"/>
              <w:bottom w:val="single" w:color="CBD5E1" w:sz="1"/>
              <w:right w:val="single" w:color="CBD5E1" w:sz="1"/>
            </w:tcBorders>
            <w:shd w:fill="D1FAE5" w:val="clear"/>
            <w:tcMar>
              <w:top w:type="dxa" w:w="80"/>
              <w:left w:type="dxa" w:w="140"/>
              <w:bottom w:type="dxa" w:w="80"/>
              <w:right w:type="dxa" w:w="140"/>
            </w:tcMar>
          </w:tcPr>
          <w:p>
            <w:pPr>
              <w:spacing w:after="0"/>
            </w:pPr>
            <w:r>
              <w:rPr>
                <w:rFonts w:ascii="Arial" w:cs="Arial" w:eastAsia="Arial" w:hAnsi="Arial"/>
                <w:color w:val="374151"/>
                <w:sz w:val="19"/>
                <w:szCs w:val="19"/>
              </w:rPr>
              <w:t xml:space="preserve">SWE-bench Pro exceeds 70%. ARC-AGI-3 50%+ by EOY 2026 via RL. Self-correcting agent architectures make hallucination largely irrelevant for structured tasks. Open-source frontier parity forces proprietary price collapse.</w:t>
            </w:r>
          </w:p>
        </w:tc>
      </w:tr>
      <w:tr>
        <w:tc>
          <w:tcPr>
            <w:tcW w:type="dxa" w:w="3120"/>
            <w:tcBorders>
              <w:top w:val="single" w:color="CBD5E1" w:sz="1"/>
              <w:left w:val="single" w:color="CBD5E1" w:sz="1"/>
              <w:bottom w:val="single" w:color="CBD5E1" w:sz="1"/>
              <w:right w:val="single" w:color="CBD5E1" w:sz="1"/>
            </w:tcBorders>
            <w:shd w:fill="EEF2FF" w:val="clear"/>
            <w:tcMar>
              <w:top w:type="dxa" w:w="80"/>
              <w:left w:type="dxa" w:w="140"/>
              <w:bottom w:type="dxa" w:w="80"/>
              <w:right w:type="dxa" w:w="140"/>
            </w:tcMar>
          </w:tcPr>
          <w:p>
            <w:pPr>
              <w:spacing w:after="0"/>
            </w:pPr>
            <w:r>
              <w:rPr>
                <w:rFonts w:ascii="Arial" w:cs="Arial" w:eastAsia="Arial" w:hAnsi="Arial"/>
                <w:color w:val="374151"/>
                <w:sz w:val="19"/>
                <w:szCs w:val="19"/>
              </w:rPr>
              <w:t xml:space="preserve">Junior hiring stabilises at 7% share. Pipeline problem deepens but enterprise sector continues apprenticeship hiring. Klarna-pattern corrections dampen full replacement sentiment.</w:t>
            </w:r>
          </w:p>
        </w:tc>
        <w:tc>
          <w:tcPr>
            <w:tcW w:type="dxa" w:w="312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pPr>
              <w:spacing w:after="0"/>
            </w:pPr>
            <w:r>
              <w:rPr>
                <w:rFonts w:ascii="Arial" w:cs="Arial" w:eastAsia="Arial" w:hAnsi="Arial"/>
                <w:color w:val="374151"/>
                <w:sz w:val="19"/>
                <w:szCs w:val="19"/>
              </w:rPr>
              <w:t xml:space="preserve">Junior share falls to 3–5%. Senior orchestrator demand +60% YoY. Apprenticeship collapse forces industry-level response (preceptorship models, structured AI-native graduate tracks).</w:t>
            </w:r>
          </w:p>
        </w:tc>
        <w:tc>
          <w:tcPr>
            <w:tcW w:type="dxa" w:w="3120"/>
            <w:tcBorders>
              <w:top w:val="single" w:color="CBD5E1" w:sz="1"/>
              <w:left w:val="single" w:color="CBD5E1" w:sz="1"/>
              <w:bottom w:val="single" w:color="CBD5E1" w:sz="1"/>
              <w:right w:val="single" w:color="CBD5E1" w:sz="1"/>
            </w:tcBorders>
            <w:shd w:fill="D1FAE5" w:val="clear"/>
            <w:tcMar>
              <w:top w:type="dxa" w:w="80"/>
              <w:left w:type="dxa" w:w="140"/>
              <w:bottom w:type="dxa" w:w="80"/>
              <w:right w:type="dxa" w:w="140"/>
            </w:tcMar>
          </w:tcPr>
          <w:p>
            <w:pPr>
              <w:spacing w:after="0"/>
            </w:pPr>
            <w:r>
              <w:rPr>
                <w:rFonts w:ascii="Arial" w:cs="Arial" w:eastAsia="Arial" w:hAnsi="Arial"/>
                <w:color w:val="374151"/>
                <w:sz w:val="19"/>
                <w:szCs w:val="19"/>
              </w:rPr>
              <w:t xml:space="preserve">Junior roles largely automated in tech-native orgs. New hybrid roles (AI-paired engineers) become the dominant hiring category. CS enrollment decline creates early signals of senior talent shortage.</w:t>
            </w:r>
          </w:p>
        </w:tc>
      </w:tr>
      <w:tr>
        <w:tc>
          <w:tcPr>
            <w:tcW w:type="dxa" w:w="3120"/>
            <w:tcBorders>
              <w:top w:val="single" w:color="CBD5E1" w:sz="1"/>
              <w:left w:val="single" w:color="CBD5E1" w:sz="1"/>
              <w:bottom w:val="single" w:color="CBD5E1" w:sz="1"/>
              <w:right w:val="single" w:color="CBD5E1" w:sz="1"/>
            </w:tcBorders>
            <w:shd w:fill="EEF2FF" w:val="clear"/>
            <w:tcMar>
              <w:top w:type="dxa" w:w="80"/>
              <w:left w:type="dxa" w:w="140"/>
              <w:bottom w:type="dxa" w:w="80"/>
              <w:right w:type="dxa" w:w="140"/>
            </w:tcMar>
          </w:tcPr>
          <w:p>
            <w:pPr>
              <w:spacing w:after="0"/>
            </w:pPr>
            <w:r>
              <w:rPr>
                <w:rFonts w:ascii="Arial" w:cs="Arial" w:eastAsia="Arial" w:hAnsi="Arial"/>
                <w:color w:val="374151"/>
                <w:sz w:val="19"/>
                <w:szCs w:val="19"/>
              </w:rPr>
              <w:t xml:space="preserve">Regulatory friction (EU AI Act enforcement) slows agentic deployment. Enterprise reliability barrier persists for regulated domains.</w:t>
            </w:r>
          </w:p>
        </w:tc>
        <w:tc>
          <w:tcPr>
            <w:tcW w:type="dxa" w:w="312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pPr>
              <w:spacing w:after="0"/>
            </w:pPr>
            <w:r>
              <w:rPr>
                <w:rFonts w:ascii="Arial" w:cs="Arial" w:eastAsia="Arial" w:hAnsi="Arial"/>
                <w:color w:val="374151"/>
                <w:sz w:val="19"/>
                <w:szCs w:val="19"/>
              </w:rPr>
              <w:t xml:space="preserve">Agentic coding the default in 40–60% of enterprise dev workflows. Human-in-the-loop shifts from 'catching errors' to 'supervising outcomes'.</w:t>
            </w:r>
          </w:p>
        </w:tc>
        <w:tc>
          <w:tcPr>
            <w:tcW w:type="dxa" w:w="3120"/>
            <w:tcBorders>
              <w:top w:val="single" w:color="CBD5E1" w:sz="1"/>
              <w:left w:val="single" w:color="CBD5E1" w:sz="1"/>
              <w:bottom w:val="single" w:color="CBD5E1" w:sz="1"/>
              <w:right w:val="single" w:color="CBD5E1" w:sz="1"/>
            </w:tcBorders>
            <w:shd w:fill="D1FAE5" w:val="clear"/>
            <w:tcMar>
              <w:top w:type="dxa" w:w="80"/>
              <w:left w:type="dxa" w:w="140"/>
              <w:bottom w:type="dxa" w:w="80"/>
              <w:right w:type="dxa" w:w="140"/>
            </w:tcMar>
          </w:tcPr>
          <w:p>
            <w:pPr>
              <w:spacing w:after="0"/>
            </w:pPr>
            <w:r>
              <w:rPr>
                <w:rFonts w:ascii="Arial" w:cs="Arial" w:eastAsia="Arial" w:hAnsi="Arial"/>
                <w:color w:val="374151"/>
                <w:sz w:val="19"/>
                <w:szCs w:val="19"/>
              </w:rPr>
              <w:t xml:space="preserve">Autonomous code deployment standard for defined workflow classes. Reliability gap closes for structured domains; open-domain reliability remains a long-term challenge.</w:t>
            </w:r>
          </w:p>
        </w:tc>
      </w:tr>
    </w:tbl>
    <w:p>
      <w:pPr>
        <w:spacing w:after="120"/>
      </w:pPr>
    </w:p>
    <w:p>
      <w:pPr>
        <w:pStyle w:val="Heading2"/>
        <w:spacing w:after="100" w:before="240"/>
      </w:pPr>
      <w:r>
        <w:rPr>
          <w:rFonts w:ascii="Arial" w:cs="Arial" w:eastAsia="Arial" w:hAnsi="Arial"/>
          <w:b/>
          <w:bCs/>
          <w:color w:val="0D1B2A"/>
          <w:sz w:val="28"/>
          <w:szCs w:val="28"/>
        </w:rPr>
        <w:t xml:space="preserve">7.1  Implications by Actor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rPr>
          <w:tblHeader/>
        </w:trPr>
        <w:tc>
          <w:tcPr>
            <w:tcW w:type="dxa" w:w="180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Actor</w:t>
            </w:r>
          </w:p>
        </w:tc>
        <w:tc>
          <w:tcPr>
            <w:tcW w:type="dxa" w:w="252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Conservative</w:t>
            </w:r>
          </w:p>
        </w:tc>
        <w:tc>
          <w:tcPr>
            <w:tcW w:type="dxa" w:w="252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Base Case</w:t>
            </w:r>
          </w:p>
        </w:tc>
        <w:tc>
          <w:tcPr>
            <w:tcW w:type="dxa" w:w="252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Accelerated</w:t>
            </w:r>
          </w:p>
        </w:tc>
      </w:tr>
      <w:tr>
        <w:tc>
          <w:tcPr>
            <w:tcW w:type="dxa" w:w="18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spacing w:after="0"/>
            </w:pPr>
            <w:r>
              <w:rPr>
                <w:rFonts w:ascii="Arial" w:cs="Arial" w:eastAsia="Arial" w:hAnsi="Arial"/>
                <w:b/>
                <w:bCs/>
                <w:color w:val="0D1B2A"/>
                <w:sz w:val="18"/>
                <w:szCs w:val="18"/>
              </w:rPr>
              <w:t xml:space="preserve">Enterprise (&gt;2K employees)</w:t>
            </w:r>
          </w:p>
        </w:tc>
        <w:tc>
          <w:tcPr>
            <w:tcW w:type="dxa" w:w="25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Systems complexity remains the barrier. Early movers extend leads. Late movers fall further behind.</w:t>
            </w:r>
          </w:p>
        </w:tc>
        <w:tc>
          <w:tcPr>
            <w:tcW w:type="dxa" w:w="25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RAG+agent deployment becomes default. 40–60% of dev workflows agentic. Human-in-the-loop shifts from 'catching errors' to 'supervising outcomes'.</w:t>
            </w:r>
          </w:p>
        </w:tc>
        <w:tc>
          <w:tcPr>
            <w:tcW w:type="dxa" w:w="25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Autonomous code deployment standard for defined task classes. Competitive gap between AI-capable and AI-naive orgs becomes decisive.</w:t>
            </w:r>
          </w:p>
        </w:tc>
      </w:tr>
      <w:tr>
        <w:tc>
          <w:tcPr>
            <w:tcW w:type="dxa" w:w="18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pPr>
              <w:spacing w:after="0"/>
            </w:pPr>
            <w:r>
              <w:rPr>
                <w:rFonts w:ascii="Arial" w:cs="Arial" w:eastAsia="Arial" w:hAnsi="Arial"/>
                <w:b/>
                <w:bCs/>
                <w:color w:val="0D1B2A"/>
                <w:sz w:val="18"/>
                <w:szCs w:val="18"/>
              </w:rPr>
              <w:t xml:space="preserve">Startups (Tech-native)</w:t>
            </w:r>
          </w:p>
        </w:tc>
        <w:tc>
          <w:tcPr>
            <w:tcW w:type="dxa" w:w="25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Klarna-pattern reversals dampen enthusiasm. Engineering quality differentiators re-emerge.</w:t>
            </w:r>
          </w:p>
        </w:tc>
        <w:tc>
          <w:tcPr>
            <w:tcW w:type="dxa" w:w="25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Small teams with AI-native tooling continue to outperform larger teams. Senior-only hiring becomes the default model.</w:t>
            </w:r>
          </w:p>
        </w:tc>
        <w:tc>
          <w:tcPr>
            <w:tcW w:type="dxa" w:w="25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10-person teams reach 100-person output. Product iteration speed becomes the primary competitive variable.</w:t>
            </w:r>
          </w:p>
        </w:tc>
      </w:tr>
      <w:tr>
        <w:tc>
          <w:tcPr>
            <w:tcW w:type="dxa" w:w="18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pPr>
              <w:spacing w:after="0"/>
            </w:pPr>
            <w:r>
              <w:rPr>
                <w:rFonts w:ascii="Arial" w:cs="Arial" w:eastAsia="Arial" w:hAnsi="Arial"/>
                <w:b/>
                <w:bCs/>
                <w:color w:val="0D1B2A"/>
                <w:sz w:val="18"/>
                <w:szCs w:val="18"/>
              </w:rPr>
              <w:t xml:space="preserve">Career Entrants (Class of 2027–2030)</w:t>
            </w:r>
          </w:p>
        </w:tc>
        <w:tc>
          <w:tcPr>
            <w:tcW w:type="dxa" w:w="25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Entry-level market remains nearly closed. Regulated-industry roles and AI-specialist positions are the narrow paths in.</w:t>
            </w:r>
          </w:p>
        </w:tc>
        <w:tc>
          <w:tcPr>
            <w:tcW w:type="dxa" w:w="25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New role category emerges: AI-paired engineer. Requires both coding fundamentals and system-design capability. The 'AI-native graduate' value proposition becomes real.</w:t>
            </w:r>
          </w:p>
        </w:tc>
        <w:tc>
          <w:tcPr>
            <w:tcW w:type="dxa" w:w="25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Traditional junior roles effectively end. New hybrid roles the dominant entry path — but only for graduates who invested in the right fundamentals.</w:t>
            </w:r>
          </w:p>
        </w:tc>
      </w:tr>
      <w:tr>
        <w:tc>
          <w:tcPr>
            <w:tcW w:type="dxa" w:w="180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pPr>
              <w:spacing w:after="0"/>
            </w:pPr>
            <w:r>
              <w:rPr>
                <w:rFonts w:ascii="Arial" w:cs="Arial" w:eastAsia="Arial" w:hAnsi="Arial"/>
                <w:b/>
                <w:bCs/>
                <w:color w:val="0D1B2A"/>
                <w:sz w:val="18"/>
                <w:szCs w:val="18"/>
              </w:rPr>
              <w:t xml:space="preserve">Educators / Institutions</w:t>
            </w:r>
          </w:p>
        </w:tc>
        <w:tc>
          <w:tcPr>
            <w:tcW w:type="dxa" w:w="25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Enrollment decline accelerates. No policy response in time for 2027 graduates.</w:t>
            </w:r>
          </w:p>
        </w:tc>
        <w:tc>
          <w:tcPr>
            <w:tcW w:type="dxa" w:w="25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AI-native programmes (UC San Diego model) grow. Traditional CS adapts curriculum. Preceptorship models (Microsoft proposal) begin pilot phase.</w:t>
            </w:r>
          </w:p>
        </w:tc>
        <w:tc>
          <w:tcPr>
            <w:tcW w:type="dxa" w:w="25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Curriculum redesign forces a generation split: AI-native graduates vs. traditional CS graduates compete in the same market with very different profiles.</w:t>
            </w:r>
          </w:p>
        </w:tc>
      </w:tr>
    </w:tbl>
    <w:p>
      <w:pPr>
        <w:spacing w:after="120"/>
      </w:pPr>
    </w:p>
    <w:p>
      <w:pPr>
        <w:pStyle w:val="Heading2"/>
        <w:spacing w:after="100" w:before="240"/>
      </w:pPr>
      <w:r>
        <w:rPr>
          <w:rFonts w:ascii="Arial" w:cs="Arial" w:eastAsia="Arial" w:hAnsi="Arial"/>
          <w:b/>
          <w:bCs/>
          <w:color w:val="0D1B2A"/>
          <w:sz w:val="28"/>
          <w:szCs w:val="28"/>
        </w:rPr>
        <w:t xml:space="preserve">7.2  The Signals to Watch — Updated Quarterly</w:t>
      </w:r>
    </w:p>
    <w:p>
      <w:pPr>
        <w:pStyle w:val="Heading3"/>
        <w:spacing w:after="80" w:before="180"/>
      </w:pPr>
      <w:r>
        <w:rPr>
          <w:rFonts w:ascii="Arial" w:cs="Arial" w:eastAsia="Arial" w:hAnsi="Arial"/>
          <w:b/>
          <w:bCs/>
          <w:color w:val="374151"/>
          <w:sz w:val="24"/>
          <w:szCs w:val="24"/>
        </w:rPr>
        <w:t xml:space="preserve">Watch for Accelerated:</w:t>
      </w:r>
    </w:p>
    <w:p>
      <w:pPr>
        <w:pStyle w:val="ListParagraph"/>
        <w:numPr>
          <w:ilvl w:val="0"/>
          <w:numId w:val="2"/>
        </w:numPr>
        <w:spacing w:after="80"/>
      </w:pPr>
      <w:r>
        <w:rPr>
          <w:rFonts w:ascii="Arial" w:cs="Arial" w:eastAsia="Arial" w:hAnsi="Arial"/>
          <w:color w:val="374151"/>
          <w:sz w:val="21"/>
          <w:szCs w:val="21"/>
        </w:rPr>
        <w:t xml:space="preserve">ARC-AGI-3 milestone prize claimed by September 30, 2026 (implies 30%+ performance)</w:t>
      </w:r>
    </w:p>
    <w:p>
      <w:pPr>
        <w:pStyle w:val="ListParagraph"/>
        <w:numPr>
          <w:ilvl w:val="0"/>
          <w:numId w:val="2"/>
        </w:numPr>
        <w:spacing w:after="80"/>
      </w:pPr>
      <w:r>
        <w:rPr>
          <w:rFonts w:ascii="Arial" w:cs="Arial" w:eastAsia="Arial" w:hAnsi="Arial"/>
          <w:color w:val="374151"/>
          <w:sz w:val="21"/>
          <w:szCs w:val="21"/>
        </w:rPr>
        <w:t xml:space="preserve">SWE-bench Pro SEAL-standardised score crosses 60% for any single model</w:t>
      </w:r>
    </w:p>
    <w:p>
      <w:pPr>
        <w:pStyle w:val="ListParagraph"/>
        <w:numPr>
          <w:ilvl w:val="0"/>
          <w:numId w:val="2"/>
        </w:numPr>
        <w:spacing w:after="80"/>
      </w:pPr>
      <w:r>
        <w:rPr>
          <w:rFonts w:ascii="Arial" w:cs="Arial" w:eastAsia="Arial" w:hAnsi="Arial"/>
          <w:color w:val="374151"/>
          <w:sz w:val="21"/>
          <w:szCs w:val="21"/>
        </w:rPr>
        <w:t xml:space="preserve">Published architectural breakthrough addressing the Knowledge FFN hallucination mechanism (ReDeEP follow-on research)</w:t>
      </w:r>
    </w:p>
    <w:p>
      <w:pPr>
        <w:pStyle w:val="ListParagraph"/>
        <w:numPr>
          <w:ilvl w:val="0"/>
          <w:numId w:val="2"/>
        </w:numPr>
        <w:spacing w:after="80"/>
      </w:pPr>
      <w:r>
        <w:rPr>
          <w:rFonts w:ascii="Arial" w:cs="Arial" w:eastAsia="Arial" w:hAnsi="Arial"/>
          <w:color w:val="374151"/>
          <w:sz w:val="21"/>
          <w:szCs w:val="21"/>
        </w:rPr>
        <w:t xml:space="preserve">Inference costs fall faster than 10×/year — e.g. Blackwell GB300 deployment at scale</w:t>
      </w:r>
    </w:p>
    <w:p>
      <w:pPr>
        <w:spacing w:after="60"/>
      </w:pPr>
    </w:p>
    <w:p>
      <w:pPr>
        <w:pStyle w:val="Heading3"/>
        <w:spacing w:after="80" w:before="180"/>
      </w:pPr>
      <w:r>
        <w:rPr>
          <w:rFonts w:ascii="Arial" w:cs="Arial" w:eastAsia="Arial" w:hAnsi="Arial"/>
          <w:b/>
          <w:bCs/>
          <w:color w:val="374151"/>
          <w:sz w:val="24"/>
          <w:szCs w:val="24"/>
        </w:rPr>
        <w:t xml:space="preserve">Watch for Conservative:</w:t>
      </w:r>
    </w:p>
    <w:p>
      <w:pPr>
        <w:pStyle w:val="ListParagraph"/>
        <w:numPr>
          <w:ilvl w:val="0"/>
          <w:numId w:val="2"/>
        </w:numPr>
        <w:spacing w:after="80"/>
      </w:pPr>
      <w:r>
        <w:rPr>
          <w:rFonts w:ascii="Arial" w:cs="Arial" w:eastAsia="Arial" w:hAnsi="Arial"/>
          <w:color w:val="374151"/>
          <w:sz w:val="21"/>
          <w:szCs w:val="21"/>
        </w:rPr>
        <w:t xml:space="preserve">ARC-AGI-3 remains below 15% by EOY 2026 — genuine interactive reasoning barrier confirmed</w:t>
      </w:r>
    </w:p>
    <w:p>
      <w:pPr>
        <w:pStyle w:val="ListParagraph"/>
        <w:numPr>
          <w:ilvl w:val="0"/>
          <w:numId w:val="2"/>
        </w:numPr>
        <w:spacing w:after="80"/>
      </w:pPr>
      <w:r>
        <w:rPr>
          <w:rFonts w:ascii="Arial" w:cs="Arial" w:eastAsia="Arial" w:hAnsi="Arial"/>
          <w:color w:val="374151"/>
          <w:sz w:val="21"/>
          <w:szCs w:val="21"/>
        </w:rPr>
        <w:t xml:space="preserve">SWE-bench Pro SEAL score flat — real capability ceiling, not scaffolding gap</w:t>
      </w:r>
    </w:p>
    <w:p>
      <w:pPr>
        <w:pStyle w:val="ListParagraph"/>
        <w:numPr>
          <w:ilvl w:val="0"/>
          <w:numId w:val="2"/>
        </w:numPr>
        <w:spacing w:after="80"/>
      </w:pPr>
      <w:r>
        <w:rPr>
          <w:rFonts w:ascii="Arial" w:cs="Arial" w:eastAsia="Arial" w:hAnsi="Arial"/>
          <w:color w:val="374151"/>
          <w:sz w:val="21"/>
          <w:szCs w:val="21"/>
        </w:rPr>
        <w:t xml:space="preserve">Klarna-pattern corrections accelerate: 3+ high-profile enterprise AI reversals in 2026</w:t>
      </w:r>
    </w:p>
    <w:p>
      <w:pPr>
        <w:pStyle w:val="ListParagraph"/>
        <w:numPr>
          <w:ilvl w:val="0"/>
          <w:numId w:val="2"/>
        </w:numPr>
        <w:spacing w:after="80"/>
      </w:pPr>
      <w:r>
        <w:rPr>
          <w:rFonts w:ascii="Arial" w:cs="Arial" w:eastAsia="Arial" w:hAnsi="Arial"/>
          <w:color w:val="374151"/>
          <w:sz w:val="21"/>
          <w:szCs w:val="21"/>
        </w:rPr>
        <w:t xml:space="preserve">EU AI Act Phase 2 enforcement creates material friction for agentic deployment</w:t>
      </w:r>
    </w:p>
    <w:p>
      <w:pPr>
        <w:spacing w:after="240"/>
      </w:pPr>
    </w:p>
    <w:p>
      <w:r>
        <w:br w:type="page"/>
      </w:r>
    </w:p>
    <w:p>
      <w:pPr>
        <w:pStyle w:val="Heading1"/>
        <w:spacing w:after="120" w:before="320"/>
      </w:pPr>
      <w:r>
        <w:rPr>
          <w:rFonts w:ascii="Arial" w:cs="Arial" w:eastAsia="Arial" w:hAnsi="Arial"/>
          <w:b/>
          <w:bCs/>
          <w:color w:val="0D1B2A"/>
          <w:sz w:val="36"/>
          <w:szCs w:val="36"/>
        </w:rPr>
        <w:t xml:space="preserve">8 · Verified Data Sources</w:t>
      </w:r>
    </w:p>
    <w:p>
      <w:pPr>
        <w:pBdr>
          <w:bottom w:val="single" w:color="1A56DB" w:sz="8" w:space="1"/>
        </w:pBdr>
        <w:spacing w:after="200"/>
      </w:pPr>
    </w:p>
    <w:p>
      <w:pPr>
        <w:spacing w:after="120" w:line="276"/>
      </w:pPr>
      <w:r>
        <w:rPr>
          <w:rFonts w:ascii="Arial" w:cs="Arial" w:eastAsia="Arial" w:hAnsi="Arial"/>
          <w:b w:val="false"/>
          <w:bCs w:val="false"/>
          <w:i w:val="false"/>
          <w:iCs w:val="false"/>
          <w:color w:val="374151"/>
          <w:sz w:val="22"/>
          <w:szCs w:val="22"/>
        </w:rPr>
        <w:t xml:space="preserve">All sources below are publicly accessible and verified as of April 4, 2026. Where a DOI or arXiv identifier is available, it is provided for reproducibility. Sources are organised by claim area.</w:t>
      </w:r>
    </w:p>
    <w:p>
      <w:pPr>
        <w:spacing w:after="80"/>
      </w:pPr>
    </w:p>
    <w:p>
      <w:pPr>
        <w:pStyle w:val="Heading2"/>
        <w:spacing w:after="100" w:before="240"/>
      </w:pPr>
      <w:r>
        <w:rPr>
          <w:rFonts w:ascii="Arial" w:cs="Arial" w:eastAsia="Arial" w:hAnsi="Arial"/>
          <w:b/>
          <w:bCs/>
          <w:color w:val="0D1B2A"/>
          <w:sz w:val="28"/>
          <w:szCs w:val="28"/>
        </w:rPr>
        <w:t xml:space="preserve">8.1  Coding Benchmarks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960"/>
        <w:gridCol w:w="2600"/>
      </w:tblGrid>
      <w:tr>
        <w:trPr>
          <w:tblHeader/>
        </w:trPr>
        <w:tc>
          <w:tcPr>
            <w:tcW w:type="dxa" w:w="140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Category</w:t>
            </w:r>
          </w:p>
        </w:tc>
        <w:tc>
          <w:tcPr>
            <w:tcW w:type="dxa" w:w="240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Source</w:t>
            </w:r>
          </w:p>
        </w:tc>
        <w:tc>
          <w:tcPr>
            <w:tcW w:type="dxa" w:w="296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URL / DOI</w:t>
            </w:r>
          </w:p>
        </w:tc>
        <w:tc>
          <w:tcPr>
            <w:tcW w:type="dxa" w:w="260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Used For</w:t>
            </w:r>
          </w:p>
        </w:tc>
      </w:tr>
      <w:tr>
        <w:tc>
          <w:tcPr>
            <w:tcW w:type="dxa" w:w="14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pPr>
              <w:spacing w:after="0"/>
            </w:pPr>
            <w:r>
              <w:rPr>
                <w:rFonts w:ascii="Arial" w:cs="Arial" w:eastAsia="Arial" w:hAnsi="Arial"/>
                <w:b w:val="false"/>
                <w:bCs w:val="false"/>
                <w:color w:val="64748B"/>
                <w:sz w:val="18"/>
                <w:szCs w:val="18"/>
              </w:rPr>
              <w:t xml:space="preserve">Coding</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Marc Patzelt SWE Leaderboard</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hyperlink w:history="1" r:id="rId49mdrdr9jjr0mtjfoqa6a">
              <w:r>
                <w:rPr>
                  <w:rFonts w:ascii="Arial" w:cs="Arial" w:eastAsia="Arial" w:hAnsi="Arial"/>
                  <w:color w:val="1A56DB"/>
                  <w:sz w:val="20"/>
                  <w:szCs w:val="20"/>
                  <w:u w:val="single"/>
                </w:rPr>
                <w:t xml:space="preserve">marc0.dev/en/leaderboard</w:t>
              </w:r>
            </w:hyperlink>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Top scores March 2026: SWE-bench Verified, Pro, Terminal-Bench 2.0</w:t>
            </w:r>
          </w:p>
        </w:tc>
      </w:tr>
      <w:tr>
        <w:tc>
          <w:tcPr>
            <w:tcW w:type="dxa" w:w="14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pPr>
              <w:spacing w:after="0"/>
            </w:pPr>
            <w:r>
              <w:rPr>
                <w:rFonts w:ascii="Arial" w:cs="Arial" w:eastAsia="Arial" w:hAnsi="Arial"/>
                <w:b w:val="false"/>
                <w:bCs w:val="false"/>
                <w:color w:val="64748B"/>
                <w:sz w:val="18"/>
                <w:szCs w:val="18"/>
              </w:rPr>
              <w:t xml:space="preserve">Coding</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Epoch AI SWE-bench Verified</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hyperlink w:history="1" r:id="rIdi_n2b7t0pxyjobpfbrbso">
              <w:r>
                <w:rPr>
                  <w:rFonts w:ascii="Arial" w:cs="Arial" w:eastAsia="Arial" w:hAnsi="Arial"/>
                  <w:color w:val="1A56DB"/>
                  <w:sz w:val="20"/>
                  <w:szCs w:val="20"/>
                  <w:u w:val="single"/>
                </w:rPr>
                <w:t xml:space="preserve">epoch.ai/benchmarks/swe-bench-verified/</w:t>
              </w:r>
            </w:hyperlink>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Independent standardised evaluation; v2.0 upgrade Feb 2026</w:t>
            </w:r>
          </w:p>
        </w:tc>
      </w:tr>
      <w:tr>
        <w:tc>
          <w:tcPr>
            <w:tcW w:type="dxa" w:w="14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pPr>
              <w:spacing w:after="0"/>
            </w:pPr>
            <w:r>
              <w:rPr>
                <w:rFonts w:ascii="Arial" w:cs="Arial" w:eastAsia="Arial" w:hAnsi="Arial"/>
                <w:b w:val="false"/>
                <w:bCs w:val="false"/>
                <w:color w:val="64748B"/>
                <w:sz w:val="18"/>
                <w:szCs w:val="18"/>
              </w:rPr>
              <w:t xml:space="preserve">Coding</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SWE-rebench (independent)</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hyperlink w:history="1" r:id="rIdjutzfnjgptcxsu5mjcilg">
              <w:r>
                <w:rPr>
                  <w:rFonts w:ascii="Arial" w:cs="Arial" w:eastAsia="Arial" w:hAnsi="Arial"/>
                  <w:color w:val="1A56DB"/>
                  <w:sz w:val="20"/>
                  <w:szCs w:val="20"/>
                  <w:u w:val="single"/>
                </w:rPr>
                <w:t xml:space="preserve">swe-rebench.com</w:t>
              </w:r>
            </w:hyperlink>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Bash-only agent evaluation; contamination flagging</w:t>
            </w:r>
          </w:p>
        </w:tc>
      </w:tr>
      <w:tr>
        <w:tc>
          <w:tcPr>
            <w:tcW w:type="dxa" w:w="14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pPr>
              <w:spacing w:after="0"/>
            </w:pPr>
            <w:r>
              <w:rPr>
                <w:rFonts w:ascii="Arial" w:cs="Arial" w:eastAsia="Arial" w:hAnsi="Arial"/>
                <w:b w:val="false"/>
                <w:bCs w:val="false"/>
                <w:color w:val="64748B"/>
                <w:sz w:val="18"/>
                <w:szCs w:val="18"/>
              </w:rPr>
              <w:t xml:space="preserve">Coding</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Scale AI SEAL / SWE-bench Pro</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hyperlink w:history="1" r:id="rIdvlsqtlrnpo-9o4vjvsqfh">
              <w:r>
                <w:rPr>
                  <w:rFonts w:ascii="Arial" w:cs="Arial" w:eastAsia="Arial" w:hAnsi="Arial"/>
                  <w:color w:val="1A56DB"/>
                  <w:sz w:val="20"/>
                  <w:szCs w:val="20"/>
                  <w:u w:val="single"/>
                </w:rPr>
                <w:t xml:space="preserve">labs.scale.com/leaderboard/swe_bench_pro_public</w:t>
              </w:r>
            </w:hyperlink>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Standardised scaffold (250-turn, uncapped cost); contamination-resistant</w:t>
            </w:r>
          </w:p>
        </w:tc>
      </w:tr>
      <w:tr>
        <w:tc>
          <w:tcPr>
            <w:tcW w:type="dxa" w:w="14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pPr>
              <w:spacing w:after="0"/>
            </w:pPr>
            <w:r>
              <w:rPr>
                <w:rFonts w:ascii="Arial" w:cs="Arial" w:eastAsia="Arial" w:hAnsi="Arial"/>
                <w:b w:val="false"/>
                <w:bCs w:val="false"/>
                <w:color w:val="64748B"/>
                <w:sz w:val="18"/>
                <w:szCs w:val="18"/>
              </w:rPr>
              <w:t xml:space="preserve">Coding</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morphllm.com SWE-bench Pro analysis</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hyperlink w:history="1" r:id="rIdvccmmlwjk8are-hpc68i3">
              <w:r>
                <w:rPr>
                  <w:rFonts w:ascii="Arial" w:cs="Arial" w:eastAsia="Arial" w:hAnsi="Arial"/>
                  <w:color w:val="1A56DB"/>
                  <w:sz w:val="20"/>
                  <w:szCs w:val="20"/>
                  <w:u w:val="single"/>
                </w:rPr>
                <w:t xml:space="preserve">morphllm.com/swe-bench-pro</w:t>
              </w:r>
            </w:hyperlink>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OpenAI contamination audit; SEAL vs. non-standardised gap</w:t>
            </w:r>
          </w:p>
        </w:tc>
      </w:tr>
      <w:tr>
        <w:tc>
          <w:tcPr>
            <w:tcW w:type="dxa" w:w="14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pPr>
              <w:spacing w:after="0"/>
            </w:pPr>
            <w:r>
              <w:rPr>
                <w:rFonts w:ascii="Arial" w:cs="Arial" w:eastAsia="Arial" w:hAnsi="Arial"/>
                <w:b w:val="false"/>
                <w:bCs w:val="false"/>
                <w:color w:val="64748B"/>
                <w:sz w:val="18"/>
                <w:szCs w:val="18"/>
              </w:rPr>
              <w:t xml:space="preserve">Execution</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Terminal-Bench 2.0 (official leaderboard)</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hyperlink w:history="1" r:id="rIdbucu6jqwvgquut3sur4xv">
              <w:r>
                <w:rPr>
                  <w:rFonts w:ascii="Arial" w:cs="Arial" w:eastAsia="Arial" w:hAnsi="Arial"/>
                  <w:color w:val="1A56DB"/>
                  <w:sz w:val="20"/>
                  <w:szCs w:val="20"/>
                  <w:u w:val="single"/>
                </w:rPr>
                <w:t xml:space="preserve">tbench.ai/leaderboard/terminal-bench/2.0</w:t>
              </w:r>
            </w:hyperlink>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89 real terminal tasks; Docker containers; Forge Code leads at 78.4% (Gemini 3.1 Pro)</w:t>
            </w:r>
          </w:p>
        </w:tc>
      </w:tr>
      <w:tr>
        <w:tc>
          <w:tcPr>
            <w:tcW w:type="dxa" w:w="14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pPr>
              <w:spacing w:after="0"/>
            </w:pPr>
            <w:r>
              <w:rPr>
                <w:rFonts w:ascii="Arial" w:cs="Arial" w:eastAsia="Arial" w:hAnsi="Arial"/>
                <w:b w:val="false"/>
                <w:bCs w:val="false"/>
                <w:color w:val="64748B"/>
                <w:sz w:val="18"/>
                <w:szCs w:val="18"/>
              </w:rPr>
              <w:t xml:space="preserve">Execution</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Terminal-Bench 2.0 analysis (Morph)</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hyperlink w:history="1" r:id="rIdajbwtute0re2kmpwl6b0x">
              <w:r>
                <w:rPr>
                  <w:rFonts w:ascii="Arial" w:cs="Arial" w:eastAsia="Arial" w:hAnsi="Arial"/>
                  <w:color w:val="1A56DB"/>
                  <w:sz w:val="20"/>
                  <w:szCs w:val="20"/>
                  <w:u w:val="single"/>
                </w:rPr>
                <w:t xml:space="preserve">morphllm.com/terminal-bench-2</w:t>
              </w:r>
            </w:hyperlink>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Scaffolding gap quantification: 2–6pp above raw model; March 2026 analysis</w:t>
            </w:r>
          </w:p>
        </w:tc>
      </w:tr>
      <w:tr>
        <w:tc>
          <w:tcPr>
            <w:tcW w:type="dxa" w:w="14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pPr>
              <w:spacing w:after="0"/>
            </w:pPr>
            <w:r>
              <w:rPr>
                <w:rFonts w:ascii="Arial" w:cs="Arial" w:eastAsia="Arial" w:hAnsi="Arial"/>
                <w:b w:val="false"/>
                <w:bCs w:val="false"/>
                <w:color w:val="64748B"/>
                <w:sz w:val="18"/>
                <w:szCs w:val="18"/>
              </w:rPr>
              <w:t xml:space="preserve">Execution</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Terminal-Bench Hard (Artificial Analysis)</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hyperlink w:history="1" r:id="rIdvp4ty963znbnq5qqi2my3">
              <w:r>
                <w:rPr>
                  <w:rFonts w:ascii="Arial" w:cs="Arial" w:eastAsia="Arial" w:hAnsi="Arial"/>
                  <w:color w:val="1A56DB"/>
                  <w:sz w:val="20"/>
                  <w:szCs w:val="20"/>
                  <w:u w:val="single"/>
                </w:rPr>
                <w:t xml:space="preserve">artificialanalysis.ai/evaluations/terminalbench-harda</w:t>
              </w:r>
            </w:hyperlink>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Harder subset; GPT-5.4 leads at 57.6%; standardised comparison</w:t>
            </w:r>
          </w:p>
        </w:tc>
      </w:tr>
      <w:tr>
        <w:tc>
          <w:tcPr>
            <w:tcW w:type="dxa" w:w="14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pPr>
              <w:spacing w:after="0"/>
            </w:pPr>
            <w:r>
              <w:rPr>
                <w:rFonts w:ascii="Arial" w:cs="Arial" w:eastAsia="Arial" w:hAnsi="Arial"/>
                <w:b w:val="false"/>
                <w:bCs w:val="false"/>
                <w:color w:val="64748B"/>
                <w:sz w:val="18"/>
                <w:szCs w:val="18"/>
              </w:rPr>
              <w:t xml:space="preserve">Execution</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morphllm.com — SWE-bench Pro scaffold spread</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hyperlink w:history="1" r:id="rIdd9zb1c5pv-lztndw2-anf">
              <w:r>
                <w:rPr>
                  <w:rFonts w:ascii="Arial" w:cs="Arial" w:eastAsia="Arial" w:hAnsi="Arial"/>
                  <w:color w:val="1A56DB"/>
                  <w:sz w:val="20"/>
                  <w:szCs w:val="20"/>
                  <w:u w:val="single"/>
                </w:rPr>
                <w:t xml:space="preserve">morphllm.com/swe-bench-pro</w:t>
              </w:r>
            </w:hyperlink>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Source for 50.2–55.4% Claude Opus 4.5 scaffold spread: Auggie, Cursor, Claude Code all ran Opus 4.5; gap is agent architecture, not model quality</w:t>
            </w:r>
          </w:p>
        </w:tc>
      </w:tr>
      <w:tr>
        <w:tc>
          <w:tcPr>
            <w:tcW w:type="dxa" w:w="14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pPr>
              <w:spacing w:after="0"/>
            </w:pPr>
            <w:r>
              <w:rPr>
                <w:rFonts w:ascii="Arial" w:cs="Arial" w:eastAsia="Arial" w:hAnsi="Arial"/>
                <w:b w:val="false"/>
                <w:bCs w:val="false"/>
                <w:color w:val="64748B"/>
                <w:sz w:val="18"/>
                <w:szCs w:val="18"/>
              </w:rPr>
              <w:t xml:space="preserve">Execution</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Augment Code — Auggie tops SWE-bench Pro</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hyperlink w:history="1" r:id="rIdkxpdty8szldlaa-x_zi95">
              <w:r>
                <w:rPr>
                  <w:rFonts w:ascii="Arial" w:cs="Arial" w:eastAsia="Arial" w:hAnsi="Arial"/>
                  <w:color w:val="1A56DB"/>
                  <w:sz w:val="20"/>
                  <w:szCs w:val="20"/>
                  <w:u w:val="single"/>
                </w:rPr>
                <w:t xml:space="preserve">augmentcode.com/blog/auggie-tops-swe-bench-pro</w:t>
              </w:r>
            </w:hyperlink>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Primary: Auggie at 51.80% on SWE-bench Pro with Opus 4.5 (Feb 2026); confirms three Opus 4.5 systems scored 50.2–55.4%</w:t>
            </w:r>
          </w:p>
        </w:tc>
      </w:tr>
      <w:tr>
        <w:tc>
          <w:tcPr>
            <w:tcW w:type="dxa" w:w="14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pPr>
              <w:spacing w:after="0"/>
            </w:pPr>
            <w:r>
              <w:rPr>
                <w:rFonts w:ascii="Arial" w:cs="Arial" w:eastAsia="Arial" w:hAnsi="Arial"/>
                <w:b w:val="false"/>
                <w:bCs w:val="false"/>
                <w:color w:val="64748B"/>
                <w:sz w:val="18"/>
                <w:szCs w:val="18"/>
              </w:rPr>
              <w:t xml:space="preserve">Mechanisms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Linux Foundation MCP Announcement (Jan 2026)</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hyperlink w:history="1" r:id="rIdsp9md8ga9e7-qme5odbht">
              <w:r>
                <w:rPr>
                  <w:rFonts w:ascii="Arial" w:cs="Arial" w:eastAsia="Arial" w:hAnsi="Arial"/>
                  <w:color w:val="1A56DB"/>
                  <w:sz w:val="20"/>
                  <w:szCs w:val="20"/>
                  <w:u w:val="single"/>
                </w:rPr>
                <w:t xml:space="preserve">linuxfoundation.org</w:t>
              </w:r>
            </w:hyperlink>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MCP donated to Linux Foundation Jan 2026; adopted by OpenAI, Google, Microsoft</w:t>
            </w:r>
          </w:p>
        </w:tc>
      </w:tr>
      <w:tr>
        <w:tc>
          <w:tcPr>
            <w:tcW w:type="dxa" w:w="14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pPr>
              <w:spacing w:after="0"/>
            </w:pPr>
            <w:r>
              <w:rPr>
                <w:rFonts w:ascii="Arial" w:cs="Arial" w:eastAsia="Arial" w:hAnsi="Arial"/>
                <w:b w:val="false"/>
                <w:bCs w:val="false"/>
                <w:color w:val="64748B"/>
                <w:sz w:val="18"/>
                <w:szCs w:val="18"/>
              </w:rPr>
              <w:t xml:space="preserve">Mechanisms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HAL Generalist Agent — Princeton</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hyperlink w:history="1" r:id="rId9gjhr0duny5l8fb__3yn5">
              <w:r>
                <w:rPr>
                  <w:rFonts w:ascii="Arial" w:cs="Arial" w:eastAsia="Arial" w:hAnsi="Arial"/>
                  <w:color w:val="1A56DB"/>
                  <w:sz w:val="20"/>
                  <w:szCs w:val="20"/>
                  <w:u w:val="single"/>
                </w:rPr>
                <w:t xml:space="preserve">hal.cs.princeton.edu</w:t>
              </w:r>
            </w:hyperlink>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HAL framework: Claude Sonnet 4.5 achieves 74.6% GAIA overall via MCP-style tool integration (Feb 2026)</w:t>
            </w:r>
          </w:p>
        </w:tc>
      </w:tr>
      <w:tr>
        <w:tc>
          <w:tcPr>
            <w:tcW w:type="dxa" w:w="14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pPr>
              <w:spacing w:after="0"/>
            </w:pPr>
            <w:r>
              <w:rPr>
                <w:rFonts w:ascii="Arial" w:cs="Arial" w:eastAsia="Arial" w:hAnsi="Arial"/>
                <w:b w:val="false"/>
                <w:bCs w:val="false"/>
                <w:color w:val="64748B"/>
                <w:sz w:val="18"/>
                <w:szCs w:val="18"/>
              </w:rPr>
              <w:t xml:space="preserve">Planning</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GAIA Benchmark Leaderboard (Awesome Agents)</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hyperlink w:history="1" r:id="rIdmlihhkztk37mxubpvqlke">
              <w:r>
                <w:rPr>
                  <w:rFonts w:ascii="Arial" w:cs="Arial" w:eastAsia="Arial" w:hAnsi="Arial"/>
                  <w:color w:val="1A56DB"/>
                  <w:sz w:val="20"/>
                  <w:szCs w:val="20"/>
                  <w:u w:val="single"/>
                </w:rPr>
                <w:t xml:space="preserve">awesomeagents.ai/leaderboards/agentic-ai-benchmarks-leaderboard/</w:t>
              </w:r>
            </w:hyperlink>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Claude Sonnet 4.5 + HAL Generalist Agent: 74.6% overall; Anthropic sweeps top 6; Feb 2026</w:t>
            </w:r>
          </w:p>
        </w:tc>
      </w:tr>
      <w:tr>
        <w:tc>
          <w:tcPr>
            <w:tcW w:type="dxa" w:w="14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pPr>
              <w:spacing w:after="0"/>
            </w:pPr>
            <w:r>
              <w:rPr>
                <w:rFonts w:ascii="Arial" w:cs="Arial" w:eastAsia="Arial" w:hAnsi="Arial"/>
                <w:b w:val="false"/>
                <w:bCs w:val="false"/>
                <w:color w:val="64748B"/>
                <w:sz w:val="18"/>
                <w:szCs w:val="18"/>
              </w:rPr>
              <w:t xml:space="preserve">Planning</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GAIA L3 — Writer's Action Agent</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hyperlink w:history="1" r:id="rIdco-m_wpsqaueewuecxluq">
              <w:r>
                <w:rPr>
                  <w:rFonts w:ascii="Arial" w:cs="Arial" w:eastAsia="Arial" w:hAnsi="Arial"/>
                  <w:color w:val="1A56DB"/>
                  <w:sz w:val="20"/>
                  <w:szCs w:val="20"/>
                  <w:u w:val="single"/>
                </w:rPr>
                <w:t xml:space="preserve">o-mega.ai (Dec 2025)</w:t>
              </w:r>
            </w:hyperlink>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L3 tasks only: 61%; full tool suite; agent system score</w:t>
            </w:r>
          </w:p>
        </w:tc>
      </w:tr>
      <w:tr>
        <w:tc>
          <w:tcPr>
            <w:tcW w:type="dxa" w:w="14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pPr>
              <w:spacing w:after="0"/>
            </w:pPr>
            <w:r>
              <w:rPr>
                <w:rFonts w:ascii="Arial" w:cs="Arial" w:eastAsia="Arial" w:hAnsi="Arial"/>
                <w:b w:val="false"/>
                <w:bCs w:val="false"/>
                <w:color w:val="64748B"/>
                <w:sz w:val="18"/>
                <w:szCs w:val="18"/>
              </w:rPr>
              <w:t xml:space="preserve">Planning</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GAIA — Base model / minimal agent</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hyperlink w:history="1" r:id="rIdd9d3gbi3n17yrra-aggqf">
              <w:r>
                <w:rPr>
                  <w:rFonts w:ascii="Arial" w:cs="Arial" w:eastAsia="Arial" w:hAnsi="Arial"/>
                  <w:color w:val="1A56DB"/>
                  <w:sz w:val="20"/>
                  <w:szCs w:val="20"/>
                  <w:u w:val="single"/>
                </w:rPr>
                <w:t xml:space="preserve">pricepertoken.com (Mar 2026)</w:t>
              </w:r>
            </w:hyperlink>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GPT-5 Mini: 44.8% overall; base model / minimal scaffolding — not comparable to agent scores</w:t>
            </w:r>
          </w:p>
        </w:tc>
      </w:tr>
      <w:tr>
        <w:tc>
          <w:tcPr>
            <w:tcW w:type="dxa" w:w="14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pPr>
              <w:spacing w:after="0"/>
            </w:pPr>
            <w:r>
              <w:rPr>
                <w:rFonts w:ascii="Arial" w:cs="Arial" w:eastAsia="Arial" w:hAnsi="Arial"/>
                <w:b w:val="false"/>
                <w:bCs w:val="false"/>
                <w:color w:val="64748B"/>
                <w:sz w:val="18"/>
                <w:szCs w:val="18"/>
              </w:rPr>
              <w:t xml:space="preserve">Planning</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GAIA original paper (human baseline)</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hyperlink w:history="1" r:id="rIdobrtwttyoduiaisa-br9q">
              <w:r>
                <w:rPr>
                  <w:rFonts w:ascii="Arial" w:cs="Arial" w:eastAsia="Arial" w:hAnsi="Arial"/>
                  <w:color w:val="1A56DB"/>
                  <w:sz w:val="20"/>
                  <w:szCs w:val="20"/>
                  <w:u w:val="single"/>
                </w:rPr>
                <w:t xml:space="preserve">openreview.net/forum?id=fibxvahvs3</w:t>
              </w:r>
            </w:hyperlink>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Human baseline: 92% overall; published 2023</w:t>
            </w:r>
          </w:p>
        </w:tc>
      </w:tr>
    </w:tbl>
    <w:p>
      <w:pPr>
        <w:spacing w:after="80"/>
      </w:pPr>
    </w:p>
    <w:p>
      <w:pPr>
        <w:pStyle w:val="Heading2"/>
        <w:spacing w:after="100" w:before="240"/>
      </w:pPr>
      <w:r>
        <w:rPr>
          <w:rFonts w:ascii="Arial" w:cs="Arial" w:eastAsia="Arial" w:hAnsi="Arial"/>
          <w:b/>
          <w:bCs/>
          <w:color w:val="0D1B2A"/>
          <w:sz w:val="28"/>
          <w:szCs w:val="28"/>
        </w:rPr>
        <w:t xml:space="preserve">8.2  Reasoning &amp; ARC-AGI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960"/>
        <w:gridCol w:w="2600"/>
      </w:tblGrid>
      <w:tr>
        <w:trPr>
          <w:tblHeader/>
        </w:trPr>
        <w:tc>
          <w:tcPr>
            <w:tcW w:type="dxa" w:w="140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Category</w:t>
            </w:r>
          </w:p>
        </w:tc>
        <w:tc>
          <w:tcPr>
            <w:tcW w:type="dxa" w:w="240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Source</w:t>
            </w:r>
          </w:p>
        </w:tc>
        <w:tc>
          <w:tcPr>
            <w:tcW w:type="dxa" w:w="296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URL / DOI</w:t>
            </w:r>
          </w:p>
        </w:tc>
        <w:tc>
          <w:tcPr>
            <w:tcW w:type="dxa" w:w="260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Used For</w:t>
            </w:r>
          </w:p>
        </w:tc>
      </w:tr>
      <w:tr>
        <w:tc>
          <w:tcPr>
            <w:tcW w:type="dxa" w:w="14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pPr>
              <w:spacing w:after="0"/>
            </w:pPr>
            <w:r>
              <w:rPr>
                <w:rFonts w:ascii="Arial" w:cs="Arial" w:eastAsia="Arial" w:hAnsi="Arial"/>
                <w:b w:val="false"/>
                <w:bCs w:val="false"/>
                <w:color w:val="64748B"/>
                <w:sz w:val="18"/>
                <w:szCs w:val="18"/>
              </w:rPr>
              <w:t xml:space="preserve">Reasoning</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ARC Prize Official Leaderboard</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hyperlink w:history="1" r:id="rIdhr-mqj19pxd0zwggcmt4x">
              <w:r>
                <w:rPr>
                  <w:rFonts w:ascii="Arial" w:cs="Arial" w:eastAsia="Arial" w:hAnsi="Arial"/>
                  <w:color w:val="1A56DB"/>
                  <w:sz w:val="20"/>
                  <w:szCs w:val="20"/>
                  <w:u w:val="single"/>
                </w:rPr>
                <w:t xml:space="preserve">arcprize.org/leaderboard</w:t>
              </w:r>
            </w:hyperlink>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Official ARC-AGI-2 semi-private scores; cost-per-task data</w:t>
            </w:r>
          </w:p>
        </w:tc>
      </w:tr>
      <w:tr>
        <w:tc>
          <w:tcPr>
            <w:tcW w:type="dxa" w:w="14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pPr>
              <w:spacing w:after="0"/>
            </w:pPr>
            <w:r>
              <w:rPr>
                <w:rFonts w:ascii="Arial" w:cs="Arial" w:eastAsia="Arial" w:hAnsi="Arial"/>
                <w:b w:val="false"/>
                <w:bCs w:val="false"/>
                <w:color w:val="64748B"/>
                <w:sz w:val="18"/>
                <w:szCs w:val="18"/>
              </w:rPr>
              <w:t xml:space="preserve">Reasoning</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ARC Prize 2025 Results Analysis</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hyperlink w:history="1" r:id="rIdgeqhc0vrz45icdzwyn5ie">
              <w:r>
                <w:rPr>
                  <w:rFonts w:ascii="Arial" w:cs="Arial" w:eastAsia="Arial" w:hAnsi="Arial"/>
                  <w:color w:val="1A56DB"/>
                  <w:sz w:val="20"/>
                  <w:szCs w:val="20"/>
                  <w:u w:val="single"/>
                </w:rPr>
                <w:t xml:space="preserve">arcprize.org/blog/arc-prize-2025-results-analysis</w:t>
              </w:r>
            </w:hyperlink>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End-of-year; Poetiq refinement (54% at $31/task with Gemini 3 Pro)</w:t>
            </w:r>
          </w:p>
        </w:tc>
      </w:tr>
      <w:tr>
        <w:tc>
          <w:tcPr>
            <w:tcW w:type="dxa" w:w="14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pPr>
              <w:spacing w:after="0"/>
            </w:pPr>
            <w:r>
              <w:rPr>
                <w:rFonts w:ascii="Arial" w:cs="Arial" w:eastAsia="Arial" w:hAnsi="Arial"/>
                <w:b w:val="false"/>
                <w:bCs w:val="false"/>
                <w:color w:val="64748B"/>
                <w:sz w:val="18"/>
                <w:szCs w:val="18"/>
              </w:rPr>
              <w:t xml:space="preserve">Reasoning</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ARC-AGI-3 Launch Post</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hyperlink w:history="1" r:id="rIdovlc8lczrjo3kweydez2v">
              <w:r>
                <w:rPr>
                  <w:rFonts w:ascii="Arial" w:cs="Arial" w:eastAsia="Arial" w:hAnsi="Arial"/>
                  <w:color w:val="1A56DB"/>
                  <w:sz w:val="20"/>
                  <w:szCs w:val="20"/>
                  <w:u w:val="single"/>
                </w:rPr>
                <w:t xml:space="preserve">arcprize.org/blog/arc-agi-3-launch</w:t>
              </w:r>
            </w:hyperlink>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March 25, 2026 launch; competition structure; milestone prizes</w:t>
            </w:r>
          </w:p>
        </w:tc>
      </w:tr>
      <w:tr>
        <w:tc>
          <w:tcPr>
            <w:tcW w:type="dxa" w:w="14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pPr>
              <w:spacing w:after="0"/>
            </w:pPr>
            <w:r>
              <w:rPr>
                <w:rFonts w:ascii="Arial" w:cs="Arial" w:eastAsia="Arial" w:hAnsi="Arial"/>
                <w:b w:val="false"/>
                <w:bCs w:val="false"/>
                <w:color w:val="64748B"/>
                <w:sz w:val="18"/>
                <w:szCs w:val="18"/>
              </w:rPr>
              <w:t xml:space="preserve">Reasoning</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Imbue Code Evolution Blog</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hyperlink w:history="1" r:id="rId4tddvaf2ckdako3hrvlfj">
              <w:r>
                <w:rPr>
                  <w:rFonts w:ascii="Arial" w:cs="Arial" w:eastAsia="Arial" w:hAnsi="Arial"/>
                  <w:color w:val="1A56DB"/>
                  <w:sz w:val="20"/>
                  <w:szCs w:val="20"/>
                  <w:u w:val="single"/>
                </w:rPr>
                <w:t xml:space="preserve">imbue.com/research/2026-02-27-arc-agi-2-evolution/</w:t>
              </w:r>
            </w:hyperlink>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95.1% at $8.71/task on public eval set (Gemini 3.1 Pro)</w:t>
            </w:r>
          </w:p>
        </w:tc>
      </w:tr>
      <w:tr>
        <w:tc>
          <w:tcPr>
            <w:tcW w:type="dxa" w:w="14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pPr>
              <w:spacing w:after="0"/>
            </w:pPr>
            <w:r>
              <w:rPr>
                <w:rFonts w:ascii="Arial" w:cs="Arial" w:eastAsia="Arial" w:hAnsi="Arial"/>
                <w:b w:val="false"/>
                <w:bCs w:val="false"/>
                <w:color w:val="64748B"/>
                <w:sz w:val="18"/>
                <w:szCs w:val="18"/>
              </w:rPr>
              <w:t xml:space="preserve">Reasoning</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Gemini 3.1 Pro Launch (Google)</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hyperlink w:history="1" r:id="rIdd3z2v0dpj3puxf142j-1d">
              <w:r>
                <w:rPr>
                  <w:rFonts w:ascii="Arial" w:cs="Arial" w:eastAsia="Arial" w:hAnsi="Arial"/>
                  <w:color w:val="1A56DB"/>
                  <w:sz w:val="20"/>
                  <w:szCs w:val="20"/>
                  <w:u w:val="single"/>
                </w:rPr>
                <w:t xml:space="preserve">blog.google/innovation-and-ai/models-and-research/gemini-models/gemini-3-1-pro/</w:t>
              </w:r>
            </w:hyperlink>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Official verified score: 77.1% ARC-AGI-2 (not 88.1%)</w:t>
            </w:r>
          </w:p>
        </w:tc>
      </w:tr>
      <w:tr>
        <w:tc>
          <w:tcPr>
            <w:tcW w:type="dxa" w:w="14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pPr>
              <w:spacing w:after="0"/>
            </w:pPr>
            <w:r>
              <w:rPr>
                <w:rFonts w:ascii="Arial" w:cs="Arial" w:eastAsia="Arial" w:hAnsi="Arial"/>
                <w:b w:val="false"/>
                <w:bCs w:val="false"/>
                <w:color w:val="64748B"/>
                <w:sz w:val="18"/>
                <w:szCs w:val="18"/>
              </w:rPr>
              <w:t xml:space="preserve">Reasoning</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humai.blog ARC-AGI-2 analysis</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hyperlink w:history="1" r:id="rIdk-svd6-p1qexkyk_tiroz">
              <w:r>
                <w:rPr>
                  <w:rFonts w:ascii="Arial" w:cs="Arial" w:eastAsia="Arial" w:hAnsi="Arial"/>
                  <w:color w:val="1A56DB"/>
                  <w:sz w:val="20"/>
                  <w:szCs w:val="20"/>
                  <w:u w:val="single"/>
                </w:rPr>
                <w:t xml:space="preserve">humai.blog/gemini-3-1-pro-just-hit-77-on-arc-agi-2</w:t>
              </w:r>
            </w:hyperlink>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Base vs. harness distinction; Feb 2026 leaderboard context</w:t>
            </w:r>
          </w:p>
        </w:tc>
      </w:tr>
      <w:tr>
        <w:tc>
          <w:tcPr>
            <w:tcW w:type="dxa" w:w="14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pPr>
              <w:spacing w:after="0"/>
            </w:pPr>
            <w:r>
              <w:rPr>
                <w:rFonts w:ascii="Arial" w:cs="Arial" w:eastAsia="Arial" w:hAnsi="Arial"/>
                <w:b w:val="false"/>
                <w:bCs w:val="false"/>
                <w:color w:val="64748B"/>
                <w:sz w:val="18"/>
                <w:szCs w:val="18"/>
              </w:rPr>
              <w:t xml:space="preserve">Reasoning</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officechai.com ARC-AGI-3</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hyperlink w:history="1" r:id="rIdpc5mar6-nhdqukuwsk6cw">
              <w:r>
                <w:rPr>
                  <w:rFonts w:ascii="Arial" w:cs="Arial" w:eastAsia="Arial" w:hAnsi="Arial"/>
                  <w:color w:val="1A56DB"/>
                  <w:sz w:val="20"/>
                  <w:szCs w:val="20"/>
                  <w:u w:val="single"/>
                </w:rPr>
                <w:t xml:space="preserve">officechai.com/ai/arc-agi-3/</w:t>
              </w:r>
            </w:hyperlink>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ARC-AGI-3 scores; RHAE metric; training contamination in ARC-AGI-2</w:t>
            </w:r>
          </w:p>
        </w:tc>
      </w:tr>
    </w:tbl>
    <w:p>
      <w:pPr>
        <w:spacing w:after="80"/>
      </w:pPr>
    </w:p>
    <w:p>
      <w:pPr>
        <w:pStyle w:val="Heading2"/>
        <w:spacing w:after="100" w:before="240"/>
      </w:pPr>
      <w:r>
        <w:rPr>
          <w:rFonts w:ascii="Arial" w:cs="Arial" w:eastAsia="Arial" w:hAnsi="Arial"/>
          <w:b/>
          <w:bCs/>
          <w:color w:val="0D1B2A"/>
          <w:sz w:val="28"/>
          <w:szCs w:val="28"/>
        </w:rPr>
        <w:t xml:space="preserve">8.3  Labour Market &amp; Economics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960"/>
        <w:gridCol w:w="2600"/>
      </w:tblGrid>
      <w:tr>
        <w:trPr>
          <w:tblHeader/>
        </w:trPr>
        <w:tc>
          <w:tcPr>
            <w:tcW w:type="dxa" w:w="140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Category</w:t>
            </w:r>
          </w:p>
        </w:tc>
        <w:tc>
          <w:tcPr>
            <w:tcW w:type="dxa" w:w="240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Source</w:t>
            </w:r>
          </w:p>
        </w:tc>
        <w:tc>
          <w:tcPr>
            <w:tcW w:type="dxa" w:w="296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URL / DOI</w:t>
            </w:r>
          </w:p>
        </w:tc>
        <w:tc>
          <w:tcPr>
            <w:tcW w:type="dxa" w:w="260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Used For</w:t>
            </w:r>
          </w:p>
        </w:tc>
      </w:tr>
      <w:tr>
        <w:tc>
          <w:tcPr>
            <w:tcW w:type="dxa" w:w="14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pPr>
              <w:spacing w:after="0"/>
            </w:pPr>
            <w:r>
              <w:rPr>
                <w:rFonts w:ascii="Arial" w:cs="Arial" w:eastAsia="Arial" w:hAnsi="Arial"/>
                <w:b w:val="false"/>
                <w:bCs w:val="false"/>
                <w:color w:val="64748B"/>
                <w:sz w:val="18"/>
                <w:szCs w:val="18"/>
              </w:rPr>
              <w:t xml:space="preserve">Labour</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Stanford Digital Economy Lab (Brynjolfsson et al.)</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hyperlink w:history="1" r:id="rId28pymcvhfr2-pp2ox29pb">
              <w:r>
                <w:rPr>
                  <w:rFonts w:ascii="Arial" w:cs="Arial" w:eastAsia="Arial" w:hAnsi="Arial"/>
                  <w:color w:val="1A56DB"/>
                  <w:sz w:val="20"/>
                  <w:szCs w:val="20"/>
                  <w:u w:val="single"/>
                </w:rPr>
                <w:t xml:space="preserve">digitaleconomy.stanford.edu/wp-content/uploads/2025/08/Canaries_BrynjolfssonChandarChen.pdf</w:t>
              </w:r>
            </w:hyperlink>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ADP payroll data: 22–25 year-old developers –20% from peak; divergence after ChatGPT launch</w:t>
            </w:r>
          </w:p>
        </w:tc>
      </w:tr>
      <w:tr>
        <w:tc>
          <w:tcPr>
            <w:tcW w:type="dxa" w:w="14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pPr>
              <w:spacing w:after="0"/>
            </w:pPr>
            <w:r>
              <w:rPr>
                <w:rFonts w:ascii="Arial" w:cs="Arial" w:eastAsia="Arial" w:hAnsi="Arial"/>
                <w:b w:val="false"/>
                <w:bCs w:val="false"/>
                <w:color w:val="64748B"/>
                <w:sz w:val="18"/>
                <w:szCs w:val="18"/>
              </w:rPr>
              <w:t xml:space="preserve">Labour</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Harvard SSRN (Hosseini Maasoum &amp; Lichtinger)</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hyperlink w:history="1" r:id="rIdfnqffa3jpnnyrtxwoeacp">
              <w:r>
                <w:rPr>
                  <w:rFonts w:ascii="Arial" w:cs="Arial" w:eastAsia="Arial" w:hAnsi="Arial"/>
                  <w:color w:val="1A56DB"/>
                  <w:sz w:val="20"/>
                  <w:szCs w:val="20"/>
                  <w:u w:val="single"/>
                </w:rPr>
                <w:t xml:space="preserve">papers.ssrn.com/sol3/papers.cfm?abstract_id=5425555</w:t>
              </w:r>
            </w:hyperlink>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Revelio Labs: 62M workers, 285K firms; 'seniority-biased technological change'</w:t>
            </w:r>
          </w:p>
        </w:tc>
      </w:tr>
      <w:tr>
        <w:tc>
          <w:tcPr>
            <w:tcW w:type="dxa" w:w="14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pPr>
              <w:spacing w:after="0"/>
            </w:pPr>
            <w:r>
              <w:rPr>
                <w:rFonts w:ascii="Arial" w:cs="Arial" w:eastAsia="Arial" w:hAnsi="Arial"/>
                <w:b w:val="false"/>
                <w:bCs w:val="false"/>
                <w:color w:val="64748B"/>
                <w:sz w:val="18"/>
                <w:szCs w:val="18"/>
              </w:rPr>
              <w:t xml:space="preserve">Labour</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IEEE Spectrum — AI &amp; Entry Level Jobs</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hyperlink w:history="1" r:id="rIdcyy2nne227gz5n0da0s3x">
              <w:r>
                <w:rPr>
                  <w:rFonts w:ascii="Arial" w:cs="Arial" w:eastAsia="Arial" w:hAnsi="Arial"/>
                  <w:color w:val="1A56DB"/>
                  <w:sz w:val="20"/>
                  <w:szCs w:val="20"/>
                  <w:u w:val="single"/>
                </w:rPr>
                <w:t xml:space="preserve">spectrum.ieee.org/ai-effect-entry-level-jobs</w:t>
              </w:r>
            </w:hyperlink>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BLS data: –27.5% programmer employment 2023–2025</w:t>
            </w:r>
          </w:p>
        </w:tc>
      </w:tr>
      <w:tr>
        <w:tc>
          <w:tcPr>
            <w:tcW w:type="dxa" w:w="14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pPr>
              <w:spacing w:after="0"/>
            </w:pPr>
            <w:r>
              <w:rPr>
                <w:rFonts w:ascii="Arial" w:cs="Arial" w:eastAsia="Arial" w:hAnsi="Arial"/>
                <w:b w:val="false"/>
                <w:bCs w:val="false"/>
                <w:color w:val="64748B"/>
                <w:sz w:val="18"/>
                <w:szCs w:val="18"/>
              </w:rPr>
              <w:t xml:space="preserve">Labour</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ThinkPol — Junior Pipeline Broken</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hyperlink w:history="1" r:id="rIdqa5cfogy00573vccjv959">
              <w:r>
                <w:rPr>
                  <w:rFonts w:ascii="Arial" w:cs="Arial" w:eastAsia="Arial" w:hAnsi="Arial"/>
                  <w:color w:val="1A56DB"/>
                  <w:sz w:val="20"/>
                  <w:szCs w:val="20"/>
                  <w:u w:val="single"/>
                </w:rPr>
                <w:t xml:space="preserve">thinkpol.ca/2026/03/24/the-junior-developer-pipeline-is-broken</w:t>
              </w:r>
            </w:hyperlink>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AlterSquare: –67% entry-level postings 2022–2026; pipeline risk analysis</w:t>
            </w:r>
          </w:p>
        </w:tc>
      </w:tr>
      <w:tr>
        <w:tc>
          <w:tcPr>
            <w:tcW w:type="dxa" w:w="14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pPr>
              <w:spacing w:after="0"/>
            </w:pPr>
            <w:r>
              <w:rPr>
                <w:rFonts w:ascii="Arial" w:cs="Arial" w:eastAsia="Arial" w:hAnsi="Arial"/>
                <w:b w:val="false"/>
                <w:bCs w:val="false"/>
                <w:color w:val="64748B"/>
                <w:sz w:val="18"/>
                <w:szCs w:val="18"/>
              </w:rPr>
              <w:t xml:space="preserve">Labour</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ARDURA Consulting — Junior Crisis 2026</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hyperlink w:history="1" r:id="rIdl_cyv4hy-h2gux8xjpzfq">
              <w:r>
                <w:rPr>
                  <w:rFonts w:ascii="Arial" w:cs="Arial" w:eastAsia="Arial" w:hAnsi="Arial"/>
                  <w:color w:val="1A56DB"/>
                  <w:sz w:val="20"/>
                  <w:szCs w:val="20"/>
                  <w:u w:val="single"/>
                </w:rPr>
                <w:t xml:space="preserve">ardura.consulting/blog/junior-developer-crisis-2026/</w:t>
              </w:r>
            </w:hyperlink>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Junior share 15%→7%; Dice &amp; Indeed data</w:t>
            </w:r>
          </w:p>
        </w:tc>
      </w:tr>
      <w:tr>
        <w:tc>
          <w:tcPr>
            <w:tcW w:type="dxa" w:w="14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pPr>
              <w:spacing w:after="0"/>
            </w:pPr>
            <w:r>
              <w:rPr>
                <w:rFonts w:ascii="Arial" w:cs="Arial" w:eastAsia="Arial" w:hAnsi="Arial"/>
                <w:b w:val="false"/>
                <w:bCs w:val="false"/>
                <w:color w:val="64748B"/>
                <w:sz w:val="18"/>
                <w:szCs w:val="18"/>
              </w:rPr>
              <w:t xml:space="preserve">Labour</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denoise.digital — Disappearance of Junior Dev</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hyperlink w:history="1" r:id="rIdj0cpnx-mdrqrf2cjxgfkl">
              <w:r>
                <w:rPr>
                  <w:rFonts w:ascii="Arial" w:cs="Arial" w:eastAsia="Arial" w:hAnsi="Arial"/>
                  <w:color w:val="1A56DB"/>
                  <w:sz w:val="20"/>
                  <w:szCs w:val="20"/>
                  <w:u w:val="single"/>
                </w:rPr>
                <w:t xml:space="preserve">denoise.digital/the-disappearance-of-the-junior-developer/</w:t>
              </w:r>
            </w:hyperlink>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UK –46% entry-level; senior salary +40%; Klarna reversal documentation</w:t>
            </w:r>
          </w:p>
        </w:tc>
      </w:tr>
      <w:tr>
        <w:tc>
          <w:tcPr>
            <w:tcW w:type="dxa" w:w="14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pPr>
              <w:spacing w:after="0"/>
            </w:pPr>
            <w:r>
              <w:rPr>
                <w:rFonts w:ascii="Arial" w:cs="Arial" w:eastAsia="Arial" w:hAnsi="Arial"/>
                <w:b w:val="false"/>
                <w:bCs w:val="false"/>
                <w:color w:val="64748B"/>
                <w:sz w:val="18"/>
                <w:szCs w:val="18"/>
              </w:rPr>
              <w:t xml:space="preserve">CS Enrolment</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National Student Clearinghouse Research Center</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hyperlink w:history="1" r:id="rId_-g-cmi7snsa9reapcyv0">
              <w:r>
                <w:rPr>
                  <w:rFonts w:ascii="Arial" w:cs="Arial" w:eastAsia="Arial" w:hAnsi="Arial"/>
                  <w:color w:val="1A56DB"/>
                  <w:sz w:val="20"/>
                  <w:szCs w:val="20"/>
                  <w:u w:val="single"/>
                </w:rPr>
                <w:t xml:space="preserve">nscresearchcenter.org</w:t>
              </w:r>
            </w:hyperlink>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CS enrollment: –8.1% in 2025-2026 (steepest of any field); CS specifically –11.2%</w:t>
            </w:r>
          </w:p>
        </w:tc>
      </w:tr>
      <w:tr>
        <w:tc>
          <w:tcPr>
            <w:tcW w:type="dxa" w:w="14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pPr>
              <w:spacing w:after="0"/>
            </w:pPr>
            <w:r>
              <w:rPr>
                <w:rFonts w:ascii="Arial" w:cs="Arial" w:eastAsia="Arial" w:hAnsi="Arial"/>
                <w:b w:val="false"/>
                <w:bCs w:val="false"/>
                <w:color w:val="64748B"/>
                <w:sz w:val="18"/>
                <w:szCs w:val="18"/>
              </w:rPr>
              <w:t xml:space="preserve">CS Enrolment</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CRA CERP Pulse Survey (Computing Research Assoc.)</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hyperlink w:history="1" r:id="rIdaetaeuhbwu1ldxyzoudb6">
              <w:r>
                <w:rPr>
                  <w:rFonts w:ascii="Arial" w:cs="Arial" w:eastAsia="Arial" w:hAnsi="Arial"/>
                  <w:color w:val="1A56DB"/>
                  <w:sz w:val="20"/>
                  <w:szCs w:val="20"/>
                  <w:u w:val="single"/>
                </w:rPr>
                <w:t xml:space="preserve">cra.org/crn/2025/10/cerp-pulse-survey-a-snapshot-of-2025-undergraduate-computing-enrollment-patterns/</w:t>
              </w:r>
            </w:hyperlink>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133 computing departments: 62% report enrollment decline in 2025-2026; open dataset</w:t>
            </w:r>
          </w:p>
        </w:tc>
      </w:tr>
      <w:tr>
        <w:tc>
          <w:tcPr>
            <w:tcW w:type="dxa" w:w="14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pPr>
              <w:spacing w:after="0"/>
            </w:pPr>
            <w:r>
              <w:rPr>
                <w:rFonts w:ascii="Arial" w:cs="Arial" w:eastAsia="Arial" w:hAnsi="Arial"/>
                <w:b w:val="false"/>
                <w:bCs w:val="false"/>
                <w:color w:val="64748B"/>
                <w:sz w:val="18"/>
                <w:szCs w:val="18"/>
              </w:rPr>
              <w:t xml:space="preserve">CS Enrolment</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Built In — CS Degrees Losing Popularity</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hyperlink w:history="1" r:id="rIdy-h33legznr_9opz7im5k">
              <w:r>
                <w:rPr>
                  <w:rFonts w:ascii="Arial" w:cs="Arial" w:eastAsia="Arial" w:hAnsi="Arial"/>
                  <w:color w:val="1A56DB"/>
                  <w:sz w:val="20"/>
                  <w:szCs w:val="20"/>
                  <w:u w:val="single"/>
                </w:rPr>
                <w:t xml:space="preserve">builtin.com/articles/computer-science-degree-decline-ai</w:t>
              </w:r>
            </w:hyperlink>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Synthesis of NSC + CRA data; UC system figures; AI major offset</w:t>
            </w:r>
          </w:p>
        </w:tc>
      </w:tr>
      <w:tr>
        <w:tc>
          <w:tcPr>
            <w:tcW w:type="dxa" w:w="14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pPr>
              <w:spacing w:after="0"/>
            </w:pPr>
            <w:r>
              <w:rPr>
                <w:rFonts w:ascii="Arial" w:cs="Arial" w:eastAsia="Arial" w:hAnsi="Arial"/>
                <w:b w:val="false"/>
                <w:bCs w:val="false"/>
                <w:color w:val="64748B"/>
                <w:sz w:val="18"/>
                <w:szCs w:val="18"/>
              </w:rPr>
              <w:t xml:space="preserve">CS Enrolment</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TechCrunch — The Great CS Exodus</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hyperlink w:history="1" r:id="rIdbtaijswjhdf1_ej3jfzgx">
              <w:r>
                <w:rPr>
                  <w:rFonts w:ascii="Arial" w:cs="Arial" w:eastAsia="Arial" w:hAnsi="Arial"/>
                  <w:color w:val="1A56DB"/>
                  <w:sz w:val="20"/>
                  <w:szCs w:val="20"/>
                  <w:u w:val="single"/>
                </w:rPr>
                <w:t xml:space="preserve">techcrunch.com/2026/02/15/the-great-computer-science-exodus</w:t>
              </w:r>
            </w:hyperlink>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First sustained reversal since dot-com crash; faculty resistance context</w:t>
            </w:r>
          </w:p>
        </w:tc>
      </w:tr>
    </w:tbl>
    <w:p>
      <w:pPr>
        <w:spacing w:after="80"/>
      </w:pPr>
    </w:p>
    <w:p>
      <w:pPr>
        <w:pStyle w:val="Heading2"/>
        <w:spacing w:after="100" w:before="240"/>
      </w:pPr>
      <w:r>
        <w:rPr>
          <w:rFonts w:ascii="Arial" w:cs="Arial" w:eastAsia="Arial" w:hAnsi="Arial"/>
          <w:b/>
          <w:bCs/>
          <w:color w:val="0D1B2A"/>
          <w:sz w:val="28"/>
          <w:szCs w:val="28"/>
        </w:rPr>
        <w:t xml:space="preserve">8.4  Reliability &amp; Hallucination (Open-Source &amp; Academic)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960"/>
        <w:gridCol w:w="2600"/>
      </w:tblGrid>
      <w:tr>
        <w:trPr>
          <w:tblHeader/>
        </w:trPr>
        <w:tc>
          <w:tcPr>
            <w:tcW w:type="dxa" w:w="140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Category</w:t>
            </w:r>
          </w:p>
        </w:tc>
        <w:tc>
          <w:tcPr>
            <w:tcW w:type="dxa" w:w="240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Source</w:t>
            </w:r>
          </w:p>
        </w:tc>
        <w:tc>
          <w:tcPr>
            <w:tcW w:type="dxa" w:w="296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URL / DOI</w:t>
            </w:r>
          </w:p>
        </w:tc>
        <w:tc>
          <w:tcPr>
            <w:tcW w:type="dxa" w:w="260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Used For</w:t>
            </w:r>
          </w:p>
        </w:tc>
      </w:tr>
      <w:tr>
        <w:tc>
          <w:tcPr>
            <w:tcW w:type="dxa" w:w="14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pPr>
              <w:spacing w:after="0"/>
            </w:pPr>
            <w:r>
              <w:rPr>
                <w:rFonts w:ascii="Arial" w:cs="Arial" w:eastAsia="Arial" w:hAnsi="Arial"/>
                <w:b w:val="false"/>
                <w:bCs w:val="false"/>
                <w:color w:val="64748B"/>
                <w:sz w:val="18"/>
                <w:szCs w:val="18"/>
              </w:rPr>
              <w:t xml:space="preserve">Reliability</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Kalai &amp; Nachum — Why Language Models Hallucinate (OpenAI)</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hyperlink w:history="1" r:id="rIdujrl3_objan6rspfs0v4d">
              <w:r>
                <w:rPr>
                  <w:rFonts w:ascii="Arial" w:cs="Arial" w:eastAsia="Arial" w:hAnsi="Arial"/>
                  <w:color w:val="1A56DB"/>
                  <w:sz w:val="20"/>
                  <w:szCs w:val="20"/>
                  <w:u w:val="single"/>
                </w:rPr>
                <w:t xml:space="preserve">arxiv.org/abs/2509.04664</w:t>
              </w:r>
            </w:hyperlink>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Mechanistic analysis: training objectives incentivise confident guessing over calibrated abstention; arXiv:2509.04664</w:t>
            </w:r>
          </w:p>
        </w:tc>
      </w:tr>
      <w:tr>
        <w:tc>
          <w:tcPr>
            <w:tcW w:type="dxa" w:w="14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pPr>
              <w:spacing w:after="0"/>
            </w:pPr>
            <w:r>
              <w:rPr>
                <w:rFonts w:ascii="Arial" w:cs="Arial" w:eastAsia="Arial" w:hAnsi="Arial"/>
                <w:b w:val="false"/>
                <w:bCs w:val="false"/>
                <w:color w:val="64748B"/>
                <w:sz w:val="18"/>
                <w:szCs w:val="18"/>
              </w:rPr>
              <w:t xml:space="preserve">Reliability</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Vectara HHEM Leaderboard (open)</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hyperlink w:history="1" r:id="rIdtzcouqmy9nqgpjzstpsgj">
              <w:r>
                <w:rPr>
                  <w:rFonts w:ascii="Arial" w:cs="Arial" w:eastAsia="Arial" w:hAnsi="Arial"/>
                  <w:color w:val="1A56DB"/>
                  <w:sz w:val="20"/>
                  <w:szCs w:val="20"/>
                  <w:u w:val="single"/>
                </w:rPr>
                <w:t xml:space="preserve">vectara.com</w:t>
              </w:r>
            </w:hyperlink>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Longitudinal hallucination tracking since 2023; refreshed dataset Nov 2025–Feb 2026</w:t>
            </w:r>
          </w:p>
        </w:tc>
      </w:tr>
      <w:tr>
        <w:tc>
          <w:tcPr>
            <w:tcW w:type="dxa" w:w="14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pPr>
              <w:spacing w:after="0"/>
            </w:pPr>
            <w:r>
              <w:rPr>
                <w:rFonts w:ascii="Arial" w:cs="Arial" w:eastAsia="Arial" w:hAnsi="Arial"/>
                <w:b w:val="false"/>
                <w:bCs w:val="false"/>
                <w:color w:val="64748B"/>
                <w:sz w:val="18"/>
                <w:szCs w:val="18"/>
              </w:rPr>
              <w:t xml:space="preserve">Reliability</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Forrester Enterprise AI Cost Analysis 2025</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hyperlink w:history="1" r:id="rIdef-canyfcd6y2dyfnxoqn">
              <w:r>
                <w:rPr>
                  <w:rFonts w:ascii="Arial" w:cs="Arial" w:eastAsia="Arial" w:hAnsi="Arial"/>
                  <w:color w:val="1A56DB"/>
                  <w:sz w:val="20"/>
                  <w:szCs w:val="20"/>
                  <w:u w:val="single"/>
                </w:rPr>
                <w:t xml:space="preserve">Forrester Research, 2025 — PAYWALLED</w:t>
              </w:r>
            </w:hyperlink>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$14,200/employee/year hallucination mitigation cost. Note: paywalled; treat as directional, not primary</w:t>
            </w:r>
          </w:p>
        </w:tc>
      </w:tr>
      <w:tr>
        <w:tc>
          <w:tcPr>
            <w:tcW w:type="dxa" w:w="14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pPr>
              <w:spacing w:after="0"/>
            </w:pPr>
            <w:r>
              <w:rPr>
                <w:rFonts w:ascii="Arial" w:cs="Arial" w:eastAsia="Arial" w:hAnsi="Arial"/>
                <w:b w:val="false"/>
                <w:bCs w:val="false"/>
                <w:color w:val="64748B"/>
                <w:sz w:val="18"/>
                <w:szCs w:val="18"/>
              </w:rPr>
              <w:t xml:space="preserve">Reliability</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Vectara FaithJudge (arXiv)</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hyperlink w:history="1" r:id="rIdfudjc2ix-yspqzxj9hkdp">
              <w:r>
                <w:rPr>
                  <w:rFonts w:ascii="Arial" w:cs="Arial" w:eastAsia="Arial" w:hAnsi="Arial"/>
                  <w:color w:val="1A56DB"/>
                  <w:sz w:val="20"/>
                  <w:szCs w:val="20"/>
                  <w:u w:val="single"/>
                </w:rPr>
                <w:t xml:space="preserve">arxiv.org/abs/2505.04847</w:t>
              </w:r>
            </w:hyperlink>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Benchmarking LLM faithfulness in RAG with evolving leaderboards</w:t>
            </w:r>
          </w:p>
        </w:tc>
      </w:tr>
      <w:tr>
        <w:tc>
          <w:tcPr>
            <w:tcW w:type="dxa" w:w="14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pPr>
              <w:spacing w:after="0"/>
            </w:pPr>
            <w:r>
              <w:rPr>
                <w:rFonts w:ascii="Arial" w:cs="Arial" w:eastAsia="Arial" w:hAnsi="Arial"/>
                <w:b w:val="false"/>
                <w:bCs w:val="false"/>
                <w:color w:val="64748B"/>
                <w:sz w:val="18"/>
                <w:szCs w:val="18"/>
              </w:rPr>
              <w:t xml:space="preserve">Reliability</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ReDeEP — ICLR 2025 Spotlight</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hyperlink w:history="1" r:id="rIdklee1wlz8tryp1v49uubc">
              <w:r>
                <w:rPr>
                  <w:rFonts w:ascii="Arial" w:cs="Arial" w:eastAsia="Arial" w:hAnsi="Arial"/>
                  <w:color w:val="1A56DB"/>
                  <w:sz w:val="20"/>
                  <w:szCs w:val="20"/>
                  <w:u w:val="single"/>
                </w:rPr>
                <w:t xml:space="preserve">openreview.net/forum?id=ztzZDzgfrh</w:t>
              </w:r>
            </w:hyperlink>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Mechanistic cause of RAG hallucination: Knowledge FFNs vs. Copying Heads</w:t>
            </w:r>
          </w:p>
        </w:tc>
      </w:tr>
      <w:tr>
        <w:tc>
          <w:tcPr>
            <w:tcW w:type="dxa" w:w="14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pPr>
              <w:spacing w:after="0"/>
            </w:pPr>
            <w:r>
              <w:rPr>
                <w:rFonts w:ascii="Arial" w:cs="Arial" w:eastAsia="Arial" w:hAnsi="Arial"/>
                <w:b w:val="false"/>
                <w:bCs w:val="false"/>
                <w:color w:val="64748B"/>
                <w:sz w:val="18"/>
                <w:szCs w:val="18"/>
              </w:rPr>
              <w:t xml:space="preserve">Reliability</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Clinical RAG evaluation (MDPI Electronics)</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hyperlink w:history="1" r:id="rId5wik0tjaeuvvhtubsfiu5">
              <w:r>
                <w:rPr>
                  <w:rFonts w:ascii="Arial" w:cs="Arial" w:eastAsia="Arial" w:hAnsi="Arial"/>
                  <w:color w:val="1A56DB"/>
                  <w:sz w:val="20"/>
                  <w:szCs w:val="20"/>
                  <w:u w:val="single"/>
                </w:rPr>
                <w:t xml:space="preserve">mdpi.com/2079-9292/14/21/4227</w:t>
              </w:r>
            </w:hyperlink>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12 RAG variants; SELF-RAG achieves 5.8% hallucination; Oct 2025, peer-reviewed</w:t>
            </w:r>
          </w:p>
        </w:tc>
      </w:tr>
      <w:tr>
        <w:tc>
          <w:tcPr>
            <w:tcW w:type="dxa" w:w="14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pPr>
              <w:spacing w:after="0"/>
            </w:pPr>
            <w:r>
              <w:rPr>
                <w:rFonts w:ascii="Arial" w:cs="Arial" w:eastAsia="Arial" w:hAnsi="Arial"/>
                <w:b w:val="false"/>
                <w:bCs w:val="false"/>
                <w:color w:val="64748B"/>
                <w:sz w:val="18"/>
                <w:szCs w:val="18"/>
              </w:rPr>
              <w:t xml:space="preserve">Reliability</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SimpleQA Verified (arXiv / Google DeepMind)</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hyperlink w:history="1" r:id="rIdv50f6pk1djjkrk4nzviwo">
              <w:r>
                <w:rPr>
                  <w:rFonts w:ascii="Arial" w:cs="Arial" w:eastAsia="Arial" w:hAnsi="Arial"/>
                  <w:color w:val="1A56DB"/>
                  <w:sz w:val="20"/>
                  <w:szCs w:val="20"/>
                  <w:u w:val="single"/>
                </w:rPr>
                <w:t xml:space="preserve">arxiv.org/html/2509.07968v1</w:t>
              </w:r>
            </w:hyperlink>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Cleaned SimpleQA; Gemini 2.5 Pro leads at F1 55.6</w:t>
            </w:r>
          </w:p>
        </w:tc>
      </w:tr>
      <w:tr>
        <w:tc>
          <w:tcPr>
            <w:tcW w:type="dxa" w:w="14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pPr>
              <w:spacing w:after="0"/>
            </w:pPr>
            <w:r>
              <w:rPr>
                <w:rFonts w:ascii="Arial" w:cs="Arial" w:eastAsia="Arial" w:hAnsi="Arial"/>
                <w:b w:val="false"/>
                <w:bCs w:val="false"/>
                <w:color w:val="64748B"/>
                <w:sz w:val="18"/>
                <w:szCs w:val="18"/>
              </w:rPr>
              <w:t xml:space="preserve">Reliability</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PlaceboBench (Blue Guardrails)</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hyperlink w:history="1" r:id="rId_6ihfjuc888ivqlyzspst">
              <w:r>
                <w:rPr>
                  <w:rFonts w:ascii="Arial" w:cs="Arial" w:eastAsia="Arial" w:hAnsi="Arial"/>
                  <w:color w:val="1A56DB"/>
                  <w:sz w:val="20"/>
                  <w:szCs w:val="20"/>
                  <w:u w:val="single"/>
                </w:rPr>
                <w:t xml:space="preserve">Blue Guardrails, Feb 2026</w:t>
              </w:r>
            </w:hyperlink>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Domain-specific RAG: pharma/EMA questions 3–6× harder than general benchmarks</w:t>
            </w:r>
          </w:p>
        </w:tc>
      </w:tr>
      <w:tr>
        <w:tc>
          <w:tcPr>
            <w:tcW w:type="dxa" w:w="14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pPr>
              <w:spacing w:after="0"/>
            </w:pPr>
            <w:r>
              <w:rPr>
                <w:rFonts w:ascii="Arial" w:cs="Arial" w:eastAsia="Arial" w:hAnsi="Arial"/>
                <w:b w:val="false"/>
                <w:bCs w:val="false"/>
                <w:color w:val="64748B"/>
                <w:sz w:val="18"/>
                <w:szCs w:val="18"/>
              </w:rPr>
              <w:t xml:space="preserve">Reliability</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Suprmind Cross-Benchmark Reference</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hyperlink w:history="1" r:id="rIdb13el77eiffb8xcj9blu7">
              <w:r>
                <w:rPr>
                  <w:rFonts w:ascii="Arial" w:cs="Arial" w:eastAsia="Arial" w:hAnsi="Arial"/>
                  <w:color w:val="1A56DB"/>
                  <w:sz w:val="20"/>
                  <w:szCs w:val="20"/>
                  <w:u w:val="single"/>
                </w:rPr>
                <w:t xml:space="preserve">suprmind.ai/hub/ai-hallucination-rates-and-benchmarks/</w:t>
              </w:r>
            </w:hyperlink>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Multi-benchmark synthesis: Vectara, AA-Omniscience, FACTS, HalluHard</w:t>
            </w:r>
          </w:p>
        </w:tc>
      </w:tr>
      <w:tr>
        <w:tc>
          <w:tcPr>
            <w:tcW w:type="dxa" w:w="14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pPr>
              <w:spacing w:after="0"/>
            </w:pPr>
            <w:r>
              <w:rPr>
                <w:rFonts w:ascii="Arial" w:cs="Arial" w:eastAsia="Arial" w:hAnsi="Arial"/>
                <w:b w:val="false"/>
                <w:bCs w:val="false"/>
                <w:color w:val="64748B"/>
                <w:sz w:val="18"/>
                <w:szCs w:val="18"/>
              </w:rPr>
              <w:t xml:space="preserve">Reliability</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Forrester Enterprise AI Cost Analysis 2025</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hyperlink w:history="1" r:id="rIdoa3g_9fca0zdv4sxr5f7d">
              <w:r>
                <w:rPr>
                  <w:rFonts w:ascii="Arial" w:cs="Arial" w:eastAsia="Arial" w:hAnsi="Arial"/>
                  <w:color w:val="1A56DB"/>
                  <w:sz w:val="20"/>
                  <w:szCs w:val="20"/>
                  <w:u w:val="single"/>
                </w:rPr>
                <w:t xml:space="preserve">Forrester Research, 2025</w:t>
              </w:r>
            </w:hyperlink>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$14,200/employee/year hallucination mitigation cost</w:t>
            </w:r>
          </w:p>
        </w:tc>
      </w:tr>
      <w:tr>
        <w:tc>
          <w:tcPr>
            <w:tcW w:type="dxa" w:w="14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pPr>
              <w:spacing w:after="0"/>
            </w:pPr>
            <w:r>
              <w:rPr>
                <w:rFonts w:ascii="Arial" w:cs="Arial" w:eastAsia="Arial" w:hAnsi="Arial"/>
                <w:b w:val="false"/>
                <w:bCs w:val="false"/>
                <w:color w:val="64748B"/>
                <w:sz w:val="18"/>
                <w:szCs w:val="18"/>
              </w:rPr>
              <w:t xml:space="preserve">Reliability</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Deloitte Global AI Survey 2025</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hyperlink w:history="1" r:id="rId_1t9c2us-sxtegyw9mni8">
              <w:r>
                <w:rPr>
                  <w:rFonts w:ascii="Arial" w:cs="Arial" w:eastAsia="Arial" w:hAnsi="Arial"/>
                  <w:color w:val="1A56DB"/>
                  <w:sz w:val="20"/>
                  <w:szCs w:val="20"/>
                  <w:u w:val="single"/>
                </w:rPr>
                <w:t xml:space="preserve">Deloitte, 2025</w:t>
              </w:r>
            </w:hyperlink>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47% of enterprise users made major decisions on hallucinated content</w:t>
            </w:r>
          </w:p>
        </w:tc>
      </w:tr>
    </w:tbl>
    <w:p>
      <w:pPr>
        <w:spacing w:after="80"/>
      </w:pPr>
    </w:p>
    <w:p>
      <w:pPr>
        <w:pStyle w:val="Heading2"/>
        <w:spacing w:after="100" w:before="240"/>
      </w:pPr>
      <w:r>
        <w:rPr>
          <w:rFonts w:ascii="Arial" w:cs="Arial" w:eastAsia="Arial" w:hAnsi="Arial"/>
          <w:b/>
          <w:bCs/>
          <w:color w:val="0D1B2A"/>
          <w:sz w:val="28"/>
          <w:szCs w:val="28"/>
        </w:rPr>
        <w:t xml:space="preserve">8.5  Capability Radar: Memory &amp; Metacognition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960"/>
        <w:gridCol w:w="2600"/>
      </w:tblGrid>
      <w:tr>
        <w:trPr>
          <w:tblHeader/>
        </w:trPr>
        <w:tc>
          <w:tcPr>
            <w:tcW w:type="dxa" w:w="140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Category</w:t>
            </w:r>
          </w:p>
        </w:tc>
        <w:tc>
          <w:tcPr>
            <w:tcW w:type="dxa" w:w="240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Source</w:t>
            </w:r>
          </w:p>
        </w:tc>
        <w:tc>
          <w:tcPr>
            <w:tcW w:type="dxa" w:w="296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URL / DOI</w:t>
            </w:r>
          </w:p>
        </w:tc>
        <w:tc>
          <w:tcPr>
            <w:tcW w:type="dxa" w:w="260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Used For</w:t>
            </w:r>
          </w:p>
        </w:tc>
      </w:tr>
      <w:tr>
        <w:tc>
          <w:tcPr>
            <w:tcW w:type="dxa" w:w="14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pPr>
              <w:spacing w:after="0"/>
            </w:pPr>
            <w:r>
              <w:rPr>
                <w:rFonts w:ascii="Arial" w:cs="Arial" w:eastAsia="Arial" w:hAnsi="Arial"/>
                <w:b w:val="false"/>
                <w:bCs w:val="false"/>
                <w:color w:val="64748B"/>
                <w:sz w:val="18"/>
                <w:szCs w:val="18"/>
              </w:rPr>
              <w:t xml:space="preserve">Memory</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LongMemEval (Wu et al., ICLR 2025)</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hyperlink w:history="1" r:id="rIdaig8pnwm64zxcfenfwgyw">
              <w:r>
                <w:rPr>
                  <w:rFonts w:ascii="Arial" w:cs="Arial" w:eastAsia="Arial" w:hAnsi="Arial"/>
                  <w:color w:val="1A56DB"/>
                  <w:sz w:val="20"/>
                  <w:szCs w:val="20"/>
                  <w:u w:val="single"/>
                </w:rPr>
                <w:t xml:space="preserve">arxiv.org/abs/2410.10813</w:t>
              </w:r>
            </w:hyperlink>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Primary memory benchmark; 500 questions; 5 capability types; open-source</w:t>
            </w:r>
          </w:p>
        </w:tc>
      </w:tr>
      <w:tr>
        <w:tc>
          <w:tcPr>
            <w:tcW w:type="dxa" w:w="14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pPr>
              <w:spacing w:after="0"/>
            </w:pPr>
            <w:r>
              <w:rPr>
                <w:rFonts w:ascii="Arial" w:cs="Arial" w:eastAsia="Arial" w:hAnsi="Arial"/>
                <w:b w:val="false"/>
                <w:bCs w:val="false"/>
                <w:color w:val="64748B"/>
                <w:sz w:val="18"/>
                <w:szCs w:val="18"/>
              </w:rPr>
              <w:t xml:space="preserve">Memory</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LOCOMO (Maharana et al., Snap Research)</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hyperlink w:history="1" r:id="rIdgmuwd_zxafuswhdnyphv1">
              <w:r>
                <w:rPr>
                  <w:rFonts w:ascii="Arial" w:cs="Arial" w:eastAsia="Arial" w:hAnsi="Arial"/>
                  <w:color w:val="1A56DB"/>
                  <w:sz w:val="20"/>
                  <w:szCs w:val="20"/>
                  <w:u w:val="single"/>
                </w:rPr>
                <w:t xml:space="preserve">arxiv.org/abs/2402.09076</w:t>
              </w:r>
            </w:hyperlink>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Long-term conversational memory; 300-turn sessions; 35 sessions per conversation</w:t>
            </w:r>
          </w:p>
        </w:tc>
      </w:tr>
      <w:tr>
        <w:tc>
          <w:tcPr>
            <w:tcW w:type="dxa" w:w="14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pPr>
              <w:spacing w:after="0"/>
            </w:pPr>
            <w:r>
              <w:rPr>
                <w:rFonts w:ascii="Arial" w:cs="Arial" w:eastAsia="Arial" w:hAnsi="Arial"/>
                <w:b w:val="false"/>
                <w:bCs w:val="false"/>
                <w:color w:val="64748B"/>
                <w:sz w:val="18"/>
                <w:szCs w:val="18"/>
              </w:rPr>
              <w:t xml:space="preserve">Memory</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Mem0 (Chhikara et al., ECAI 2025)</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hyperlink w:history="1" r:id="rId5b6zxioi78-gs038ckq85">
              <w:r>
                <w:rPr>
                  <w:rFonts w:ascii="Arial" w:cs="Arial" w:eastAsia="Arial" w:hAnsi="Arial"/>
                  <w:color w:val="1A56DB"/>
                  <w:sz w:val="20"/>
                  <w:szCs w:val="20"/>
                  <w:u w:val="single"/>
                </w:rPr>
                <w:t xml:space="preserve">arxiv.org/abs/2504.19413</w:t>
              </w:r>
            </w:hyperlink>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LOCOMO benchmark: Mem0 66.9% vs OpenAI Memory 52.9%; 26% relative gain</w:t>
            </w:r>
          </w:p>
        </w:tc>
      </w:tr>
      <w:tr>
        <w:tc>
          <w:tcPr>
            <w:tcW w:type="dxa" w:w="14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pPr>
              <w:spacing w:after="0"/>
            </w:pPr>
            <w:r>
              <w:rPr>
                <w:rFonts w:ascii="Arial" w:cs="Arial" w:eastAsia="Arial" w:hAnsi="Arial"/>
                <w:b w:val="false"/>
                <w:bCs w:val="false"/>
                <w:color w:val="64748B"/>
                <w:sz w:val="18"/>
                <w:szCs w:val="18"/>
              </w:rPr>
              <w:t xml:space="preserve">Memory</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Vectorize Hindsight (arXiv 2512.12818)</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hyperlink w:history="1" r:id="rIdjxqkzqgprbqcmieukfauk">
              <w:r>
                <w:rPr>
                  <w:rFonts w:ascii="Arial" w:cs="Arial" w:eastAsia="Arial" w:hAnsi="Arial"/>
                  <w:color w:val="1A56DB"/>
                  <w:sz w:val="20"/>
                  <w:szCs w:val="20"/>
                  <w:u w:val="single"/>
                </w:rPr>
                <w:t xml:space="preserve">arxiv.org/abs/2512.12818</w:t>
              </w:r>
            </w:hyperlink>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First system to cross 90% on LongMemEval: 91.4%; MIT-licensed open source</w:t>
            </w:r>
          </w:p>
        </w:tc>
      </w:tr>
      <w:tr>
        <w:tc>
          <w:tcPr>
            <w:tcW w:type="dxa" w:w="14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pPr>
              <w:spacing w:after="0"/>
            </w:pPr>
            <w:r>
              <w:rPr>
                <w:rFonts w:ascii="Arial" w:cs="Arial" w:eastAsia="Arial" w:hAnsi="Arial"/>
                <w:b w:val="false"/>
                <w:bCs w:val="false"/>
                <w:color w:val="64748B"/>
                <w:sz w:val="18"/>
                <w:szCs w:val="18"/>
              </w:rPr>
              <w:t xml:space="preserve">Memory</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EmergenceMem (Emergence AI)</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hyperlink w:history="1" r:id="rIdo-ttftqgfvrakzdxmtbz0">
              <w:r>
                <w:rPr>
                  <w:rFonts w:ascii="Arial" w:cs="Arial" w:eastAsia="Arial" w:hAnsi="Arial"/>
                  <w:color w:val="1A56DB"/>
                  <w:sz w:val="20"/>
                  <w:szCs w:val="20"/>
                  <w:u w:val="single"/>
                </w:rPr>
                <w:t xml:space="preserve">emergence.ai/blog/sota-on-longmemeval-with-rag</w:t>
              </w:r>
            </w:hyperlink>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86% on LongMemEval; exceeds Oracle GPT-4o (82.4%)</w:t>
            </w:r>
          </w:p>
        </w:tc>
      </w:tr>
      <w:tr>
        <w:tc>
          <w:tcPr>
            <w:tcW w:type="dxa" w:w="14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pPr>
              <w:spacing w:after="0"/>
            </w:pPr>
            <w:r>
              <w:rPr>
                <w:rFonts w:ascii="Arial" w:cs="Arial" w:eastAsia="Arial" w:hAnsi="Arial"/>
                <w:b w:val="false"/>
                <w:bCs w:val="false"/>
                <w:color w:val="64748B"/>
                <w:sz w:val="18"/>
                <w:szCs w:val="18"/>
              </w:rPr>
              <w:t xml:space="preserve">Memory</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Mastra Observational Memory</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hyperlink w:history="1" r:id="rIdn_yoadsl72snmec_oki79">
              <w:r>
                <w:rPr>
                  <w:rFonts w:ascii="Arial" w:cs="Arial" w:eastAsia="Arial" w:hAnsi="Arial"/>
                  <w:color w:val="1A56DB"/>
                  <w:sz w:val="20"/>
                  <w:szCs w:val="20"/>
                  <w:u w:val="single"/>
                </w:rPr>
                <w:t xml:space="preserve">mastra.ai/research/observational-memory</w:t>
              </w:r>
            </w:hyperlink>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95%+ claimed on LongMemEval_s (Feb 2026); open methodology</w:t>
            </w:r>
          </w:p>
        </w:tc>
      </w:tr>
      <w:tr>
        <w:tc>
          <w:tcPr>
            <w:tcW w:type="dxa" w:w="14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pPr>
              <w:spacing w:after="0"/>
            </w:pPr>
            <w:r>
              <w:rPr>
                <w:rFonts w:ascii="Arial" w:cs="Arial" w:eastAsia="Arial" w:hAnsi="Arial"/>
                <w:b w:val="false"/>
                <w:bCs w:val="false"/>
                <w:color w:val="64748B"/>
                <w:sz w:val="18"/>
                <w:szCs w:val="18"/>
              </w:rPr>
              <w:t xml:space="preserve">Metacognition</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Steyvers et al. — Nature Machine Intelligence 2025</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hyperlink w:history="1" r:id="rIdp5hyg3oy9qrssg7lsrbvs">
              <w:r>
                <w:rPr>
                  <w:rFonts w:ascii="Arial" w:cs="Arial" w:eastAsia="Arial" w:hAnsi="Arial"/>
                  <w:color w:val="1A56DB"/>
                  <w:sz w:val="20"/>
                  <w:szCs w:val="20"/>
                  <w:u w:val="single"/>
                </w:rPr>
                <w:t xml:space="preserve">nature.com/articles/s42256-024-00976-7</w:t>
              </w:r>
            </w:hyperlink>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Calibration gap; AUC 0.778 (GPT-3.5); human confidence vs LLM discrimination</w:t>
            </w:r>
          </w:p>
        </w:tc>
      </w:tr>
      <w:tr>
        <w:tc>
          <w:tcPr>
            <w:tcW w:type="dxa" w:w="14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pPr>
              <w:spacing w:after="0"/>
            </w:pPr>
            <w:r>
              <w:rPr>
                <w:rFonts w:ascii="Arial" w:cs="Arial" w:eastAsia="Arial" w:hAnsi="Arial"/>
                <w:b w:val="false"/>
                <w:bCs w:val="false"/>
                <w:color w:val="64748B"/>
                <w:sz w:val="18"/>
                <w:szCs w:val="18"/>
              </w:rPr>
              <w:t xml:space="preserve">Metacognition</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Steyvers &amp; Peters — Current Directions in Psych Science</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hyperlink w:history="1" r:id="rIdkolajyjtrwyajqofnwbx9">
              <w:r>
                <w:rPr>
                  <w:rFonts w:ascii="Arial" w:cs="Arial" w:eastAsia="Arial" w:hAnsi="Arial"/>
                  <w:color w:val="1A56DB"/>
                  <w:sz w:val="20"/>
                  <w:szCs w:val="20"/>
                  <w:u w:val="single"/>
                </w:rPr>
                <w:t xml:space="preserve">journals.sagepub.com/doi/10.1177/09637214251391158</w:t>
              </w:r>
            </w:hyperlink>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AUC 0.83 (GPT-4.1 mini fine-tuned); metacognitive sensitivity vs calibration</w:t>
            </w:r>
          </w:p>
        </w:tc>
      </w:tr>
      <w:tr>
        <w:tc>
          <w:tcPr>
            <w:tcW w:type="dxa" w:w="14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pPr>
              <w:spacing w:after="0"/>
            </w:pPr>
            <w:r>
              <w:rPr>
                <w:rFonts w:ascii="Arial" w:cs="Arial" w:eastAsia="Arial" w:hAnsi="Arial"/>
                <w:b w:val="false"/>
                <w:bCs w:val="false"/>
                <w:color w:val="64748B"/>
                <w:sz w:val="18"/>
                <w:szCs w:val="18"/>
              </w:rPr>
              <w:t xml:space="preserve">Metacognition</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Improving Metacognition in LLMs (Steyvers, Belem &amp; Smyth)</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hyperlink w:history="1" r:id="rId8wjkj1p3ye1gvmwddshbn">
              <w:r>
                <w:rPr>
                  <w:rFonts w:ascii="Arial" w:cs="Arial" w:eastAsia="Arial" w:hAnsi="Arial"/>
                  <w:color w:val="1A56DB"/>
                  <w:sz w:val="20"/>
                  <w:szCs w:val="20"/>
                  <w:u w:val="single"/>
                </w:rPr>
                <w:t xml:space="preserve">arxiv.org/abs/2510.05126</w:t>
              </w:r>
            </w:hyperlink>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Fine-tuning for calibration; cross-domain transfer results</w:t>
            </w:r>
          </w:p>
        </w:tc>
      </w:tr>
      <w:tr>
        <w:tc>
          <w:tcPr>
            <w:tcW w:type="dxa" w:w="14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pPr>
              <w:spacing w:after="0"/>
            </w:pPr>
            <w:r>
              <w:rPr>
                <w:rFonts w:ascii="Arial" w:cs="Arial" w:eastAsia="Arial" w:hAnsi="Arial"/>
                <w:b w:val="false"/>
                <w:bCs w:val="false"/>
                <w:color w:val="64748B"/>
                <w:sz w:val="18"/>
                <w:szCs w:val="18"/>
              </w:rPr>
              <w:t xml:space="preserve">Coherence</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RULER (NVIDIA — Hsieh et al.)</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hyperlink w:history="1" r:id="rIdswmt56bslszm4yh6zehs8">
              <w:r>
                <w:rPr>
                  <w:rFonts w:ascii="Arial" w:cs="Arial" w:eastAsia="Arial" w:hAnsi="Arial"/>
                  <w:color w:val="1A56DB"/>
                  <w:sz w:val="20"/>
                  <w:szCs w:val="20"/>
                  <w:u w:val="single"/>
                </w:rPr>
                <w:t xml:space="preserve">arxiv.org/abs/2404.06654</w:t>
              </w:r>
            </w:hyperlink>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Long-context state tracking; multi-hop tracing; 'real' context size evaluation</w:t>
            </w:r>
          </w:p>
        </w:tc>
      </w:tr>
      <w:tr>
        <w:tc>
          <w:tcPr>
            <w:tcW w:type="dxa" w:w="14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pPr>
              <w:spacing w:after="0"/>
            </w:pPr>
            <w:r>
              <w:rPr>
                <w:rFonts w:ascii="Arial" w:cs="Arial" w:eastAsia="Arial" w:hAnsi="Arial"/>
                <w:b w:val="false"/>
                <w:bCs w:val="false"/>
                <w:color w:val="64748B"/>
                <w:sz w:val="18"/>
                <w:szCs w:val="18"/>
              </w:rPr>
              <w:t xml:space="preserve">Coherence</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GAM — VentureBeat Dec 2025</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hyperlink w:history="1" r:id="rIdrtdizfwoizbr06zzy5h_9">
              <w:r>
                <w:rPr>
                  <w:rFonts w:ascii="Arial" w:cs="Arial" w:eastAsia="Arial" w:hAnsi="Arial"/>
                  <w:color w:val="1A56DB"/>
                  <w:sz w:val="20"/>
                  <w:szCs w:val="20"/>
                  <w:u w:val="single"/>
                </w:rPr>
                <w:t xml:space="preserve">venturebeat.com/ai/gam-takes-aim-at-context-rot</w:t>
              </w:r>
            </w:hyperlink>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GAM &gt;90% on RULER; RAG collapse on long-range tracking documented</w:t>
            </w:r>
          </w:p>
        </w:tc>
      </w:tr>
      <w:tr>
        <w:tc>
          <w:tcPr>
            <w:tcW w:type="dxa" w:w="14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pPr>
              <w:spacing w:after="0"/>
            </w:pPr>
            <w:r>
              <w:rPr>
                <w:rFonts w:ascii="Arial" w:cs="Arial" w:eastAsia="Arial" w:hAnsi="Arial"/>
                <w:b w:val="false"/>
                <w:bCs w:val="false"/>
                <w:color w:val="64748B"/>
                <w:sz w:val="18"/>
                <w:szCs w:val="18"/>
              </w:rPr>
              <w:t xml:space="preserve">MIT GenAI Divide</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MIT Project NANDA — State of AI in Business 2025</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hyperlink w:history="1" r:id="rId4qdfs1wgwpaqyugor_spc">
              <w:r>
                <w:rPr>
                  <w:rFonts w:ascii="Arial" w:cs="Arial" w:eastAsia="Arial" w:hAnsi="Arial"/>
                  <w:color w:val="1A56DB"/>
                  <w:sz w:val="20"/>
                  <w:szCs w:val="20"/>
                  <w:u w:val="single"/>
                </w:rPr>
                <w:t xml:space="preserve">github.com/nandapapers (July 2025)</w:t>
              </w:r>
            </w:hyperlink>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95% of enterprise GenAI pilots: no measurable P&amp;L impact; 300+ initiatives reviewed</w:t>
            </w:r>
          </w:p>
        </w:tc>
      </w:tr>
    </w:tbl>
    <w:p>
      <w:pPr>
        <w:spacing w:after="80"/>
      </w:pPr>
    </w:p>
    <w:p>
      <w:pPr>
        <w:pStyle w:val="Heading2"/>
        <w:spacing w:after="100" w:before="240"/>
      </w:pPr>
      <w:r>
        <w:rPr>
          <w:rFonts w:ascii="Arial" w:cs="Arial" w:eastAsia="Arial" w:hAnsi="Arial"/>
          <w:b/>
          <w:bCs/>
          <w:color w:val="0D1B2A"/>
          <w:sz w:val="28"/>
          <w:szCs w:val="28"/>
        </w:rPr>
        <w:t xml:space="preserve">8.6  Mechanisms, Cost &amp; Open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960"/>
        <w:gridCol w:w="2600"/>
      </w:tblGrid>
      <w:tr>
        <w:trPr>
          <w:tblHeader/>
        </w:trPr>
        <w:tc>
          <w:tcPr>
            <w:tcW w:type="dxa" w:w="140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Category</w:t>
            </w:r>
          </w:p>
        </w:tc>
        <w:tc>
          <w:tcPr>
            <w:tcW w:type="dxa" w:w="240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Source</w:t>
            </w:r>
          </w:p>
        </w:tc>
        <w:tc>
          <w:tcPr>
            <w:tcW w:type="dxa" w:w="296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URL / DOI</w:t>
            </w:r>
          </w:p>
        </w:tc>
        <w:tc>
          <w:tcPr>
            <w:tcW w:type="dxa" w:w="260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Used For</w:t>
            </w:r>
          </w:p>
        </w:tc>
      </w:tr>
      <w:tr>
        <w:tc>
          <w:tcPr>
            <w:tcW w:type="dxa" w:w="14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pPr>
              <w:spacing w:after="0"/>
            </w:pPr>
            <w:r>
              <w:rPr>
                <w:rFonts w:ascii="Arial" w:cs="Arial" w:eastAsia="Arial" w:hAnsi="Arial"/>
                <w:b w:val="false"/>
                <w:bCs w:val="false"/>
                <w:color w:val="64748B"/>
                <w:sz w:val="18"/>
                <w:szCs w:val="18"/>
              </w:rPr>
              <w:t xml:space="preserve">Cost</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'Price of Progress' — Algorithmic Efficiency (arXiv)</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hyperlink w:history="1" r:id="rIdqll68qz5ip1vcmxbuy40e">
              <w:r>
                <w:rPr>
                  <w:rFonts w:ascii="Arial" w:cs="Arial" w:eastAsia="Arial" w:hAnsi="Arial"/>
                  <w:color w:val="1A56DB"/>
                  <w:sz w:val="20"/>
                  <w:szCs w:val="20"/>
                  <w:u w:val="single"/>
                </w:rPr>
                <w:t xml:space="preserve">arxiv.org/html/2511.23455v1</w:t>
              </w:r>
            </w:hyperlink>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Exponential cost decline regression; 3.1× gain 2024–2025 controlling for performance</w:t>
            </w:r>
          </w:p>
        </w:tc>
      </w:tr>
      <w:tr>
        <w:tc>
          <w:tcPr>
            <w:tcW w:type="dxa" w:w="14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pPr>
              <w:spacing w:after="0"/>
            </w:pPr>
            <w:r>
              <w:rPr>
                <w:rFonts w:ascii="Arial" w:cs="Arial" w:eastAsia="Arial" w:hAnsi="Arial"/>
                <w:b w:val="false"/>
                <w:bCs w:val="false"/>
                <w:color w:val="64748B"/>
                <w:sz w:val="18"/>
                <w:szCs w:val="18"/>
              </w:rPr>
              <w:t xml:space="preserve">Cost</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Emerging Market for Intelligence (Fradkin et al.)</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hyperlink w:history="1" r:id="rIdnlkzo-80vlpeb4anrsstr">
              <w:r>
                <w:rPr>
                  <w:rFonts w:ascii="Arial" w:cs="Arial" w:eastAsia="Arial" w:hAnsi="Arial"/>
                  <w:color w:val="1A56DB"/>
                  <w:sz w:val="20"/>
                  <w:szCs w:val="20"/>
                  <w:u w:val="single"/>
                </w:rPr>
                <w:t xml:space="preserve">andreyfradkin.com/assets/LLM_Demand_12_12_2025.pdf</w:t>
              </w:r>
            </w:hyperlink>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~1,000× price decline for 2023 SOTA models; OpenRouter token data</w:t>
            </w:r>
          </w:p>
        </w:tc>
      </w:tr>
      <w:tr>
        <w:tc>
          <w:tcPr>
            <w:tcW w:type="dxa" w:w="14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pPr>
              <w:spacing w:after="0"/>
            </w:pPr>
            <w:r>
              <w:rPr>
                <w:rFonts w:ascii="Arial" w:cs="Arial" w:eastAsia="Arial" w:hAnsi="Arial"/>
                <w:b w:val="false"/>
                <w:bCs w:val="false"/>
                <w:color w:val="64748B"/>
                <w:sz w:val="18"/>
                <w:szCs w:val="18"/>
              </w:rPr>
              <w:t xml:space="preserve">Cost</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NVIDIA Blackwell inference announcement</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hyperlink w:history="1" r:id="rIdylvwhy-vbsjzskjwcrbcj">
              <w:r>
                <w:rPr>
                  <w:rFonts w:ascii="Arial" w:cs="Arial" w:eastAsia="Arial" w:hAnsi="Arial"/>
                  <w:color w:val="1A56DB"/>
                  <w:sz w:val="20"/>
                  <w:szCs w:val="20"/>
                  <w:u w:val="single"/>
                </w:rPr>
                <w:t xml:space="preserve">blogs.nvidia.com/blog/inference-open-source-models-blackwell-reduce-cost-per-token/</w:t>
              </w:r>
            </w:hyperlink>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Up to 10× cost reduction vs. Hopper for open-source inference providers</w:t>
            </w:r>
          </w:p>
        </w:tc>
      </w:tr>
      <w:tr>
        <w:tc>
          <w:tcPr>
            <w:tcW w:type="dxa" w:w="14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pPr>
              <w:spacing w:after="0"/>
            </w:pPr>
            <w:r>
              <w:rPr>
                <w:rFonts w:ascii="Arial" w:cs="Arial" w:eastAsia="Arial" w:hAnsi="Arial"/>
                <w:b w:val="false"/>
                <w:bCs w:val="false"/>
                <w:color w:val="64748B"/>
                <w:sz w:val="18"/>
                <w:szCs w:val="18"/>
              </w:rPr>
              <w:t xml:space="preserve">Cost</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Stanford AI Index 2025 (cited NVIDIA/a16z)</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hyperlink w:history="1" r:id="rIdstmnkucbbchg89cuhs54o">
              <w:r>
                <w:rPr>
                  <w:rFonts w:ascii="Arial" w:cs="Arial" w:eastAsia="Arial" w:hAnsi="Arial"/>
                  <w:color w:val="1A56DB"/>
                  <w:sz w:val="20"/>
                  <w:szCs w:val="20"/>
                  <w:u w:val="single"/>
                </w:rPr>
                <w:t xml:space="preserve">a16z.com/llmflation-llm-inference-cost/</w:t>
              </w:r>
            </w:hyperlink>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280× cheaper to achieve GPT-3.5-level performance, Nov 2022–Oct 2024</w:t>
            </w:r>
          </w:p>
        </w:tc>
      </w:tr>
      <w:tr>
        <w:tc>
          <w:tcPr>
            <w:tcW w:type="dxa" w:w="14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pPr>
              <w:spacing w:after="0"/>
            </w:pPr>
            <w:r>
              <w:rPr>
                <w:rFonts w:ascii="Arial" w:cs="Arial" w:eastAsia="Arial" w:hAnsi="Arial"/>
                <w:b w:val="false"/>
                <w:bCs w:val="false"/>
                <w:color w:val="64748B"/>
                <w:sz w:val="18"/>
                <w:szCs w:val="18"/>
              </w:rPr>
              <w:t xml:space="preserve">Cost</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DeepSeek-V3 / R1 training cost disclosures</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hyperlink w:history="1" r:id="rIdm4xocw4hgtzf2vohtit7r">
              <w:r>
                <w:rPr>
                  <w:rFonts w:ascii="Arial" w:cs="Arial" w:eastAsia="Arial" w:hAnsi="Arial"/>
                  <w:color w:val="1A56DB"/>
                  <w:sz w:val="20"/>
                  <w:szCs w:val="20"/>
                  <w:u w:val="single"/>
                </w:rPr>
                <w:t xml:space="preserve">intuitionlabs.ai/articles/deepseek-inference-cost-explained</w:t>
              </w:r>
            </w:hyperlink>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74151"/>
                <w:sz w:val="18"/>
                <w:szCs w:val="18"/>
              </w:rPr>
              <w:t xml:space="preserve">V3: $6M training; R1: $294K GPU hours; V3 at $0.27/M tokens inference</w:t>
            </w:r>
          </w:p>
        </w:tc>
      </w:tr>
    </w:tbl>
    <w:p>
      <w:pPr>
        <w:spacing w:after="240"/>
      </w:pPr>
    </w:p>
    <w:p>
      <w:r>
        <w:br w:type="page"/>
      </w:r>
    </w:p>
    <w:p>
      <w:pPr>
        <w:pStyle w:val="Heading1"/>
        <w:spacing w:after="120" w:before="320"/>
      </w:pPr>
      <w:r>
        <w:rPr>
          <w:rFonts w:ascii="Arial" w:cs="Arial" w:eastAsia="Arial" w:hAnsi="Arial"/>
          <w:b/>
          <w:bCs/>
          <w:color w:val="0D1B2A"/>
          <w:sz w:val="36"/>
          <w:szCs w:val="36"/>
        </w:rPr>
        <w:t xml:space="preserve">9 · Summary: V1 → V2 Delta</w:t>
      </w:r>
    </w:p>
    <w:p>
      <w:pPr>
        <w:pBdr>
          <w:bottom w:val="single" w:color="1A56DB" w:sz="8" w:space="1"/>
        </w:pBdr>
        <w:spacing w:after="200"/>
      </w:pPr>
    </w:p>
    <w:p>
      <w:pPr>
        <w:spacing w:after="120" w:line="276"/>
      </w:pPr>
      <w:r>
        <w:rPr>
          <w:rFonts w:ascii="Arial" w:cs="Arial" w:eastAsia="Arial" w:hAnsi="Arial"/>
          <w:b w:val="false"/>
          <w:bCs w:val="false"/>
          <w:i w:val="false"/>
          <w:iCs w:val="false"/>
          <w:color w:val="374151"/>
          <w:sz w:val="22"/>
          <w:szCs w:val="22"/>
        </w:rPr>
        <w:t xml:space="preserve">The November 2025 report was structurally ahead of the mainstream narrative. Its Barbell Economy thesis, benchmark half-life prediction, and inference scaling thesis have all proven durable and directionally correct. Three corrections are applied in this edition. One section — the Reliability Paradox — has been substantially upgraded from 'unclear' to a full analysis of a structured capability/reliability tradeoff with a defined systems engineering path to resolution.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D1FAE5" w:val="clear"/>
            <w:tcMar>
              <w:top w:type="dxa" w:w="140"/>
              <w:left w:type="dxa" w:w="180"/>
              <w:bottom w:type="dxa" w:w="140"/>
              <w:right w:type="dxa" w:w="180"/>
            </w:tcMar>
          </w:tcPr>
          <w:p>
            <w:pPr>
              <w:spacing w:after="80"/>
            </w:pPr>
            <w:r>
              <w:rPr>
                <w:rFonts w:ascii="Arial" w:cs="Arial" w:eastAsia="Arial" w:hAnsi="Arial"/>
                <w:b/>
                <w:bCs/>
                <w:color w:val="0D1B2A"/>
                <w:sz w:val="21"/>
                <w:szCs w:val="21"/>
              </w:rPr>
              <w:t xml:space="preserve">✅  Strongest Predictions — Carried Forward</w:t>
            </w:r>
          </w:p>
          <w:p>
            <w:pPr>
              <w:spacing w:after="50"/>
            </w:pPr>
            <w:r>
              <w:rPr>
                <w:rFonts w:ascii="Arial" w:cs="Arial" w:eastAsia="Arial" w:hAnsi="Arial"/>
                <w:color w:val="374151"/>
                <w:sz w:val="19"/>
                <w:szCs w:val="19"/>
              </w:rPr>
              <w:t xml:space="preserve">• Barbell Economy thesis (revised to &gt;85% confidence)</w:t>
            </w:r>
          </w:p>
          <w:p>
            <w:pPr>
              <w:spacing w:after="50"/>
            </w:pPr>
            <w:r>
              <w:rPr>
                <w:rFonts w:ascii="Arial" w:cs="Arial" w:eastAsia="Arial" w:hAnsi="Arial"/>
                <w:color w:val="374151"/>
                <w:sz w:val="19"/>
                <w:szCs w:val="19"/>
              </w:rPr>
              <w:t xml:space="preserve">• Benchmark ~8-month half-life — ARC-AGI-3 confirms the pattern</w:t>
            </w:r>
          </w:p>
          <w:p>
            <w:pPr>
              <w:spacing w:after="50"/>
            </w:pPr>
            <w:r>
              <w:rPr>
                <w:rFonts w:ascii="Arial" w:cs="Arial" w:eastAsia="Arial" w:hAnsi="Arial"/>
                <w:color w:val="374151"/>
                <w:sz w:val="19"/>
                <w:szCs w:val="19"/>
              </w:rPr>
              <w:t xml:space="preserve">• Inference scaling / thinking tokens</w:t>
            </w:r>
          </w:p>
          <w:p>
            <w:pPr>
              <w:spacing w:after="50"/>
            </w:pPr>
            <w:r>
              <w:rPr>
                <w:rFonts w:ascii="Arial" w:cs="Arial" w:eastAsia="Arial" w:hAnsi="Arial"/>
                <w:color w:val="374151"/>
                <w:sz w:val="19"/>
                <w:szCs w:val="19"/>
              </w:rPr>
              <w:t xml:space="preserve">• Paper Interface / multimodal OCR as enterprise unlock</w:t>
            </w:r>
          </w:p>
          <w:p>
            <w:pPr>
              <w:spacing w:after="50"/>
            </w:pPr>
            <w:r>
              <w:rPr>
                <w:rFonts w:ascii="Arial" w:cs="Arial" w:eastAsia="Arial" w:hAnsi="Arial"/>
                <w:color w:val="374151"/>
                <w:sz w:val="19"/>
                <w:szCs w:val="19"/>
              </w:rPr>
              <w:t xml:space="preserve">• Junior hiring collapse direction (magnitude understated)</w:t>
            </w:r>
          </w:p>
          <w:p>
            <w:pPr>
              <w:spacing w:after="50"/>
            </w:pPr>
            <w:r>
              <w:rPr>
                <w:rFonts w:ascii="Arial" w:cs="Arial" w:eastAsia="Arial" w:hAnsi="Arial"/>
                <w:color w:val="374151"/>
                <w:sz w:val="19"/>
                <w:szCs w:val="19"/>
              </w:rPr>
              <w:t xml:space="preserve">• Reliability as the lagging constraint (now better understood)</w:t>
            </w:r>
          </w:p>
        </w:tc>
        <w:tc>
          <w:tcPr>
            <w:tcW w:type="dxa" w:w="4680"/>
            <w:tcBorders>
              <w:top w:val="none" w:color="FFFFFF" w:sz="0"/>
              <w:left w:val="none" w:color="FFFFFF" w:sz="0"/>
              <w:bottom w:val="none" w:color="FFFFFF" w:sz="0"/>
              <w:right w:val="none" w:color="FFFFFF" w:sz="0"/>
            </w:tcBorders>
            <w:shd w:fill="FEF3C7" w:val="clear"/>
            <w:tcMar>
              <w:top w:type="dxa" w:w="140"/>
              <w:left w:type="dxa" w:w="180"/>
              <w:bottom w:type="dxa" w:w="140"/>
              <w:right w:type="dxa" w:w="180"/>
            </w:tcMar>
          </w:tcPr>
          <w:p>
            <w:pPr>
              <w:spacing w:after="80"/>
            </w:pPr>
            <w:r>
              <w:rPr>
                <w:rFonts w:ascii="Arial" w:cs="Arial" w:eastAsia="Arial" w:hAnsi="Arial"/>
                <w:b/>
                <w:bCs/>
                <w:color w:val="0D1B2A"/>
                <w:sz w:val="21"/>
                <w:szCs w:val="21"/>
              </w:rPr>
              <w:t xml:space="preserve">⚠️  Corrected or Revised in V2</w:t>
            </w:r>
          </w:p>
          <w:p>
            <w:pPr>
              <w:spacing w:after="50"/>
            </w:pPr>
            <w:r>
              <w:rPr>
                <w:rFonts w:ascii="Arial" w:cs="Arial" w:eastAsia="Arial" w:hAnsi="Arial"/>
                <w:color w:val="374151"/>
                <w:sz w:val="19"/>
                <w:szCs w:val="19"/>
              </w:rPr>
              <w:t xml:space="preserve">• SWE-bench Pro scores: updated from ~23% to 45.9–56.8%</w:t>
            </w:r>
          </w:p>
          <w:p>
            <w:pPr>
              <w:spacing w:after="50"/>
            </w:pPr>
            <w:r>
              <w:rPr>
                <w:rFonts w:ascii="Arial" w:cs="Arial" w:eastAsia="Arial" w:hAnsi="Arial"/>
                <w:color w:val="374151"/>
                <w:sz w:val="19"/>
                <w:szCs w:val="19"/>
              </w:rPr>
              <w:t xml:space="preserve">• ARC-AGI-2 baseline: corrected from 88.1% to 77.1% (official)</w:t>
            </w:r>
          </w:p>
          <w:p>
            <w:pPr>
              <w:spacing w:after="50"/>
            </w:pPr>
            <w:r>
              <w:rPr>
                <w:rFonts w:ascii="Arial" w:cs="Arial" w:eastAsia="Arial" w:hAnsi="Arial"/>
                <w:color w:val="374151"/>
                <w:sz w:val="19"/>
                <w:szCs w:val="19"/>
              </w:rPr>
              <w:t xml:space="preserve">• 2027 verdict: changed from ❌ to ⏳ (timeline not elapsed)</w:t>
            </w:r>
          </w:p>
          <w:p>
            <w:pPr>
              <w:spacing w:after="50"/>
            </w:pPr>
            <w:r>
              <w:rPr>
                <w:rFonts w:ascii="Arial" w:cs="Arial" w:eastAsia="Arial" w:hAnsi="Arial"/>
                <w:color w:val="374151"/>
                <w:sz w:val="19"/>
                <w:szCs w:val="19"/>
              </w:rPr>
              <w:t xml:space="preserve">• ARC-AGI-3 estimate: revised from 'late 2027' to '30–50% by EOY 2026'</w:t>
            </w:r>
          </w:p>
          <w:p>
            <w:pPr>
              <w:spacing w:after="50"/>
            </w:pPr>
            <w:r>
              <w:rPr>
                <w:rFonts w:ascii="Arial" w:cs="Arial" w:eastAsia="Arial" w:hAnsi="Arial"/>
                <w:color w:val="374151"/>
                <w:sz w:val="19"/>
                <w:szCs w:val="19"/>
              </w:rPr>
              <w:t xml:space="preserve">• Reliability: upgraded from ⚠️ Unclear to full section</w:t>
            </w:r>
          </w:p>
          <w:p>
            <w:pPr>
              <w:spacing w:after="50"/>
            </w:pPr>
            <w:r>
              <w:rPr>
                <w:rFonts w:ascii="Arial" w:cs="Arial" w:eastAsia="Arial" w:hAnsi="Arial"/>
                <w:color w:val="374151"/>
                <w:sz w:val="19"/>
                <w:szCs w:val="19"/>
              </w:rPr>
              <w:t xml:space="preserve">• NEW: Klarna counter-pattern and correction loop</w:t>
            </w:r>
          </w:p>
          <w:p>
            <w:pPr>
              <w:spacing w:after="50"/>
            </w:pPr>
            <w:r>
              <w:rPr>
                <w:rFonts w:ascii="Arial" w:cs="Arial" w:eastAsia="Arial" w:hAnsi="Arial"/>
                <w:color w:val="374151"/>
                <w:sz w:val="19"/>
                <w:szCs w:val="19"/>
              </w:rPr>
              <w:t xml:space="preserve">• NEW: Open-source parity as fourth scaling mechanism</w:t>
            </w:r>
          </w:p>
          <w:p>
            <w:pPr>
              <w:spacing w:after="50"/>
            </w:pPr>
            <w:r>
              <w:rPr>
                <w:rFonts w:ascii="Arial" w:cs="Arial" w:eastAsia="Arial" w:hAnsi="Arial"/>
                <w:color w:val="374151"/>
                <w:sz w:val="19"/>
                <w:szCs w:val="19"/>
              </w:rPr>
              <w:t xml:space="preserve">• NEW: Systems engineering path to reliability resolution</w:t>
            </w:r>
          </w:p>
        </w:tc>
      </w:tr>
    </w:tbl>
    <w:p>
      <w:pPr>
        <w:spacing w:after="160"/>
      </w:pPr>
    </w:p>
    <w:p>
      <w:pPr>
        <w:spacing w:after="120" w:line="276"/>
      </w:pPr>
      <w:r>
        <w:rPr>
          <w:rFonts w:ascii="Arial" w:cs="Arial" w:eastAsia="Arial" w:hAnsi="Arial"/>
          <w:b w:val="false"/>
          <w:bCs w:val="false"/>
          <w:i/>
          <w:iCs/>
          <w:color w:val="64748B"/>
          <w:sz w:val="18"/>
          <w:szCs w:val="18"/>
        </w:rPr>
        <w:t xml:space="preserve">Prepared April 4, 2026 · Based on publicly available benchmark and labour market data · All sources listed in Section 8 · Verify primary sources before use</w:t>
      </w:r>
    </w:p>
    <w:p>
      <w:pPr>
        <w:spacing w:after="120" w:line="276"/>
      </w:pPr>
      <w:r>
        <w:rPr>
          <w:rFonts w:ascii="Arial" w:cs="Arial" w:eastAsia="Arial" w:hAnsi="Arial"/>
          <w:b/>
          <w:bCs/>
          <w:i w:val="false"/>
          <w:iCs w:val="false"/>
          <w:color w:val="0D1B2A"/>
          <w:sz w:val="20"/>
          <w:szCs w:val="20"/>
        </w:rPr>
        <w:t xml:space="preserve">V1 Interactive Report: </w:t>
      </w:r>
      <w:hyperlink w:history="1" r:id="rIdm694h_sosjjeyexy5wjdn">
        <w:r>
          <w:rPr>
            <w:rFonts w:ascii="Arial" w:cs="Arial" w:eastAsia="Arial" w:hAnsi="Arial"/>
            <w:color w:val="1A56DB"/>
            <w:sz w:val="20"/>
            <w:szCs w:val="20"/>
            <w:u w:val="single"/>
          </w:rPr>
          <w:t xml:space="preserve">ai-strategic-report.vercel.app</w:t>
        </w:r>
      </w:hyperlink>
      <w:r>
        <w:rPr>
          <w:rFonts w:ascii="Arial" w:cs="Arial" w:eastAsia="Arial" w:hAnsi="Arial"/>
          <w:b w:val="false"/>
          <w:bCs w:val="false"/>
          <w:i w:val="false"/>
          <w:iCs w:val="false"/>
          <w:color w:val="64748B"/>
          <w:sz w:val="20"/>
          <w:szCs w:val="20"/>
        </w:rPr>
        <w:t xml:space="preserve">   ·   Source: </w:t>
      </w:r>
      <w:hyperlink w:history="1" r:id="rIdjwod1vzafkjlnyn8xcisr">
        <w:r>
          <w:rPr>
            <w:rFonts w:ascii="Arial" w:cs="Arial" w:eastAsia="Arial" w:hAnsi="Arial"/>
            <w:color w:val="1A56DB"/>
            <w:sz w:val="20"/>
            <w:szCs w:val="20"/>
            <w:u w:val="single"/>
          </w:rPr>
          <w:t xml:space="preserve">github.com/ADevBelgie/ai-strategic-report</w:t>
        </w:r>
      </w:hyperlink>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1"/>
      </w:pBdr>
      <w:tabs>
        <w:tab w:val="right" w:pos="9026"/>
      </w:tabs>
      <w:spacing w:after="0" w:before="80"/>
    </w:pPr>
    <w:r>
      <w:rPr>
        <w:rFonts w:ascii="Arial" w:cs="Arial" w:eastAsia="Arial" w:hAnsi="Arial"/>
        <w:i/>
        <w:iCs/>
        <w:color w:val="64748B"/>
        <w:sz w:val="16"/>
        <w:szCs w:val="16"/>
      </w:rPr>
      <w:t xml:space="preserve">Strategic Advisory · Verify all claims before use</w:t>
    </w:r>
    <w:r>
      <w:rPr>
        <w:rFonts w:ascii="Arial" w:cs="Arial" w:eastAsia="Arial" w:hAnsi="Arial"/>
        <w:sz w:val="16"/>
        <w:szCs w:val="16"/>
      </w:rPr>
      <w:t xml:space="preserve">	</w:t>
    </w:r>
    <w:r>
      <w:rPr>
        <w:rFonts w:ascii="Arial" w:cs="Arial" w:eastAsia="Arial" w:hAnsi="Arial"/>
        <w:color w:val="64748B"/>
        <w:sz w:val="16"/>
        <w:szCs w:val="16"/>
      </w:rPr>
      <w:t xml:space="preserve">github.com/ADevBelgie/ai-strategic-report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DB" w:sz="6" w:space="1"/>
      </w:pBdr>
      <w:tabs>
        <w:tab w:val="right" w:pos="9026"/>
      </w:tabs>
      <w:spacing w:after="0"/>
    </w:pPr>
    <w:r>
      <w:rPr>
        <w:rFonts w:ascii="Arial" w:cs="Arial" w:eastAsia="Arial" w:hAnsi="Arial"/>
        <w:b/>
        <w:bCs/>
        <w:color w:val="0D1B2A"/>
        <w:sz w:val="18"/>
        <w:szCs w:val="18"/>
      </w:rPr>
      <w:t xml:space="preserve">THE AI REVOLUTION · V2 · April 4, 2026</w:t>
    </w:r>
    <w:r>
      <w:rPr>
        <w:rFonts w:ascii="Arial" w:cs="Arial" w:eastAsia="Arial" w:hAnsi="Arial"/>
        <w:sz w:val="18"/>
        <w:szCs w:val="18"/>
      </w:rPr>
      <w:t xml:space="preserve">	</w:t>
    </w:r>
    <w:r>
      <w:rPr>
        <w:rFonts w:ascii="Arial" w:cs="Arial" w:eastAsia="Arial" w:hAnsi="Arial"/>
        <w:color w:val="1A56DB"/>
        <w:sz w:val="18"/>
        <w:szCs w:val="18"/>
      </w:rPr>
      <w:t xml:space="preserve">ai-strategic-report.vercel.app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0D1B2A"/>
      <w:sz w:val="36"/>
      <w:szCs w:val="36"/>
    </w:rPr>
  </w:style>
  <w:style w:type="paragraph" w:styleId="Heading2">
    <w:name w:val="Heading 2"/>
    <w:basedOn w:val="Normal"/>
    <w:next w:val="Normal"/>
    <w:qFormat/>
    <w:pPr>
      <w:spacing w:after="100" w:before="240"/>
      <w:outlineLvl w:val="1"/>
    </w:pPr>
    <w:rPr>
      <w:rFonts w:ascii="Arial" w:cs="Arial" w:eastAsia="Arial" w:hAnsi="Arial"/>
      <w:b/>
      <w:bCs/>
      <w:color w:val="0D1B2A"/>
      <w:sz w:val="28"/>
      <w:szCs w:val="28"/>
    </w:rPr>
  </w:style>
  <w:style w:type="paragraph" w:styleId="Heading3">
    <w:name w:val="Heading 3"/>
    <w:basedOn w:val="Normal"/>
    <w:next w:val="Normal"/>
    <w:qFormat/>
    <w:pPr>
      <w:spacing w:after="80" w:before="18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rqemqjgqfjtqrrcp-use2" Type="http://schemas.openxmlformats.org/officeDocument/2006/relationships/hyperlink" Target="https://ai-strategic-report.vercel.app" TargetMode="External"/><Relationship Id="rIdtywbf7cecy8bsu6fbd-71" Type="http://schemas.openxmlformats.org/officeDocument/2006/relationships/hyperlink" Target="https://github.com/ADevBelgie/ai-strategic-report" TargetMode="External"/><Relationship Id="rId49mdrdr9jjr0mtjfoqa6a" Type="http://schemas.openxmlformats.org/officeDocument/2006/relationships/hyperlink" Target="https://marc0.dev/en/leaderboard" TargetMode="External"/><Relationship Id="rIdi_n2b7t0pxyjobpfbrbso" Type="http://schemas.openxmlformats.org/officeDocument/2006/relationships/hyperlink" Target="https://epoch.ai/benchmarks/swe-bench-verified/" TargetMode="External"/><Relationship Id="rIdjutzfnjgptcxsu5mjcilg" Type="http://schemas.openxmlformats.org/officeDocument/2006/relationships/hyperlink" Target="https://swe-rebench.com" TargetMode="External"/><Relationship Id="rIdvlsqtlrnpo-9o4vjvsqfh" Type="http://schemas.openxmlformats.org/officeDocument/2006/relationships/hyperlink" Target="https://labs.scale.com/leaderboard/swe_bench_pro_public" TargetMode="External"/><Relationship Id="rIdvccmmlwjk8are-hpc68i3" Type="http://schemas.openxmlformats.org/officeDocument/2006/relationships/hyperlink" Target="https://morphllm.com/swe-bench-pro" TargetMode="External"/><Relationship Id="rIdbucu6jqwvgquut3sur4xv" Type="http://schemas.openxmlformats.org/officeDocument/2006/relationships/hyperlink" Target="https://tbench.ai/leaderboard/terminal-bench/2.0" TargetMode="External"/><Relationship Id="rIdajbwtute0re2kmpwl6b0x" Type="http://schemas.openxmlformats.org/officeDocument/2006/relationships/hyperlink" Target="https://morphllm.com/terminal-bench-2" TargetMode="External"/><Relationship Id="rIdvp4ty963znbnq5qqi2my3" Type="http://schemas.openxmlformats.org/officeDocument/2006/relationships/hyperlink" Target="https://artificialanalysis.ai/evaluations/terminalbench-harda" TargetMode="External"/><Relationship Id="rIdd9zb1c5pv-lztndw2-anf" Type="http://schemas.openxmlformats.org/officeDocument/2006/relationships/hyperlink" Target="https://morphllm.com/swe-bench-pro" TargetMode="External"/><Relationship Id="rIdkxpdty8szldlaa-x_zi95" Type="http://schemas.openxmlformats.org/officeDocument/2006/relationships/hyperlink" Target="https://augmentcode.com/blog/auggie-tops-swe-bench-pro" TargetMode="External"/><Relationship Id="rIdsp9md8ga9e7-qme5odbht" Type="http://schemas.openxmlformats.org/officeDocument/2006/relationships/hyperlink" Target="https://linuxfoundation.org" TargetMode="External"/><Relationship Id="rId9gjhr0duny5l8fb__3yn5" Type="http://schemas.openxmlformats.org/officeDocument/2006/relationships/hyperlink" Target="https://hal.cs.princeton.edu" TargetMode="External"/><Relationship Id="rIdmlihhkztk37mxubpvqlke" Type="http://schemas.openxmlformats.org/officeDocument/2006/relationships/hyperlink" Target="https://awesomeagents.ai/leaderboards/agentic-ai-benchmarks-leaderboard/" TargetMode="External"/><Relationship Id="rIdco-m_wpsqaueewuecxluq" Type="http://schemas.openxmlformats.org/officeDocument/2006/relationships/hyperlink" Target="https://o-mega.ai (Dec 2025)" TargetMode="External"/><Relationship Id="rIdd9d3gbi3n17yrra-aggqf" Type="http://schemas.openxmlformats.org/officeDocument/2006/relationships/hyperlink" Target="https://pricepertoken.com (Mar 2026)" TargetMode="External"/><Relationship Id="rIdobrtwttyoduiaisa-br9q" Type="http://schemas.openxmlformats.org/officeDocument/2006/relationships/hyperlink" Target="https://openreview.net/forum?id=fibxvahvs3" TargetMode="External"/><Relationship Id="rIdhr-mqj19pxd0zwggcmt4x" Type="http://schemas.openxmlformats.org/officeDocument/2006/relationships/hyperlink" Target="https://arcprize.org/leaderboard" TargetMode="External"/><Relationship Id="rIdgeqhc0vrz45icdzwyn5ie" Type="http://schemas.openxmlformats.org/officeDocument/2006/relationships/hyperlink" Target="https://arcprize.org/blog/arc-prize-2025-results-analysis" TargetMode="External"/><Relationship Id="rIdovlc8lczrjo3kweydez2v" Type="http://schemas.openxmlformats.org/officeDocument/2006/relationships/hyperlink" Target="https://arcprize.org/blog/arc-agi-3-launch" TargetMode="External"/><Relationship Id="rId4tddvaf2ckdako3hrvlfj" Type="http://schemas.openxmlformats.org/officeDocument/2006/relationships/hyperlink" Target="https://imbue.com/research/2026-02-27-arc-agi-2-evolution/" TargetMode="External"/><Relationship Id="rIdd3z2v0dpj3puxf142j-1d" Type="http://schemas.openxmlformats.org/officeDocument/2006/relationships/hyperlink" Target="https://blog.google/innovation-and-ai/models-and-research/gemini-models/gemini-3-1-pro/" TargetMode="External"/><Relationship Id="rIdk-svd6-p1qexkyk_tiroz" Type="http://schemas.openxmlformats.org/officeDocument/2006/relationships/hyperlink" Target="https://humai.blog/gemini-3-1-pro-just-hit-77-on-arc-agi-2" TargetMode="External"/><Relationship Id="rIdpc5mar6-nhdqukuwsk6cw" Type="http://schemas.openxmlformats.org/officeDocument/2006/relationships/hyperlink" Target="https://officechai.com/ai/arc-agi-3/" TargetMode="External"/><Relationship Id="rId28pymcvhfr2-pp2ox29pb" Type="http://schemas.openxmlformats.org/officeDocument/2006/relationships/hyperlink" Target="https://digitaleconomy.stanford.edu/wp-content/uploads/2025/08/Canaries_BrynjolfssonChandarChen.pdf" TargetMode="External"/><Relationship Id="rIdfnqffa3jpnnyrtxwoeacp" Type="http://schemas.openxmlformats.org/officeDocument/2006/relationships/hyperlink" Target="https://papers.ssrn.com/sol3/papers.cfm?abstract_id=5425555" TargetMode="External"/><Relationship Id="rIdcyy2nne227gz5n0da0s3x" Type="http://schemas.openxmlformats.org/officeDocument/2006/relationships/hyperlink" Target="https://spectrum.ieee.org/ai-effect-entry-level-jobs" TargetMode="External"/><Relationship Id="rIdqa5cfogy00573vccjv959" Type="http://schemas.openxmlformats.org/officeDocument/2006/relationships/hyperlink" Target="https://thinkpol.ca/2026/03/24/the-junior-developer-pipeline-is-broken" TargetMode="External"/><Relationship Id="rIdl_cyv4hy-h2gux8xjpzfq" Type="http://schemas.openxmlformats.org/officeDocument/2006/relationships/hyperlink" Target="https://ardura.consulting/blog/junior-developer-crisis-2026/" TargetMode="External"/><Relationship Id="rIdj0cpnx-mdrqrf2cjxgfkl" Type="http://schemas.openxmlformats.org/officeDocument/2006/relationships/hyperlink" Target="https://denoise.digital/the-disappearance-of-the-junior-developer/" TargetMode="External"/><Relationship Id="rId_-g-cmi7snsa9reapcyv0" Type="http://schemas.openxmlformats.org/officeDocument/2006/relationships/hyperlink" Target="https://nscresearchcenter.org" TargetMode="External"/><Relationship Id="rIdaetaeuhbwu1ldxyzoudb6" Type="http://schemas.openxmlformats.org/officeDocument/2006/relationships/hyperlink" Target="https://cra.org/crn/2025/10/cerp-pulse-survey-a-snapshot-of-2025-undergraduate-computing-enrollment-patterns/" TargetMode="External"/><Relationship Id="rIdy-h33legznr_9opz7im5k" Type="http://schemas.openxmlformats.org/officeDocument/2006/relationships/hyperlink" Target="https://builtin.com/articles/computer-science-degree-decline-ai" TargetMode="External"/><Relationship Id="rIdbtaijswjhdf1_ej3jfzgx" Type="http://schemas.openxmlformats.org/officeDocument/2006/relationships/hyperlink" Target="https://techcrunch.com/2026/02/15/the-great-computer-science-exodus" TargetMode="External"/><Relationship Id="rIdujrl3_objan6rspfs0v4d" Type="http://schemas.openxmlformats.org/officeDocument/2006/relationships/hyperlink" Target="https://arxiv.org/abs/2509.04664" TargetMode="External"/><Relationship Id="rIdtzcouqmy9nqgpjzstpsgj" Type="http://schemas.openxmlformats.org/officeDocument/2006/relationships/hyperlink" Target="https://vectara.com" TargetMode="External"/><Relationship Id="rIdef-canyfcd6y2dyfnxoqn" Type="http://schemas.openxmlformats.org/officeDocument/2006/relationships/hyperlink" Target="https://Forrester Research, 2025 &#8212; PAYWALLED" TargetMode="External"/><Relationship Id="rIdfudjc2ix-yspqzxj9hkdp" Type="http://schemas.openxmlformats.org/officeDocument/2006/relationships/hyperlink" Target="https://arxiv.org/abs/2505.04847" TargetMode="External"/><Relationship Id="rIdklee1wlz8tryp1v49uubc" Type="http://schemas.openxmlformats.org/officeDocument/2006/relationships/hyperlink" Target="https://openreview.net/forum?id=ztzZDzgfrh" TargetMode="External"/><Relationship Id="rId5wik0tjaeuvvhtubsfiu5" Type="http://schemas.openxmlformats.org/officeDocument/2006/relationships/hyperlink" Target="https://mdpi.com/2079-9292/14/21/4227" TargetMode="External"/><Relationship Id="rIdv50f6pk1djjkrk4nzviwo" Type="http://schemas.openxmlformats.org/officeDocument/2006/relationships/hyperlink" Target="https://arxiv.org/html/2509.07968v1" TargetMode="External"/><Relationship Id="rId_6ihfjuc888ivqlyzspst" Type="http://schemas.openxmlformats.org/officeDocument/2006/relationships/hyperlink" Target="https://Blue Guardrails, Feb 2026" TargetMode="External"/><Relationship Id="rIdb13el77eiffb8xcj9blu7" Type="http://schemas.openxmlformats.org/officeDocument/2006/relationships/hyperlink" Target="https://suprmind.ai/hub/ai-hallucination-rates-and-benchmarks/" TargetMode="External"/><Relationship Id="rIdoa3g_9fca0zdv4sxr5f7d" Type="http://schemas.openxmlformats.org/officeDocument/2006/relationships/hyperlink" Target="https://Forrester Research, 2025" TargetMode="External"/><Relationship Id="rId_1t9c2us-sxtegyw9mni8" Type="http://schemas.openxmlformats.org/officeDocument/2006/relationships/hyperlink" Target="https://Deloitte, 2025" TargetMode="External"/><Relationship Id="rIdaig8pnwm64zxcfenfwgyw" Type="http://schemas.openxmlformats.org/officeDocument/2006/relationships/hyperlink" Target="https://arxiv.org/abs/2410.10813" TargetMode="External"/><Relationship Id="rIdgmuwd_zxafuswhdnyphv1" Type="http://schemas.openxmlformats.org/officeDocument/2006/relationships/hyperlink" Target="https://arxiv.org/abs/2402.09076" TargetMode="External"/><Relationship Id="rId5b6zxioi78-gs038ckq85" Type="http://schemas.openxmlformats.org/officeDocument/2006/relationships/hyperlink" Target="https://arxiv.org/abs/2504.19413" TargetMode="External"/><Relationship Id="rIdjxqkzqgprbqcmieukfauk" Type="http://schemas.openxmlformats.org/officeDocument/2006/relationships/hyperlink" Target="https://arxiv.org/abs/2512.12818" TargetMode="External"/><Relationship Id="rIdo-ttftqgfvrakzdxmtbz0" Type="http://schemas.openxmlformats.org/officeDocument/2006/relationships/hyperlink" Target="https://emergence.ai/blog/sota-on-longmemeval-with-rag" TargetMode="External"/><Relationship Id="rIdn_yoadsl72snmec_oki79" Type="http://schemas.openxmlformats.org/officeDocument/2006/relationships/hyperlink" Target="https://mastra.ai/research/observational-memory" TargetMode="External"/><Relationship Id="rIdp5hyg3oy9qrssg7lsrbvs" Type="http://schemas.openxmlformats.org/officeDocument/2006/relationships/hyperlink" Target="https://nature.com/articles/s42256-024-00976-7" TargetMode="External"/><Relationship Id="rIdkolajyjtrwyajqofnwbx9" Type="http://schemas.openxmlformats.org/officeDocument/2006/relationships/hyperlink" Target="https://journals.sagepub.com/doi/10.1177/09637214251391158" TargetMode="External"/><Relationship Id="rId8wjkj1p3ye1gvmwddshbn" Type="http://schemas.openxmlformats.org/officeDocument/2006/relationships/hyperlink" Target="https://arxiv.org/abs/2510.05126" TargetMode="External"/><Relationship Id="rIdswmt56bslszm4yh6zehs8" Type="http://schemas.openxmlformats.org/officeDocument/2006/relationships/hyperlink" Target="https://arxiv.org/abs/2404.06654" TargetMode="External"/><Relationship Id="rIdrtdizfwoizbr06zzy5h_9" Type="http://schemas.openxmlformats.org/officeDocument/2006/relationships/hyperlink" Target="https://venturebeat.com/ai/gam-takes-aim-at-context-rot" TargetMode="External"/><Relationship Id="rId4qdfs1wgwpaqyugor_spc" Type="http://schemas.openxmlformats.org/officeDocument/2006/relationships/hyperlink" Target="https://github.com/nandapapers (July 2025)" TargetMode="External"/><Relationship Id="rIdqll68qz5ip1vcmxbuy40e" Type="http://schemas.openxmlformats.org/officeDocument/2006/relationships/hyperlink" Target="https://arxiv.org/html/2511.23455v1" TargetMode="External"/><Relationship Id="rIdnlkzo-80vlpeb4anrsstr" Type="http://schemas.openxmlformats.org/officeDocument/2006/relationships/hyperlink" Target="https://andreyfradkin.com/assets/LLM_Demand_12_12_2025.pdf" TargetMode="External"/><Relationship Id="rIdylvwhy-vbsjzskjwcrbcj" Type="http://schemas.openxmlformats.org/officeDocument/2006/relationships/hyperlink" Target="https://blogs.nvidia.com/blog/inference-open-source-models-blackwell-reduce-cost-per-token/" TargetMode="External"/><Relationship Id="rIdstmnkucbbchg89cuhs54o" Type="http://schemas.openxmlformats.org/officeDocument/2006/relationships/hyperlink" Target="https://a16z.com/llmflation-llm-inference-cost/" TargetMode="External"/><Relationship Id="rIdm4xocw4hgtzf2vohtit7r" Type="http://schemas.openxmlformats.org/officeDocument/2006/relationships/hyperlink" Target="https://intuitionlabs.ai/articles/deepseek-inference-cost-explained" TargetMode="External"/><Relationship Id="rIdm694h_sosjjeyexy5wjdn" Type="http://schemas.openxmlformats.org/officeDocument/2006/relationships/hyperlink" Target="https://ai-strategic-report.vercel.app" TargetMode="External"/><Relationship Id="rIdjwod1vzafkjlnyn8xcisr" Type="http://schemas.openxmlformats.org/officeDocument/2006/relationships/hyperlink" Target="https://github.com/ADevBelgie/ai-strategic-report" TargetMode="External"/><Relationship Id="rId7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2026-04-04T14:36:07.383Z</dcterms:created>
  <dcterms:modified xsi:type="dcterms:W3CDTF">2026-04-04T14:36:07.384Z</dcterms:modified>
</cp:coreProperties>
</file>

<file path=docProps/custom.xml><?xml version="1.0" encoding="utf-8"?>
<Properties xmlns="http://schemas.openxmlformats.org/officeDocument/2006/custom-properties" xmlns:vt="http://schemas.openxmlformats.org/officeDocument/2006/docPropsVTypes"/>
</file>