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Textsequenz startet mit „There’s so much fog...“, „Wait. I can see lightning.“, „Okay... this is getting weird.“ und „Oh my God — what is happening?!“. Jeder Text erscheint einzeln mit weichem Ein- und Ausblenden.</w:t>
      </w:r>
    </w:p>
    <w:p>
      <w:pPr>
        <w:pStyle w:val="ListBullet"/>
      </w:pPr>
      <w:r>
        <w:t>Danach wird das vorhandene Gewitter.gif vollflächig bzw. passend innerhalb der Transition-Ansicht abgespielt.</w:t>
      </w:r>
    </w:p>
    <w:p>
      <w:pPr>
        <w:pStyle w:val="ListBullet"/>
      </w:pPr>
      <w:r>
        <w:t>Gegen Ende folgt als letzte Nachricht: „I don’t think we’re in 2026 anymore.“. Anschließend wechselt die Anwendung zur Quest Map.</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t>Asset-Referenz: Gewitter.gif · animiert. Die feste Transition-Dauer berücksichtigt die vollständige GIF-Animation sowie die Abschlussnachricht.</w:t>
      </w:r>
    </w:p>
    <w:p>
      <w:r>
        <w:t>Die gemeinsame Transition gilt sowohl für das reguläre Öffnen der Entrance-Tür als auch für den Developer-Hack mit Code 1337.</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