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und im goldenen Erfolgsfenster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2×3-Platzierungspuzzle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Jede Sucuk bräunt sichtbar über ungefähr sechs Sekunden von blass über golden zu dunkel.</w:t>
      </w:r>
    </w:p>
    <w:p>
      <w:pPr>
        <w:pStyle w:val="ListNumber"/>
      </w:pPr>
      <w:r>
        <w:t>Im goldenen Erfolgsfenster (ca. 65–90 %) muss geklickt werden, um die Sucuk direkt auf den Teller zu legen.</w:t>
      </w:r>
    </w:p>
    <w:p>
      <w:pPr>
        <w:pStyle w:val="ListNumber"/>
      </w:pPr>
      <w:r>
        <w:t>Zu frühe Klicks haben keinen Effekt und zählen nicht als Fehler; sie erhalten die kurze Rückmeldung KEEP BROWNING.</w:t>
      </w:r>
    </w:p>
    <w:p>
      <w:pPr>
        <w:pStyle w:val="ListNumber"/>
      </w:pPr>
      <w:r>
        <w:t>Ein Wende-Schritt und eine zweite Seite gibt es nicht.</w:t>
      </w:r>
    </w:p>
    <w:p>
      <w:pPr>
        <w:pStyle w:val="ListNumber"/>
      </w:pPr>
      <w:r>
        <w:t>Wird das Erfolgsfenster verpasst, verbrennt die Sucuk nach dem einzelnen Bräunungszyklus.</w:t>
      </w:r>
    </w:p>
    <w:p>
      <w:pPr>
        <w:pStyle w:val="ListNumber"/>
      </w:pPr>
      <w:r>
        <w:t>Die im Erfolgsfenster herausgenommene Sucuk wandert auf den Teller und zählt zum Ergebnis.</w:t>
      </w:r>
    </w:p>
    <w:p>
      <w:pPr>
        <w:pStyle w:val="ListNumber"/>
      </w:pPr>
      <w:r>
        <w:t>Der verbrannte Slot bleibt blockiert, bis er per Klick geleert wird.</w:t>
      </w:r>
    </w:p>
    <w:p>
      <w:pPr>
        <w:pStyle w:val="ListNumber"/>
      </w:pPr>
      <w:r>
        <w:t>Die Strafe ist Zeitverlust; es gibt kein Leben-System.</w:t>
      </w:r>
    </w:p>
    <w:p>
      <w:pPr>
        <w:pStyle w:val="Heading2"/>
      </w:pPr>
      <w:r>
        <w:t>6.4 Keine Störmechanik</w:t>
      </w:r>
    </w:p>
    <w:p>
      <w:pPr>
        <w:pStyle w:val="ListBullet"/>
        <w:ind w:left="283"/>
      </w:pPr>
      <w:r>
        <w:t>Quest III enthält keine Lokum-Störmechanik.</w:t>
      </w:r>
    </w:p>
    <w:p>
      <w:pPr>
        <w:pStyle w:val="ListBullet"/>
        <w:ind w:left="283"/>
      </w:pPr>
      <w:r>
        <w:t>Es gibt keine Diebstahl-Warnung oder vergleichbare Störung.</w:t>
      </w:r>
    </w:p>
    <w:p>
      <w:pPr>
        <w:pStyle w:val="ListBullet"/>
        <w:ind w:left="283"/>
      </w:pPr>
      <w:r>
        <w:t>Fertige Sucuk bleiben auf dem Teller.</w:t>
      </w:r>
    </w:p>
    <w:p>
      <w:pPr>
        <w:pStyle w:val="ListBullet"/>
        <w:ind w:left="283"/>
      </w:pPr>
      <w:r>
        <w:t>Der Tellerstand zählt vollständig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Erklärtext muss das goldene Erfolgsfenster, die folgenlosen zu frühen Klicks mit KEEP-BROWNING-Rückmeldung und die blockierte Pfanne bei verbrannter Sucuk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2×3 Drag-and-Drop-Platzierungspuzzle mit einem persönlichen Foto von Duygu und dem Nutzer.</w:t>
      </w:r>
    </w:p>
    <w:p>
      <w:pPr>
        <w:pStyle w:val="ListBullet"/>
        <w:ind w:left="283"/>
      </w:pPr>
      <w:r>
        <w:t>Das persönliche Foto wird in sechs gleich große quadratische Bildteile unterteilt.</w:t>
      </w:r>
    </w:p>
    <w:p>
      <w:pPr>
        <w:pStyle w:val="ListBullet"/>
        <w:ind w:left="283"/>
      </w:pPr>
      <w:r>
        <w:t>2 Spalten × 3 Reihen.</w:t>
      </w:r>
    </w:p>
    <w:p>
      <w:pPr>
        <w:pStyle w:val="ListBullet"/>
        <w:ind w:left="283"/>
      </w:pPr>
      <w:r>
        <w:t>Sechs Bildteile und sechs anfangs leere Board-Felder.</w:t>
      </w:r>
    </w:p>
    <w:p>
      <w:pPr>
        <w:pStyle w:val="ListBullet"/>
        <w:ind w:left="283"/>
      </w:pPr>
      <w:r>
        <w:t>Die sechs Teile liegen bei jedem Start zufällig gemischt in einer Teile-Palette.</w:t>
      </w:r>
    </w:p>
    <w:p>
      <w:pPr>
        <w:pStyle w:val="ListBullet"/>
        <w:ind w:left="283"/>
      </w:pPr>
      <w:r>
        <w:t>Desktop: Drag &amp; Drop zwischen Palette und freien Board-Feldern. Mobile: Teil antippen und anschließend ein freies Board-Feld antippen; platzierte Teile können in die Palette zurückgelegt werden.</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alle sechs Teile auf ihre exakten Sollpositionen legen.</w:t>
      </w:r>
    </w:p>
    <w:p>
      <w:pPr>
        <w:pStyle w:val="ListBullet"/>
        <w:ind w:left="283"/>
      </w:pPr>
      <w:r>
        <w:t>Das vollständige Originalfoto bleibt während des Spiels dauerhaft sichtbar: auf Desktop links neben dem Board, auf Mobile oberhalb des Boards.</w:t>
      </w:r>
    </w:p>
    <w:p>
      <w:pPr>
        <w:pStyle w:val="ListBullet"/>
        <w:ind w:left="283"/>
      </w:pPr>
      <w:r>
        <w:t>Falsche Platzierungen sind erlaubt; Erfolg tritt nur ein, wenn alle sechs Board-Felder korrekt belegt sind.</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Textsequenz startet mit „There’s so much fog...“, „Wait. I can see lightning.“, „Okay... this is getting weird.“ und „Oh my God — what is happening?!“. Jeder Text erscheint einzeln mit weichem Ein- und Ausblenden.</w:t>
      </w:r>
    </w:p>
    <w:p>
      <w:pPr>
        <w:pStyle w:val="ListBullet"/>
      </w:pPr>
      <w:r>
        <w:t>Danach wird das vorhandene Gewitter.gif vollflächig bzw. passend innerhalb der Transition-Ansicht abgespielt.</w:t>
      </w:r>
    </w:p>
    <w:p>
      <w:pPr>
        <w:pStyle w:val="ListBullet"/>
      </w:pPr>
      <w:r>
        <w:t>Gegen Ende folgt als letzte Nachricht: „I don’t think we’re in 2026 anymore.“. Anschließend wechselt die Anwendung zur Quest Map.</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t>Asset-Referenz: Gewitter.gif · animiert. Die feste Transition-Dauer berücksichtigt die vollständige GIF-Animation sowie die Abschlussnachricht.</w:t>
      </w:r>
    </w:p>
    <w:p>
      <w:r>
        <w:t>Die gemeinsame Transition gilt sowohl für das reguläre Öffnen der Entrance-Tür als auch für den Developer-Hack mit Code 1337.</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sechs quadratische Teile unterteilt und als 2×3 Drag-and-Drop-Platzierungspuzzle verwendet.</w:t>
      </w:r>
    </w:p>
    <w:p>
      <w:pPr>
        <w:pStyle w:val="ListBullet"/>
      </w:pPr>
      <w:r>
        <w:t>Das Puzzle wird nur als gelöst gewertet, wenn alle sechs Teile ihre korrekten Board-Positionen belegen.</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sectPr w:rsidR="00FC693F" w:rsidRPr="0006063C" w:rsidSect="00034616">
      <w:pgSz w:w="12240" w:h="15840"/>
      <w:pgMar w:top="1134" w:right="1247" w:bottom="1134" w:left="1247" w:header="720" w:footer="720" w:gutter="0"/>
      <w:cols w:space="720"/>
      <w:docGrid w:linePitch="360"/>
    </w:sectPr>
    <w:p>
      <w:pPr>
        <w:keepNext/>
      </w:pPr>
      <w:r>
        <w:rPr>
          <w:b/>
        </w:rPr>
        <w:t>Quest Map – aktuelle Arcade-Map</w:t>
      </w:r>
    </w:p>
    <w:p>
      <w:r>
        <w:t>Die Quest Map ist dauerhaft eine animierte 80er-Arcade-Hall auf Basis von arcade map.gif. Die sieben Arcade-Automaten I–VII sind direkte interaktive Quest-Hotspots; die zentrale Tür THE FINAL DOOR ist der Final-Door-Hotspot. Die bestehende Progressionslogik bestimmt locked, ready und completed und visualisiert diese Zustände direkt auf oder bei den Automaten. Die frühere rechte Status-Legende entfällt, die linke Hinweisbox bleibt Bestandteil der Szene. Der State duyguBirthdayQuestState_v1.completed bleibt unverändert; duyguQaUnlockAll_v1 bleibt separat und verändert completed nicht. Der 5×-Map-Hintergrund-Hack zählt weiterhin nur freie Hintergrundaktionen. Desktop und Mobile verwenden dieselbe 1536×1024-Komposition proportional skaliert, einschließlich 390px Mobile.</w:t>
      </w:r>
    </w:p>
    <w:p>
      <w:r>
        <w:rPr>
          <w:b/>
        </w:rPr>
        <w:t>Quest-Map-Fortschrittsanzeige</w:t>
      </w:r>
    </w:p>
    <w:p>
      <w:r>
        <w:t>Der Completed-Status wird über checkmark.png auf der unteren Automatenfront dargestellt. Die sieben Key-Slots über der Final Door zeigen den echten Quest-Fortschritt von 0–7; pro tatsächlich abgeschlossener Quest wird von links nach rechts ein weiterer Slot aktiviert. Es zählen nur eindeutige completed Quest-IDs 1–7. Der QA-Unlock beeinflusst diese Final-Door-Progress-Anzeige nicht.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