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11255A" w14:textId="77777777" w:rsidR="00CB4DB7" w:rsidRDefault="00CB4DB7" w:rsidP="00CB4DB7">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
    <w:p w14:paraId="47DE9D33" w14:textId="77777777" w:rsidR="00CB4DB7" w:rsidRDefault="00CB4DB7" w:rsidP="00CB4DB7">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
    <w:p w14:paraId="66CAB4A1" w14:textId="77777777" w:rsidR="00CB4DB7" w:rsidRDefault="00CB4DB7" w:rsidP="00CB4DB7">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
    <w:p w14:paraId="1B17F4A0" w14:textId="42418651" w:rsidR="00CB4DB7" w:rsidRPr="00CB4DB7" w:rsidRDefault="00CB4DB7" w:rsidP="00CB4DB7">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B4DB7">
        <w:rPr>
          <w:rFonts w:ascii="Times New Roman" w:eastAsia="Times New Roman" w:hAnsi="Times New Roman" w:cs="Times New Roman"/>
          <w:b/>
          <w:bCs/>
          <w:kern w:val="36"/>
          <w:sz w:val="48"/>
          <w:szCs w:val="48"/>
          <w:lang w:eastAsia="de-DE"/>
          <w14:ligatures w14:val="none"/>
        </w:rPr>
        <w:t>Verifizierte Fassung (Stufe 3): BGH-Beschluss II ZR 106/10 mit durchverifizierter WK-Rechtsprechung</w:t>
      </w:r>
    </w:p>
    <w:p w14:paraId="011068FC"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Verifikations- und Statusvermerk (Stufe 3):</w:t>
      </w:r>
      <w:r w:rsidRPr="00CB4DB7">
        <w:rPr>
          <w:rFonts w:ascii="Times New Roman" w:eastAsia="Times New Roman" w:hAnsi="Times New Roman" w:cs="Times New Roman"/>
          <w:kern w:val="0"/>
          <w:lang w:eastAsia="de-DE"/>
          <w14:ligatures w14:val="none"/>
        </w:rPr>
        <w:t xml:space="preserve"> Der vorgelegte Beschluss </w:t>
      </w:r>
      <w:r w:rsidRPr="00CB4DB7">
        <w:rPr>
          <w:rFonts w:ascii="Times New Roman" w:eastAsia="Times New Roman" w:hAnsi="Times New Roman" w:cs="Times New Roman"/>
          <w:b/>
          <w:bCs/>
          <w:kern w:val="0"/>
          <w:lang w:eastAsia="de-DE"/>
          <w14:ligatures w14:val="none"/>
        </w:rPr>
        <w:t>BGH, 31.05.2011 – II ZR 106/10</w:t>
      </w:r>
      <w:r w:rsidRPr="00CB4DB7">
        <w:rPr>
          <w:rFonts w:ascii="Times New Roman" w:eastAsia="Times New Roman" w:hAnsi="Times New Roman" w:cs="Times New Roman"/>
          <w:kern w:val="0"/>
          <w:lang w:eastAsia="de-DE"/>
          <w14:ligatures w14:val="none"/>
        </w:rPr>
        <w:t xml:space="preserve"> (NZG 2011, 904) ist [aktenbelegt] und in seinem amtlichen Leitsatz datenbankidentisch gegen Wolters Kluwer Online bestätigt.</w:t>
      </w:r>
      <w:r w:rsidRPr="00CB4DB7">
        <w:rPr>
          <w:rFonts w:ascii="Times New Roman" w:eastAsia="Times New Roman" w:hAnsi="Times New Roman" w:cs="Times New Roman"/>
          <w:kern w:val="0"/>
          <w:vertAlign w:val="superscript"/>
          <w:lang w:eastAsia="de-DE"/>
          <w14:ligatures w14:val="none"/>
        </w:rPr>
        <w:t>2</w:t>
      </w:r>
      <w:r w:rsidRPr="00CB4DB7">
        <w:rPr>
          <w:rFonts w:ascii="Times New Roman" w:eastAsia="Times New Roman" w:hAnsi="Times New Roman" w:cs="Times New Roman"/>
          <w:kern w:val="0"/>
          <w:lang w:eastAsia="de-DE"/>
          <w14:ligatures w14:val="none"/>
        </w:rPr>
        <w:t xml:space="preserve"> Sämtliche nachstehend tragenden Entscheidungen sind im Volltext bzw. amtlichen Leitsatz gegen Wolters Kluwer Online abgeglichen und auf </w:t>
      </w:r>
      <w:r w:rsidRPr="00CB4DB7">
        <w:rPr>
          <w:rFonts w:ascii="Times New Roman" w:eastAsia="Times New Roman" w:hAnsi="Times New Roman" w:cs="Times New Roman"/>
          <w:b/>
          <w:bCs/>
          <w:kern w:val="0"/>
          <w:lang w:eastAsia="de-DE"/>
          <w14:ligatures w14:val="none"/>
        </w:rPr>
        <w:t>[WK/Libra belegt]</w:t>
      </w:r>
      <w:r w:rsidRPr="00CB4DB7">
        <w:rPr>
          <w:rFonts w:ascii="Times New Roman" w:eastAsia="Times New Roman" w:hAnsi="Times New Roman" w:cs="Times New Roman"/>
          <w:kern w:val="0"/>
          <w:lang w:eastAsia="de-DE"/>
          <w14:ligatures w14:val="none"/>
        </w:rPr>
        <w:t xml:space="preserve"> gesetzt. Verbleibend [zu verifizieren] sind allein die Zeitschriften-Parallelfundstellen (NJW, ZIP, NZG, DStR) und die exakten BGHZ-Seitenangaben einzelner Entscheidungen, soweit nachstehend nicht datenbankseitig mitnachgewiesen.</w:t>
      </w:r>
    </w:p>
    <w:p w14:paraId="6D982A44" w14:textId="77777777" w:rsidR="00CB4DB7" w:rsidRPr="00CB4DB7" w:rsidRDefault="00B476C7" w:rsidP="00CB4DB7">
      <w:pPr>
        <w:spacing w:after="0" w:line="240" w:lineRule="auto"/>
        <w:rPr>
          <w:rFonts w:ascii="Times New Roman" w:eastAsia="Times New Roman" w:hAnsi="Times New Roman" w:cs="Times New Roman"/>
          <w:kern w:val="0"/>
          <w:lang w:eastAsia="de-DE"/>
          <w14:ligatures w14:val="none"/>
        </w:rPr>
      </w:pPr>
      <w:r w:rsidRPr="00B476C7">
        <w:rPr>
          <w:rFonts w:ascii="Times New Roman" w:eastAsia="Times New Roman" w:hAnsi="Times New Roman" w:cs="Times New Roman"/>
          <w:noProof/>
          <w:kern w:val="0"/>
          <w:lang w:eastAsia="de-DE"/>
        </w:rPr>
        <w:pict w14:anchorId="54EA08FA">
          <v:rect id="_x0000_i1033" alt="" style="width:453.6pt;height:.05pt;mso-width-percent:0;mso-height-percent:0;mso-width-percent:0;mso-height-percent:0" o:hralign="center" o:hrstd="t" o:hr="t" fillcolor="#a0a0a0" stroked="f"/>
        </w:pict>
      </w:r>
    </w:p>
    <w:p w14:paraId="019A5EAE" w14:textId="77777777" w:rsidR="00CB4DB7" w:rsidRPr="00CB4DB7" w:rsidRDefault="00CB4DB7" w:rsidP="00CB4DB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B4DB7">
        <w:rPr>
          <w:rFonts w:ascii="Times New Roman" w:eastAsia="Times New Roman" w:hAnsi="Times New Roman" w:cs="Times New Roman"/>
          <w:b/>
          <w:bCs/>
          <w:kern w:val="0"/>
          <w:sz w:val="36"/>
          <w:szCs w:val="36"/>
          <w:lang w:eastAsia="de-DE"/>
          <w14:ligatures w14:val="none"/>
        </w:rPr>
        <w:t>A. Verifikation des vorgelegten Beschlusses</w:t>
      </w:r>
    </w:p>
    <w:p w14:paraId="1A2EEE56"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Der amtliche Leitsatz ist wortidentisch bestätigt: Der Anspruch auf Erstattung des Wertes einer Gesellschaftersicherheit nach den sogenannten Rechtsprechungsregeln verjährt gemäß § 31 Abs. 5 des Gesetzes betreffend die Gesellschaften mit beschränkter Haftung (GmbHG) in fünf Jahren; auf diesen Anspruch ist § 146 der Insolvenzordnung (InsO) auch dann nicht anwendbar, wenn zugleich der Tatbestand des § 32b GmbHG a.F. erfüllt ist.</w:t>
      </w:r>
      <w:r w:rsidRPr="00CB4DB7">
        <w:rPr>
          <w:rFonts w:ascii="Times New Roman" w:eastAsia="Times New Roman" w:hAnsi="Times New Roman" w:cs="Times New Roman"/>
          <w:kern w:val="0"/>
          <w:vertAlign w:val="superscript"/>
          <w:lang w:eastAsia="de-DE"/>
          <w14:ligatures w14:val="none"/>
        </w:rPr>
        <w:t>2</w:t>
      </w:r>
      <w:r w:rsidRPr="00CB4DB7">
        <w:rPr>
          <w:rFonts w:ascii="Times New Roman" w:eastAsia="Times New Roman" w:hAnsi="Times New Roman" w:cs="Times New Roman"/>
          <w:kern w:val="0"/>
          <w:lang w:eastAsia="de-DE"/>
          <w14:ligatures w14:val="none"/>
        </w:rPr>
        <w:t xml:space="preserve"> Die tragende Begründung — Offenlassen der zweijährigen Frist nach § 146 Abs. 1 InsO a.F. zugunsten der fünfjährigen Frist nach § 31 Abs. 5 GmbHG analog — ist datenbankidentisch belegt.</w:t>
      </w:r>
      <w:r w:rsidRPr="00CB4DB7">
        <w:rPr>
          <w:rFonts w:ascii="Times New Roman" w:eastAsia="Times New Roman" w:hAnsi="Times New Roman" w:cs="Times New Roman"/>
          <w:kern w:val="0"/>
          <w:vertAlign w:val="superscript"/>
          <w:lang w:eastAsia="de-DE"/>
          <w14:ligatures w14:val="none"/>
        </w:rPr>
        <w:t>3</w:t>
      </w:r>
    </w:p>
    <w:p w14:paraId="157A2AC5"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Die Anwendbarkeit der §§ 32a, 32b GmbHG a.F. und der Rechtsprechungsregeln folgt aus der </w:t>
      </w:r>
      <w:r w:rsidRPr="00CB4DB7">
        <w:rPr>
          <w:rFonts w:ascii="Times New Roman" w:eastAsia="Times New Roman" w:hAnsi="Times New Roman" w:cs="Times New Roman"/>
          <w:b/>
          <w:bCs/>
          <w:kern w:val="0"/>
          <w:lang w:eastAsia="de-DE"/>
          <w14:ligatures w14:val="none"/>
        </w:rPr>
        <w:t>Altfall-Anknüpfung</w:t>
      </w:r>
      <w:r w:rsidRPr="00CB4DB7">
        <w:rPr>
          <w:rFonts w:ascii="Times New Roman" w:eastAsia="Times New Roman" w:hAnsi="Times New Roman" w:cs="Times New Roman"/>
          <w:kern w:val="0"/>
          <w:lang w:eastAsia="de-DE"/>
          <w14:ligatures w14:val="none"/>
        </w:rPr>
        <w:t xml:space="preserve"> (Verfahrenseröffnung vor dem 01.11.2008): Nach den Gründen des Beschlusses selbst gelten diese Regeln, weil das Insolvenzverfahren vor dem 01.11.2008 eröffnet wurde.</w:t>
      </w:r>
      <w:r w:rsidRPr="00CB4DB7">
        <w:rPr>
          <w:rFonts w:ascii="Times New Roman" w:eastAsia="Times New Roman" w:hAnsi="Times New Roman" w:cs="Times New Roman"/>
          <w:kern w:val="0"/>
          <w:vertAlign w:val="superscript"/>
          <w:lang w:eastAsia="de-DE"/>
          <w14:ligatures w14:val="none"/>
        </w:rPr>
        <w:t>4</w:t>
      </w:r>
      <w:r w:rsidRPr="00CB4DB7">
        <w:rPr>
          <w:rFonts w:ascii="Times New Roman" w:eastAsia="Times New Roman" w:hAnsi="Times New Roman" w:cs="Times New Roman"/>
          <w:kern w:val="0"/>
          <w:lang w:eastAsia="de-DE"/>
          <w14:ligatures w14:val="none"/>
        </w:rPr>
        <w:t xml:space="preserve"> Auch die im Beschluss referierte Beweislastdogmatik zur Überschuldung ist im Volltext bestätigt: Der Insolvenzverwalter trägt die Darlegungs- und Beweislast für den objektiven Tatbestand einer haftungsbegründenden Insolvenzverschleppung und damit auch für die Überschuldung.</w:t>
      </w:r>
      <w:r w:rsidRPr="00CB4DB7">
        <w:rPr>
          <w:rFonts w:ascii="Times New Roman" w:eastAsia="Times New Roman" w:hAnsi="Times New Roman" w:cs="Times New Roman"/>
          <w:kern w:val="0"/>
          <w:vertAlign w:val="superscript"/>
          <w:lang w:eastAsia="de-DE"/>
          <w14:ligatures w14:val="none"/>
        </w:rPr>
        <w:t>5</w:t>
      </w:r>
    </w:p>
    <w:p w14:paraId="0AC77829" w14:textId="77777777" w:rsidR="00CB4DB7" w:rsidRPr="00CB4DB7" w:rsidRDefault="00B476C7" w:rsidP="00CB4DB7">
      <w:pPr>
        <w:spacing w:after="0" w:line="240" w:lineRule="auto"/>
        <w:rPr>
          <w:rFonts w:ascii="Times New Roman" w:eastAsia="Times New Roman" w:hAnsi="Times New Roman" w:cs="Times New Roman"/>
          <w:kern w:val="0"/>
          <w:lang w:eastAsia="de-DE"/>
          <w14:ligatures w14:val="none"/>
        </w:rPr>
      </w:pPr>
      <w:r w:rsidRPr="00B476C7">
        <w:rPr>
          <w:rFonts w:ascii="Times New Roman" w:eastAsia="Times New Roman" w:hAnsi="Times New Roman" w:cs="Times New Roman"/>
          <w:noProof/>
          <w:kern w:val="0"/>
          <w:lang w:eastAsia="de-DE"/>
        </w:rPr>
        <w:pict w14:anchorId="3BD55075">
          <v:rect id="_x0000_i1032" alt="" style="width:453.6pt;height:.05pt;mso-width-percent:0;mso-height-percent:0;mso-width-percent:0;mso-height-percent:0" o:hralign="center" o:hrstd="t" o:hr="t" fillcolor="#a0a0a0" stroked="f"/>
        </w:pict>
      </w:r>
    </w:p>
    <w:p w14:paraId="21597BA6" w14:textId="77777777" w:rsidR="00CB4DB7" w:rsidRPr="00CB4DB7" w:rsidRDefault="00CB4DB7" w:rsidP="00CB4DB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B4DB7">
        <w:rPr>
          <w:rFonts w:ascii="Times New Roman" w:eastAsia="Times New Roman" w:hAnsi="Times New Roman" w:cs="Times New Roman"/>
          <w:b/>
          <w:bCs/>
          <w:kern w:val="0"/>
          <w:sz w:val="36"/>
          <w:szCs w:val="36"/>
          <w:lang w:eastAsia="de-DE"/>
          <w14:ligatures w14:val="none"/>
        </w:rPr>
        <w:t>B. Die Rechtsprechungsregeln zur eigenkapitalersetzenden Gesellschaftersicherheit</w:t>
      </w:r>
    </w:p>
    <w:p w14:paraId="00E95AB9" w14:textId="77777777" w:rsidR="00CB4DB7" w:rsidRPr="00CB4DB7" w:rsidRDefault="00CB4DB7" w:rsidP="00CB4DB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B4DB7">
        <w:rPr>
          <w:rFonts w:ascii="Times New Roman" w:eastAsia="Times New Roman" w:hAnsi="Times New Roman" w:cs="Times New Roman"/>
          <w:b/>
          <w:bCs/>
          <w:kern w:val="0"/>
          <w:sz w:val="27"/>
          <w:szCs w:val="27"/>
          <w:lang w:eastAsia="de-DE"/>
          <w14:ligatures w14:val="none"/>
        </w:rPr>
        <w:lastRenderedPageBreak/>
        <w:t>I. Bestätigung der dogmatischen Grundformel</w:t>
      </w:r>
    </w:p>
    <w:p w14:paraId="134A2B03"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Die im Beschluss übernommene Definitionsformel ist breit abgesichert. Nach </w:t>
      </w:r>
      <w:r w:rsidRPr="00CB4DB7">
        <w:rPr>
          <w:rFonts w:ascii="Times New Roman" w:eastAsia="Times New Roman" w:hAnsi="Times New Roman" w:cs="Times New Roman"/>
          <w:b/>
          <w:bCs/>
          <w:kern w:val="0"/>
          <w:lang w:eastAsia="de-DE"/>
          <w14:ligatures w14:val="none"/>
        </w:rPr>
        <w:t>BGH, Urteil vom 11.01.2011 – II ZR 157/09</w:t>
      </w:r>
      <w:r w:rsidRPr="00CB4DB7">
        <w:rPr>
          <w:rFonts w:ascii="Times New Roman" w:eastAsia="Times New Roman" w:hAnsi="Times New Roman" w:cs="Times New Roman"/>
          <w:kern w:val="0"/>
          <w:lang w:eastAsia="de-DE"/>
          <w14:ligatures w14:val="none"/>
        </w:rPr>
        <w:t xml:space="preserve"> wirkt eine Gesellschafterleistung eigenkapitalersetzend, wenn der Gesellschafter eine außerhalb der Krise gewährte Leistung bei Eintritt der Krise weder entzieht, obwohl dies möglich ist, noch die Gesellschaft in die Liquidation führt; eine Krise liegt vor, wenn die Gesellschaft insolvenzreif oder kreditunwürdig ist.</w:t>
      </w:r>
      <w:r w:rsidRPr="00CB4DB7">
        <w:rPr>
          <w:rFonts w:ascii="Times New Roman" w:eastAsia="Times New Roman" w:hAnsi="Times New Roman" w:cs="Times New Roman"/>
          <w:kern w:val="0"/>
          <w:vertAlign w:val="superscript"/>
          <w:lang w:eastAsia="de-DE"/>
          <w14:ligatures w14:val="none"/>
        </w:rPr>
        <w:t>6</w:t>
      </w:r>
      <w:r w:rsidRPr="00CB4DB7">
        <w:rPr>
          <w:rFonts w:ascii="Times New Roman" w:eastAsia="Times New Roman" w:hAnsi="Times New Roman" w:cs="Times New Roman"/>
          <w:kern w:val="0"/>
          <w:lang w:eastAsia="de-DE"/>
          <w14:ligatures w14:val="none"/>
        </w:rPr>
        <w:t xml:space="preserve"> Die Formel geht zurück auf </w:t>
      </w:r>
      <w:r w:rsidRPr="00CB4DB7">
        <w:rPr>
          <w:rFonts w:ascii="Times New Roman" w:eastAsia="Times New Roman" w:hAnsi="Times New Roman" w:cs="Times New Roman"/>
          <w:b/>
          <w:bCs/>
          <w:kern w:val="0"/>
          <w:lang w:eastAsia="de-DE"/>
          <w14:ligatures w14:val="none"/>
        </w:rPr>
        <w:t>BGH, Urteil vom 26.01.2009 – II ZR 260/07</w:t>
      </w:r>
      <w:r w:rsidRPr="00CB4DB7">
        <w:rPr>
          <w:rFonts w:ascii="Times New Roman" w:eastAsia="Times New Roman" w:hAnsi="Times New Roman" w:cs="Times New Roman"/>
          <w:kern w:val="0"/>
          <w:lang w:eastAsia="de-DE"/>
          <w14:ligatures w14:val="none"/>
        </w:rPr>
        <w:t xml:space="preserve"> (BGHZ 179, 249 – „Gut Buschow") </w:t>
      </w:r>
      <w:r w:rsidRPr="00CB4DB7">
        <w:rPr>
          <w:rFonts w:ascii="Times New Roman" w:eastAsia="Times New Roman" w:hAnsi="Times New Roman" w:cs="Times New Roman"/>
          <w:kern w:val="0"/>
          <w:vertAlign w:val="superscript"/>
          <w:lang w:eastAsia="de-DE"/>
          <w14:ligatures w14:val="none"/>
        </w:rPr>
        <w:t>7</w:t>
      </w:r>
      <w:r w:rsidRPr="00CB4DB7">
        <w:rPr>
          <w:rFonts w:ascii="Times New Roman" w:eastAsia="Times New Roman" w:hAnsi="Times New Roman" w:cs="Times New Roman"/>
          <w:kern w:val="0"/>
          <w:lang w:eastAsia="de-DE"/>
          <w14:ligatures w14:val="none"/>
        </w:rPr>
        <w:t xml:space="preserve"> und </w:t>
      </w:r>
      <w:r w:rsidRPr="00CB4DB7">
        <w:rPr>
          <w:rFonts w:ascii="Times New Roman" w:eastAsia="Times New Roman" w:hAnsi="Times New Roman" w:cs="Times New Roman"/>
          <w:b/>
          <w:bCs/>
          <w:kern w:val="0"/>
          <w:lang w:eastAsia="de-DE"/>
          <w14:ligatures w14:val="none"/>
        </w:rPr>
        <w:t>BGH, Urteil vom 24.03.1980 – II ZR 213/77</w:t>
      </w:r>
      <w:r w:rsidRPr="00CB4DB7">
        <w:rPr>
          <w:rFonts w:ascii="Times New Roman" w:eastAsia="Times New Roman" w:hAnsi="Times New Roman" w:cs="Times New Roman"/>
          <w:kern w:val="0"/>
          <w:lang w:eastAsia="de-DE"/>
          <w14:ligatures w14:val="none"/>
        </w:rPr>
        <w:t xml:space="preserve"> (BGHZ 76, 326, 330);</w:t>
      </w:r>
      <w:r w:rsidRPr="00CB4DB7">
        <w:rPr>
          <w:rFonts w:ascii="Times New Roman" w:eastAsia="Times New Roman" w:hAnsi="Times New Roman" w:cs="Times New Roman"/>
          <w:kern w:val="0"/>
          <w:vertAlign w:val="superscript"/>
          <w:lang w:eastAsia="de-DE"/>
          <w14:ligatures w14:val="none"/>
        </w:rPr>
        <w:t>8</w:t>
      </w:r>
      <w:r w:rsidRPr="00CB4DB7">
        <w:rPr>
          <w:rFonts w:ascii="Times New Roman" w:eastAsia="Times New Roman" w:hAnsi="Times New Roman" w:cs="Times New Roman"/>
          <w:kern w:val="0"/>
          <w:lang w:eastAsia="de-DE"/>
          <w14:ligatures w14:val="none"/>
        </w:rPr>
        <w:t xml:space="preserve"> bestätigt durch </w:t>
      </w:r>
      <w:r w:rsidRPr="00CB4DB7">
        <w:rPr>
          <w:rFonts w:ascii="Times New Roman" w:eastAsia="Times New Roman" w:hAnsi="Times New Roman" w:cs="Times New Roman"/>
          <w:b/>
          <w:bCs/>
          <w:kern w:val="0"/>
          <w:lang w:eastAsia="de-DE"/>
          <w14:ligatures w14:val="none"/>
        </w:rPr>
        <w:t>BGH, Urteil vom 23.01.2018 – II ZR 246/15</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9</w:t>
      </w:r>
    </w:p>
    <w:p w14:paraId="1F60CBFA"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Erläuterung (ergänzt):</w:t>
      </w:r>
      <w:r w:rsidRPr="00CB4DB7">
        <w:rPr>
          <w:rFonts w:ascii="Times New Roman" w:eastAsia="Times New Roman" w:hAnsi="Times New Roman" w:cs="Times New Roman"/>
          <w:kern w:val="0"/>
          <w:lang w:eastAsia="de-DE"/>
          <w14:ligatures w14:val="none"/>
        </w:rPr>
        <w:t xml:space="preserve"> Die Umqualifizierung führt nicht zu einem </w:t>
      </w:r>
      <w:r w:rsidRPr="00CB4DB7">
        <w:rPr>
          <w:rFonts w:ascii="Times New Roman" w:eastAsia="Times New Roman" w:hAnsi="Times New Roman" w:cs="Times New Roman"/>
          <w:b/>
          <w:bCs/>
          <w:kern w:val="0"/>
          <w:lang w:eastAsia="de-DE"/>
          <w14:ligatures w14:val="none"/>
        </w:rPr>
        <w:t>Zuführungsgebot</w:t>
      </w:r>
      <w:r w:rsidRPr="00CB4DB7">
        <w:rPr>
          <w:rFonts w:ascii="Times New Roman" w:eastAsia="Times New Roman" w:hAnsi="Times New Roman" w:cs="Times New Roman"/>
          <w:kern w:val="0"/>
          <w:lang w:eastAsia="de-DE"/>
          <w14:ligatures w14:val="none"/>
        </w:rPr>
        <w:t xml:space="preserve">, sondern nur zu einem </w:t>
      </w:r>
      <w:r w:rsidRPr="00CB4DB7">
        <w:rPr>
          <w:rFonts w:ascii="Times New Roman" w:eastAsia="Times New Roman" w:hAnsi="Times New Roman" w:cs="Times New Roman"/>
          <w:b/>
          <w:bCs/>
          <w:kern w:val="0"/>
          <w:lang w:eastAsia="de-DE"/>
          <w14:ligatures w14:val="none"/>
        </w:rPr>
        <w:t>Abzugsverbot</w:t>
      </w:r>
      <w:r w:rsidRPr="00CB4DB7">
        <w:rPr>
          <w:rFonts w:ascii="Times New Roman" w:eastAsia="Times New Roman" w:hAnsi="Times New Roman" w:cs="Times New Roman"/>
          <w:kern w:val="0"/>
          <w:lang w:eastAsia="de-DE"/>
          <w14:ligatures w14:val="none"/>
        </w:rPr>
        <w:t xml:space="preserve"> für die Dauer der Krise — der Gesellschafter darf das zusätzliche, aus der Fortführungsentscheidung folgende Risiko nicht auf die Gläubiger abwälzen (</w:t>
      </w:r>
      <w:r w:rsidRPr="00CB4DB7">
        <w:rPr>
          <w:rFonts w:ascii="Times New Roman" w:eastAsia="Times New Roman" w:hAnsi="Times New Roman" w:cs="Times New Roman"/>
          <w:b/>
          <w:bCs/>
          <w:kern w:val="0"/>
          <w:lang w:eastAsia="de-DE"/>
          <w14:ligatures w14:val="none"/>
        </w:rPr>
        <w:t>BGH, Urteil vom 11.07.1994 – II ZR 162/92</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10</w:t>
      </w:r>
      <w:r w:rsidRPr="00CB4DB7">
        <w:rPr>
          <w:rFonts w:ascii="Times New Roman" w:eastAsia="Times New Roman" w:hAnsi="Times New Roman" w:cs="Times New Roman"/>
          <w:kern w:val="0"/>
          <w:lang w:eastAsia="de-DE"/>
          <w14:ligatures w14:val="none"/>
        </w:rPr>
        <w:t xml:space="preserve"> Damit ist auch die Reichweite des Erstattungsanspruchs begrenzt: Erfüllt der Gesellschafter seine Einstandsverpflichtung in Höhe der Sicherheit, darf die eigenkapitalersetzende Leistung nicht durch einen zusätzlichen Erstattungsanspruch erhöht werden (</w:t>
      </w:r>
      <w:r w:rsidRPr="00CB4DB7">
        <w:rPr>
          <w:rFonts w:ascii="Times New Roman" w:eastAsia="Times New Roman" w:hAnsi="Times New Roman" w:cs="Times New Roman"/>
          <w:b/>
          <w:bCs/>
          <w:kern w:val="0"/>
          <w:lang w:eastAsia="de-DE"/>
          <w14:ligatures w14:val="none"/>
        </w:rPr>
        <w:t>BGH, Urteil vom 04.07.2013 – IX ZR 229/12</w:t>
      </w:r>
      <w:r w:rsidRPr="00CB4DB7">
        <w:rPr>
          <w:rFonts w:ascii="Times New Roman" w:eastAsia="Times New Roman" w:hAnsi="Times New Roman" w:cs="Times New Roman"/>
          <w:kern w:val="0"/>
          <w:lang w:eastAsia="de-DE"/>
          <w14:ligatures w14:val="none"/>
        </w:rPr>
        <w:t>, referiert in LG Hamburg 326 O 41/21).</w:t>
      </w:r>
      <w:r w:rsidRPr="00CB4DB7">
        <w:rPr>
          <w:rFonts w:ascii="Times New Roman" w:eastAsia="Times New Roman" w:hAnsi="Times New Roman" w:cs="Times New Roman"/>
          <w:kern w:val="0"/>
          <w:vertAlign w:val="superscript"/>
          <w:lang w:eastAsia="de-DE"/>
          <w14:ligatures w14:val="none"/>
        </w:rPr>
        <w:t>11</w:t>
      </w:r>
    </w:p>
    <w:p w14:paraId="5F7DEDCA" w14:textId="77777777" w:rsidR="00CB4DB7" w:rsidRPr="00CB4DB7" w:rsidRDefault="00CB4DB7" w:rsidP="00CB4DB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B4DB7">
        <w:rPr>
          <w:rFonts w:ascii="Times New Roman" w:eastAsia="Times New Roman" w:hAnsi="Times New Roman" w:cs="Times New Roman"/>
          <w:b/>
          <w:bCs/>
          <w:kern w:val="0"/>
          <w:sz w:val="27"/>
          <w:szCs w:val="27"/>
          <w:lang w:eastAsia="de-DE"/>
          <w14:ligatures w14:val="none"/>
        </w:rPr>
        <w:t>II. Stehenlassen und Umqualifizierung</w:t>
      </w:r>
    </w:p>
    <w:p w14:paraId="7D185285"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Die Grundkonstellation des „Stehenlassens" ist verifiziert: Eine der Gesellschaft zu gesunden Zeiten gewährte Leistung wird nach Eintritt der Krise auch dann zu Eigenkapitalersatz, wenn der Gesellschafter von der ihm objektiv gegebenen Möglichkeit, die Gesellschaft unter Entzug der Mittel zu liquidieren, keinen Gebrauch macht — </w:t>
      </w:r>
      <w:r w:rsidRPr="00CB4DB7">
        <w:rPr>
          <w:rFonts w:ascii="Times New Roman" w:eastAsia="Times New Roman" w:hAnsi="Times New Roman" w:cs="Times New Roman"/>
          <w:b/>
          <w:bCs/>
          <w:kern w:val="0"/>
          <w:lang w:eastAsia="de-DE"/>
          <w14:ligatures w14:val="none"/>
        </w:rPr>
        <w:t>BGH, Urteil vom 21.02.1994 – II ZR 60/93</w:t>
      </w:r>
      <w:r w:rsidRPr="00CB4DB7">
        <w:rPr>
          <w:rFonts w:ascii="Times New Roman" w:eastAsia="Times New Roman" w:hAnsi="Times New Roman" w:cs="Times New Roman"/>
          <w:kern w:val="0"/>
          <w:lang w:eastAsia="de-DE"/>
          <w14:ligatures w14:val="none"/>
        </w:rPr>
        <w:t xml:space="preserve"> (BGHZ 125, 141).</w:t>
      </w:r>
      <w:r w:rsidRPr="00CB4DB7">
        <w:rPr>
          <w:rFonts w:ascii="Times New Roman" w:eastAsia="Times New Roman" w:hAnsi="Times New Roman" w:cs="Times New Roman"/>
          <w:kern w:val="0"/>
          <w:vertAlign w:val="superscript"/>
          <w:lang w:eastAsia="de-DE"/>
          <w14:ligatures w14:val="none"/>
        </w:rPr>
        <w:t>12</w:t>
      </w:r>
      <w:r w:rsidRPr="00CB4DB7">
        <w:rPr>
          <w:rFonts w:ascii="Times New Roman" w:eastAsia="Times New Roman" w:hAnsi="Times New Roman" w:cs="Times New Roman"/>
          <w:kern w:val="0"/>
          <w:lang w:eastAsia="de-DE"/>
          <w14:ligatures w14:val="none"/>
        </w:rPr>
        <w:t xml:space="preserve"> Bereits </w:t>
      </w:r>
      <w:r w:rsidRPr="00CB4DB7">
        <w:rPr>
          <w:rFonts w:ascii="Times New Roman" w:eastAsia="Times New Roman" w:hAnsi="Times New Roman" w:cs="Times New Roman"/>
          <w:b/>
          <w:bCs/>
          <w:kern w:val="0"/>
          <w:lang w:eastAsia="de-DE"/>
          <w14:ligatures w14:val="none"/>
        </w:rPr>
        <w:t>BGH, Urteil vom 12.01.1987 – II ZR 63/86</w:t>
      </w:r>
      <w:r w:rsidRPr="00CB4DB7">
        <w:rPr>
          <w:rFonts w:ascii="Times New Roman" w:eastAsia="Times New Roman" w:hAnsi="Times New Roman" w:cs="Times New Roman"/>
          <w:kern w:val="0"/>
          <w:lang w:eastAsia="de-DE"/>
          <w14:ligatures w14:val="none"/>
        </w:rPr>
        <w:t xml:space="preserve"> hatte anerkannt, dass eine kapitalersetzende Leistung auch durch das Belassen einer vor der Krise gestellten </w:t>
      </w:r>
      <w:r w:rsidRPr="00CB4DB7">
        <w:rPr>
          <w:rFonts w:ascii="Times New Roman" w:eastAsia="Times New Roman" w:hAnsi="Times New Roman" w:cs="Times New Roman"/>
          <w:b/>
          <w:bCs/>
          <w:kern w:val="0"/>
          <w:lang w:eastAsia="de-DE"/>
          <w14:ligatures w14:val="none"/>
        </w:rPr>
        <w:t>Sicherheit</w:t>
      </w:r>
      <w:r w:rsidRPr="00CB4DB7">
        <w:rPr>
          <w:rFonts w:ascii="Times New Roman" w:eastAsia="Times New Roman" w:hAnsi="Times New Roman" w:cs="Times New Roman"/>
          <w:kern w:val="0"/>
          <w:lang w:eastAsia="de-DE"/>
          <w14:ligatures w14:val="none"/>
        </w:rPr>
        <w:t xml:space="preserve"> gewährt werden kann, obwohl der Gesellschafter sie — ggf. nach Kündigung — zurückfordern könnte.</w:t>
      </w:r>
      <w:r w:rsidRPr="00CB4DB7">
        <w:rPr>
          <w:rFonts w:ascii="Times New Roman" w:eastAsia="Times New Roman" w:hAnsi="Times New Roman" w:cs="Times New Roman"/>
          <w:kern w:val="0"/>
          <w:vertAlign w:val="superscript"/>
          <w:lang w:eastAsia="de-DE"/>
          <w14:ligatures w14:val="none"/>
        </w:rPr>
        <w:t>13</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b/>
          <w:bCs/>
          <w:kern w:val="0"/>
          <w:lang w:eastAsia="de-DE"/>
          <w14:ligatures w14:val="none"/>
        </w:rPr>
        <w:t>BGH, Urteil vom 17.02.1992 – II ZR 154/91</w:t>
      </w:r>
      <w:r w:rsidRPr="00CB4DB7">
        <w:rPr>
          <w:rFonts w:ascii="Times New Roman" w:eastAsia="Times New Roman" w:hAnsi="Times New Roman" w:cs="Times New Roman"/>
          <w:kern w:val="0"/>
          <w:lang w:eastAsia="de-DE"/>
          <w14:ligatures w14:val="none"/>
        </w:rPr>
        <w:t xml:space="preserve"> überträgt dies im </w:t>
      </w:r>
      <w:r w:rsidRPr="00CB4DB7">
        <w:rPr>
          <w:rFonts w:ascii="Times New Roman" w:eastAsia="Times New Roman" w:hAnsi="Times New Roman" w:cs="Times New Roman"/>
          <w:b/>
          <w:bCs/>
          <w:kern w:val="0"/>
          <w:lang w:eastAsia="de-DE"/>
          <w14:ligatures w14:val="none"/>
        </w:rPr>
        <w:t>amtlichen Leitsatz</w:t>
      </w:r>
      <w:r w:rsidRPr="00CB4DB7">
        <w:rPr>
          <w:rFonts w:ascii="Times New Roman" w:eastAsia="Times New Roman" w:hAnsi="Times New Roman" w:cs="Times New Roman"/>
          <w:kern w:val="0"/>
          <w:lang w:eastAsia="de-DE"/>
          <w14:ligatures w14:val="none"/>
        </w:rPr>
        <w:t xml:space="preserve"> auf die Bürgschaft und weist dem Gesellschafter die Darlegungslast zu, warum er die Krise ausnahmsweise nicht erkennen konnte;</w:t>
      </w:r>
      <w:r w:rsidRPr="00CB4DB7">
        <w:rPr>
          <w:rFonts w:ascii="Times New Roman" w:eastAsia="Times New Roman" w:hAnsi="Times New Roman" w:cs="Times New Roman"/>
          <w:kern w:val="0"/>
          <w:vertAlign w:val="superscript"/>
          <w:lang w:eastAsia="de-DE"/>
          <w14:ligatures w14:val="none"/>
        </w:rPr>
        <w:t>14</w:t>
      </w:r>
      <w:r w:rsidRPr="00CB4DB7">
        <w:rPr>
          <w:rFonts w:ascii="Times New Roman" w:eastAsia="Times New Roman" w:hAnsi="Times New Roman" w:cs="Times New Roman"/>
          <w:kern w:val="0"/>
          <w:lang w:eastAsia="de-DE"/>
          <w14:ligatures w14:val="none"/>
        </w:rPr>
        <w:t xml:space="preserve"> dieselbe Entscheidung stellt klar, dass dies sowohl im Rahmen der §§ 32a, 32b GmbHG als auch der auf §§ 30, 31 GmbHG gestützten Rechtsprechungsregeln gilt.</w:t>
      </w:r>
      <w:r w:rsidRPr="00CB4DB7">
        <w:rPr>
          <w:rFonts w:ascii="Times New Roman" w:eastAsia="Times New Roman" w:hAnsi="Times New Roman" w:cs="Times New Roman"/>
          <w:kern w:val="0"/>
          <w:vertAlign w:val="superscript"/>
          <w:lang w:eastAsia="de-DE"/>
          <w14:ligatures w14:val="none"/>
        </w:rPr>
        <w:t>15</w:t>
      </w:r>
    </w:p>
    <w:p w14:paraId="2922A6FD"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Erläuterung (ergänzt):</w:t>
      </w:r>
      <w:r w:rsidRPr="00CB4DB7">
        <w:rPr>
          <w:rFonts w:ascii="Times New Roman" w:eastAsia="Times New Roman" w:hAnsi="Times New Roman" w:cs="Times New Roman"/>
          <w:kern w:val="0"/>
          <w:lang w:eastAsia="de-DE"/>
          <w14:ligatures w14:val="none"/>
        </w:rPr>
        <w:t xml:space="preserve"> An die </w:t>
      </w:r>
      <w:r w:rsidRPr="00CB4DB7">
        <w:rPr>
          <w:rFonts w:ascii="Times New Roman" w:eastAsia="Times New Roman" w:hAnsi="Times New Roman" w:cs="Times New Roman"/>
          <w:b/>
          <w:bCs/>
          <w:kern w:val="0"/>
          <w:lang w:eastAsia="de-DE"/>
          <w14:ligatures w14:val="none"/>
        </w:rPr>
        <w:t>Erkennbarkeit</w:t>
      </w:r>
      <w:r w:rsidRPr="00CB4DB7">
        <w:rPr>
          <w:rFonts w:ascii="Times New Roman" w:eastAsia="Times New Roman" w:hAnsi="Times New Roman" w:cs="Times New Roman"/>
          <w:kern w:val="0"/>
          <w:lang w:eastAsia="de-DE"/>
          <w14:ligatures w14:val="none"/>
        </w:rPr>
        <w:t xml:space="preserve"> der Krise sind keine hohen Anforderungen zu stellen; beim geschäftsführenden Allein- oder Mehrheitsgesellschafter ist die Erkenntnismöglichkeit regelmäßig zu vermuten (</w:t>
      </w:r>
      <w:r w:rsidRPr="00CB4DB7">
        <w:rPr>
          <w:rFonts w:ascii="Times New Roman" w:eastAsia="Times New Roman" w:hAnsi="Times New Roman" w:cs="Times New Roman"/>
          <w:b/>
          <w:bCs/>
          <w:kern w:val="0"/>
          <w:lang w:eastAsia="de-DE"/>
          <w14:ligatures w14:val="none"/>
        </w:rPr>
        <w:t>OLG Koblenz, Urteil vom 18.01.2006 – 1 U 1082/04</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16</w:t>
      </w:r>
    </w:p>
    <w:p w14:paraId="316CF654" w14:textId="77777777" w:rsidR="00CB4DB7" w:rsidRPr="00CB4DB7" w:rsidRDefault="00CB4DB7" w:rsidP="00CB4DB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B4DB7">
        <w:rPr>
          <w:rFonts w:ascii="Times New Roman" w:eastAsia="Times New Roman" w:hAnsi="Times New Roman" w:cs="Times New Roman"/>
          <w:b/>
          <w:bCs/>
          <w:kern w:val="0"/>
          <w:sz w:val="27"/>
          <w:szCs w:val="27"/>
          <w:lang w:eastAsia="de-DE"/>
          <w14:ligatures w14:val="none"/>
        </w:rPr>
        <w:t>III. Erstreckung auf die GmbH &amp; Co. KG (§ 172a HGB)</w:t>
      </w:r>
    </w:p>
    <w:p w14:paraId="3C32B3C1"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Die im Beschluss zentrale Erstreckung auf die GmbH &amp; Co. KG ist durch die Gründe des Beschlusses selbst datenbankseitig bestätigt: Bei einer GmbH &amp; Co. KG gilt gemäß § 172a des Handelsgesetzbuches (HGB) dasselbe, wenn ein Gesellschafter der Komplementär-GmbH oder ein Kommanditist eine Sicherheit zugunsten der Kommanditgesellschaft bestellt — unter Verweis auf </w:t>
      </w:r>
      <w:r w:rsidRPr="00CB4DB7">
        <w:rPr>
          <w:rFonts w:ascii="Times New Roman" w:eastAsia="Times New Roman" w:hAnsi="Times New Roman" w:cs="Times New Roman"/>
          <w:b/>
          <w:bCs/>
          <w:kern w:val="0"/>
          <w:lang w:eastAsia="de-DE"/>
          <w14:ligatures w14:val="none"/>
        </w:rPr>
        <w:t>BGH, Urteil vom 27.09.1976 – II ZR 162/75</w:t>
      </w:r>
      <w:r w:rsidRPr="00CB4DB7">
        <w:rPr>
          <w:rFonts w:ascii="Times New Roman" w:eastAsia="Times New Roman" w:hAnsi="Times New Roman" w:cs="Times New Roman"/>
          <w:kern w:val="0"/>
          <w:lang w:eastAsia="de-DE"/>
          <w14:ligatures w14:val="none"/>
        </w:rPr>
        <w:t xml:space="preserve"> (BGHZ 67, 171, 182 f.) und </w:t>
      </w:r>
      <w:r w:rsidRPr="00CB4DB7">
        <w:rPr>
          <w:rFonts w:ascii="Times New Roman" w:eastAsia="Times New Roman" w:hAnsi="Times New Roman" w:cs="Times New Roman"/>
          <w:b/>
          <w:bCs/>
          <w:kern w:val="0"/>
          <w:lang w:eastAsia="de-DE"/>
          <w14:ligatures w14:val="none"/>
        </w:rPr>
        <w:t>BGH, Urteil vom 13.07.1981 – II ZR 256/79</w:t>
      </w:r>
      <w:r w:rsidRPr="00CB4DB7">
        <w:rPr>
          <w:rFonts w:ascii="Times New Roman" w:eastAsia="Times New Roman" w:hAnsi="Times New Roman" w:cs="Times New Roman"/>
          <w:kern w:val="0"/>
          <w:lang w:eastAsia="de-DE"/>
          <w14:ligatures w14:val="none"/>
        </w:rPr>
        <w:t xml:space="preserve"> (BGHZ 81, 252, 255 ff.).</w:t>
      </w:r>
      <w:r w:rsidRPr="00CB4DB7">
        <w:rPr>
          <w:rFonts w:ascii="Times New Roman" w:eastAsia="Times New Roman" w:hAnsi="Times New Roman" w:cs="Times New Roman"/>
          <w:kern w:val="0"/>
          <w:vertAlign w:val="superscript"/>
          <w:lang w:eastAsia="de-DE"/>
          <w14:ligatures w14:val="none"/>
        </w:rPr>
        <w:t>4</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kern w:val="0"/>
          <w:vertAlign w:val="superscript"/>
          <w:lang w:eastAsia="de-DE"/>
          <w14:ligatures w14:val="none"/>
        </w:rPr>
        <w:t>17</w:t>
      </w:r>
      <w:r w:rsidRPr="00CB4DB7">
        <w:rPr>
          <w:rFonts w:ascii="Times New Roman" w:eastAsia="Times New Roman" w:hAnsi="Times New Roman" w:cs="Times New Roman"/>
          <w:kern w:val="0"/>
          <w:lang w:eastAsia="de-DE"/>
          <w14:ligatures w14:val="none"/>
        </w:rPr>
        <w:t xml:space="preserve"> Die Grundsatzentscheidung </w:t>
      </w:r>
      <w:r w:rsidRPr="00CB4DB7">
        <w:rPr>
          <w:rFonts w:ascii="Times New Roman" w:eastAsia="Times New Roman" w:hAnsi="Times New Roman" w:cs="Times New Roman"/>
          <w:b/>
          <w:bCs/>
          <w:kern w:val="0"/>
          <w:lang w:eastAsia="de-DE"/>
          <w14:ligatures w14:val="none"/>
        </w:rPr>
        <w:t>BGH, Urteil vom 24.03.1980 – II ZR 213/77</w:t>
      </w:r>
      <w:r w:rsidRPr="00CB4DB7">
        <w:rPr>
          <w:rFonts w:ascii="Times New Roman" w:eastAsia="Times New Roman" w:hAnsi="Times New Roman" w:cs="Times New Roman"/>
          <w:kern w:val="0"/>
          <w:lang w:eastAsia="de-DE"/>
          <w14:ligatures w14:val="none"/>
        </w:rPr>
        <w:t xml:space="preserve"> entfaltet im amtlichen Leitsatz, dass die Rückgewähr kapitalersetzender Leistungen verboten ist, soweit die KG </w:t>
      </w:r>
      <w:r w:rsidRPr="00CB4DB7">
        <w:rPr>
          <w:rFonts w:ascii="Times New Roman" w:eastAsia="Times New Roman" w:hAnsi="Times New Roman" w:cs="Times New Roman"/>
          <w:kern w:val="0"/>
          <w:lang w:eastAsia="de-DE"/>
          <w14:ligatures w14:val="none"/>
        </w:rPr>
        <w:lastRenderedPageBreak/>
        <w:t>überschuldet und hierdurch mittelbar das Stammkapital der Komplementär-GmbH angegriffen ist.</w:t>
      </w:r>
      <w:r w:rsidRPr="00CB4DB7">
        <w:rPr>
          <w:rFonts w:ascii="Times New Roman" w:eastAsia="Times New Roman" w:hAnsi="Times New Roman" w:cs="Times New Roman"/>
          <w:kern w:val="0"/>
          <w:vertAlign w:val="superscript"/>
          <w:lang w:eastAsia="de-DE"/>
          <w14:ligatures w14:val="none"/>
        </w:rPr>
        <w:t>8</w:t>
      </w:r>
    </w:p>
    <w:p w14:paraId="0026D8A5"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Wichtige Präzisierung (ergänzt):</w:t>
      </w:r>
      <w:r w:rsidRPr="00CB4DB7">
        <w:rPr>
          <w:rFonts w:ascii="Times New Roman" w:eastAsia="Times New Roman" w:hAnsi="Times New Roman" w:cs="Times New Roman"/>
          <w:kern w:val="0"/>
          <w:lang w:eastAsia="de-DE"/>
          <w14:ligatures w14:val="none"/>
        </w:rPr>
        <w:t xml:space="preserve"> § 172a HGB erklärt unmittelbar nur die §§ 32a, 32b GmbHG für entsprechend anwendbar; die </w:t>
      </w:r>
      <w:r w:rsidRPr="00CB4DB7">
        <w:rPr>
          <w:rFonts w:ascii="Times New Roman" w:eastAsia="Times New Roman" w:hAnsi="Times New Roman" w:cs="Times New Roman"/>
          <w:b/>
          <w:bCs/>
          <w:kern w:val="0"/>
          <w:lang w:eastAsia="de-DE"/>
          <w14:ligatures w14:val="none"/>
        </w:rPr>
        <w:t>Rechtsprechungsregeln analog §§ 30, 31 GmbHG</w:t>
      </w:r>
      <w:r w:rsidRPr="00CB4DB7">
        <w:rPr>
          <w:rFonts w:ascii="Times New Roman" w:eastAsia="Times New Roman" w:hAnsi="Times New Roman" w:cs="Times New Roman"/>
          <w:kern w:val="0"/>
          <w:lang w:eastAsia="de-DE"/>
          <w14:ligatures w14:val="none"/>
        </w:rPr>
        <w:t xml:space="preserve"> gelten für die GmbH &amp; Co. KG jedoch ebenfalls, jedenfalls wenn die Komplementär-GmbH über kein über das Stammkapital hinausgehendes freies Vermögen verfügt (</w:t>
      </w:r>
      <w:r w:rsidRPr="00CB4DB7">
        <w:rPr>
          <w:rFonts w:ascii="Times New Roman" w:eastAsia="Times New Roman" w:hAnsi="Times New Roman" w:cs="Times New Roman"/>
          <w:b/>
          <w:bCs/>
          <w:kern w:val="0"/>
          <w:lang w:eastAsia="de-DE"/>
          <w14:ligatures w14:val="none"/>
        </w:rPr>
        <w:t>OLG Brandenburg, Urteil vom 31.07.2007 – 6 U 116/06</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18</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b/>
          <w:bCs/>
          <w:kern w:val="0"/>
          <w:lang w:eastAsia="de-DE"/>
          <w14:ligatures w14:val="none"/>
        </w:rPr>
        <w:t>OLG Köln, Urteil vom 11.12.2008 – 18 U 138/07</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kern w:val="0"/>
          <w:vertAlign w:val="superscript"/>
          <w:lang w:eastAsia="de-DE"/>
          <w14:ligatures w14:val="none"/>
        </w:rPr>
        <w:t>19</w:t>
      </w:r>
      <w:r w:rsidRPr="00CB4DB7">
        <w:rPr>
          <w:rFonts w:ascii="Times New Roman" w:eastAsia="Times New Roman" w:hAnsi="Times New Roman" w:cs="Times New Roman"/>
          <w:kern w:val="0"/>
          <w:lang w:eastAsia="de-DE"/>
          <w14:ligatures w14:val="none"/>
        </w:rPr>
        <w:t>). Dies gilt auch zugunsten eines „Nur"-Kommanditisten, der nicht an der Komplementär-GmbH beteiligt ist, sofern mittelbar das Stammkapital betroffen wird (</w:t>
      </w:r>
      <w:r w:rsidRPr="00CB4DB7">
        <w:rPr>
          <w:rFonts w:ascii="Times New Roman" w:eastAsia="Times New Roman" w:hAnsi="Times New Roman" w:cs="Times New Roman"/>
          <w:b/>
          <w:bCs/>
          <w:kern w:val="0"/>
          <w:lang w:eastAsia="de-DE"/>
          <w14:ligatures w14:val="none"/>
        </w:rPr>
        <w:t>OLG Hamm, Urteil vom 29.09.2016 – 34 U 231/15</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20</w:t>
      </w:r>
    </w:p>
    <w:p w14:paraId="6D51EA23" w14:textId="77777777" w:rsidR="00CB4DB7" w:rsidRPr="00CB4DB7" w:rsidRDefault="00B476C7" w:rsidP="00CB4DB7">
      <w:pPr>
        <w:spacing w:after="0" w:line="240" w:lineRule="auto"/>
        <w:rPr>
          <w:rFonts w:ascii="Times New Roman" w:eastAsia="Times New Roman" w:hAnsi="Times New Roman" w:cs="Times New Roman"/>
          <w:kern w:val="0"/>
          <w:lang w:eastAsia="de-DE"/>
          <w14:ligatures w14:val="none"/>
        </w:rPr>
      </w:pPr>
      <w:r w:rsidRPr="00B476C7">
        <w:rPr>
          <w:rFonts w:ascii="Times New Roman" w:eastAsia="Times New Roman" w:hAnsi="Times New Roman" w:cs="Times New Roman"/>
          <w:noProof/>
          <w:kern w:val="0"/>
          <w:lang w:eastAsia="de-DE"/>
        </w:rPr>
        <w:pict w14:anchorId="60001B8D">
          <v:rect id="_x0000_i1031" alt="" style="width:453.6pt;height:.05pt;mso-width-percent:0;mso-height-percent:0;mso-width-percent:0;mso-height-percent:0" o:hralign="center" o:hrstd="t" o:hr="t" fillcolor="#a0a0a0" stroked="f"/>
        </w:pict>
      </w:r>
    </w:p>
    <w:p w14:paraId="7A902365" w14:textId="77777777" w:rsidR="00CB4DB7" w:rsidRPr="00CB4DB7" w:rsidRDefault="00CB4DB7" w:rsidP="00CB4DB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B4DB7">
        <w:rPr>
          <w:rFonts w:ascii="Times New Roman" w:eastAsia="Times New Roman" w:hAnsi="Times New Roman" w:cs="Times New Roman"/>
          <w:b/>
          <w:bCs/>
          <w:kern w:val="0"/>
          <w:sz w:val="36"/>
          <w:szCs w:val="36"/>
          <w:lang w:eastAsia="de-DE"/>
          <w14:ligatures w14:val="none"/>
        </w:rPr>
        <w:t>C. Kreditunwürdigkeit als Krisenmerkmal</w:t>
      </w:r>
    </w:p>
    <w:p w14:paraId="06AACA50"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Das Krisenmerkmal der Kreditunwürdigkeit ist nach </w:t>
      </w:r>
      <w:r w:rsidRPr="00CB4DB7">
        <w:rPr>
          <w:rFonts w:ascii="Times New Roman" w:eastAsia="Times New Roman" w:hAnsi="Times New Roman" w:cs="Times New Roman"/>
          <w:b/>
          <w:bCs/>
          <w:kern w:val="0"/>
          <w:lang w:eastAsia="de-DE"/>
          <w14:ligatures w14:val="none"/>
        </w:rPr>
        <w:t>BGH, Urteil vom 02.12.1996 – II ZR 243/95</w:t>
      </w:r>
      <w:r w:rsidRPr="00CB4DB7">
        <w:rPr>
          <w:rFonts w:ascii="Times New Roman" w:eastAsia="Times New Roman" w:hAnsi="Times New Roman" w:cs="Times New Roman"/>
          <w:kern w:val="0"/>
          <w:lang w:eastAsia="de-DE"/>
          <w14:ligatures w14:val="none"/>
        </w:rPr>
        <w:t xml:space="preserve"> erfüllt, wenn die Gesellschaft von dritter Seite den zur Fortführung benötigten Kredit zu marktüblichen Bedingungen nicht erhält und deshalb liquidiert werden müsste; anzulegen ist ein </w:t>
      </w:r>
      <w:r w:rsidRPr="00CB4DB7">
        <w:rPr>
          <w:rFonts w:ascii="Times New Roman" w:eastAsia="Times New Roman" w:hAnsi="Times New Roman" w:cs="Times New Roman"/>
          <w:b/>
          <w:bCs/>
          <w:kern w:val="0"/>
          <w:lang w:eastAsia="de-DE"/>
          <w14:ligatures w14:val="none"/>
        </w:rPr>
        <w:t>objektiver Maßstab</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21</w:t>
      </w:r>
      <w:r w:rsidRPr="00CB4DB7">
        <w:rPr>
          <w:rFonts w:ascii="Times New Roman" w:eastAsia="Times New Roman" w:hAnsi="Times New Roman" w:cs="Times New Roman"/>
          <w:kern w:val="0"/>
          <w:lang w:eastAsia="de-DE"/>
          <w14:ligatures w14:val="none"/>
        </w:rPr>
        <w:t xml:space="preserve"> Die Beurteilung erfolgt nicht rückblickend, sondern allein nach den Umständen im Zeitpunkt der Gewährung oder Belassung der Leistung — grundlegend </w:t>
      </w:r>
      <w:r w:rsidRPr="00CB4DB7">
        <w:rPr>
          <w:rFonts w:ascii="Times New Roman" w:eastAsia="Times New Roman" w:hAnsi="Times New Roman" w:cs="Times New Roman"/>
          <w:b/>
          <w:bCs/>
          <w:kern w:val="0"/>
          <w:lang w:eastAsia="de-DE"/>
          <w14:ligatures w14:val="none"/>
        </w:rPr>
        <w:t>BGH, Urteil vom 13.07.1992 – II ZR 269/91</w:t>
      </w:r>
      <w:r w:rsidRPr="00CB4DB7">
        <w:rPr>
          <w:rFonts w:ascii="Times New Roman" w:eastAsia="Times New Roman" w:hAnsi="Times New Roman" w:cs="Times New Roman"/>
          <w:kern w:val="0"/>
          <w:lang w:eastAsia="de-DE"/>
          <w14:ligatures w14:val="none"/>
        </w:rPr>
        <w:t xml:space="preserve"> (BGHZ 119, 201).</w:t>
      </w:r>
      <w:r w:rsidRPr="00CB4DB7">
        <w:rPr>
          <w:rFonts w:ascii="Times New Roman" w:eastAsia="Times New Roman" w:hAnsi="Times New Roman" w:cs="Times New Roman"/>
          <w:kern w:val="0"/>
          <w:vertAlign w:val="superscript"/>
          <w:lang w:eastAsia="de-DE"/>
          <w14:ligatures w14:val="none"/>
        </w:rPr>
        <w:t>22</w:t>
      </w:r>
      <w:r w:rsidRPr="00CB4DB7">
        <w:rPr>
          <w:rFonts w:ascii="Times New Roman" w:eastAsia="Times New Roman" w:hAnsi="Times New Roman" w:cs="Times New Roman"/>
          <w:kern w:val="0"/>
          <w:lang w:eastAsia="de-DE"/>
          <w14:ligatures w14:val="none"/>
        </w:rPr>
        <w:t xml:space="preserve"> II ZR 157/09 ergänzt, dass eine bereits seit längerem bestehende, ansteigende rechnerische Überschuldung für die Beurteilung der Kreditunwürdigkeit von wesentlicher Bedeutung ist.</w:t>
      </w:r>
      <w:r w:rsidRPr="00CB4DB7">
        <w:rPr>
          <w:rFonts w:ascii="Times New Roman" w:eastAsia="Times New Roman" w:hAnsi="Times New Roman" w:cs="Times New Roman"/>
          <w:kern w:val="0"/>
          <w:vertAlign w:val="superscript"/>
          <w:lang w:eastAsia="de-DE"/>
          <w14:ligatures w14:val="none"/>
        </w:rPr>
        <w:t>6</w:t>
      </w:r>
    </w:p>
    <w:p w14:paraId="612012D6"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Erläuterung (ergänzt):</w:t>
      </w:r>
      <w:r w:rsidRPr="00CB4DB7">
        <w:rPr>
          <w:rFonts w:ascii="Times New Roman" w:eastAsia="Times New Roman" w:hAnsi="Times New Roman" w:cs="Times New Roman"/>
          <w:kern w:val="0"/>
          <w:lang w:eastAsia="de-DE"/>
          <w14:ligatures w14:val="none"/>
        </w:rPr>
        <w:t xml:space="preserve"> Überschuldung/Insolvenzreife einerseits und Kreditunwürdigkeit andererseits sind </w:t>
      </w:r>
      <w:r w:rsidRPr="00CB4DB7">
        <w:rPr>
          <w:rFonts w:ascii="Times New Roman" w:eastAsia="Times New Roman" w:hAnsi="Times New Roman" w:cs="Times New Roman"/>
          <w:b/>
          <w:bCs/>
          <w:kern w:val="0"/>
          <w:lang w:eastAsia="de-DE"/>
          <w14:ligatures w14:val="none"/>
        </w:rPr>
        <w:t>eigenständige, voneinander unabhängige Krisentatbestände</w:t>
      </w:r>
      <w:r w:rsidRPr="00CB4DB7">
        <w:rPr>
          <w:rFonts w:ascii="Times New Roman" w:eastAsia="Times New Roman" w:hAnsi="Times New Roman" w:cs="Times New Roman"/>
          <w:kern w:val="0"/>
          <w:lang w:eastAsia="de-DE"/>
          <w14:ligatures w14:val="none"/>
        </w:rPr>
        <w:t>, die nicht kumulativ vorliegen müssen — der BGH hat dies ausdrücklich klargestellt, das Merkmal der Kreditunwürdigkeit ist demjenigen der Überschuldung vorgelagert (</w:t>
      </w:r>
      <w:r w:rsidRPr="00CB4DB7">
        <w:rPr>
          <w:rFonts w:ascii="Times New Roman" w:eastAsia="Times New Roman" w:hAnsi="Times New Roman" w:cs="Times New Roman"/>
          <w:b/>
          <w:bCs/>
          <w:kern w:val="0"/>
          <w:lang w:eastAsia="de-DE"/>
          <w14:ligatures w14:val="none"/>
        </w:rPr>
        <w:t>OLG Stuttgart, Urteil vom 14.03.2007 – 14 U 25/06</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23</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b/>
          <w:bCs/>
          <w:kern w:val="0"/>
          <w:lang w:eastAsia="de-DE"/>
          <w14:ligatures w14:val="none"/>
        </w:rPr>
        <w:t>LG Aachen, Urteil vom 03.03.2015 – 10 O 193/08</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kern w:val="0"/>
          <w:vertAlign w:val="superscript"/>
          <w:lang w:eastAsia="de-DE"/>
          <w14:ligatures w14:val="none"/>
        </w:rPr>
        <w:t>24</w:t>
      </w:r>
      <w:r w:rsidRPr="00CB4DB7">
        <w:rPr>
          <w:rFonts w:ascii="Times New Roman" w:eastAsia="Times New Roman" w:hAnsi="Times New Roman" w:cs="Times New Roman"/>
          <w:kern w:val="0"/>
          <w:lang w:eastAsia="de-DE"/>
          <w14:ligatures w14:val="none"/>
        </w:rPr>
        <w:t xml:space="preserve">). Bestätigend für die Bürgschaft als Eigenkapitalersatz: </w:t>
      </w:r>
      <w:r w:rsidRPr="00CB4DB7">
        <w:rPr>
          <w:rFonts w:ascii="Times New Roman" w:eastAsia="Times New Roman" w:hAnsi="Times New Roman" w:cs="Times New Roman"/>
          <w:b/>
          <w:bCs/>
          <w:kern w:val="0"/>
          <w:lang w:eastAsia="de-DE"/>
          <w14:ligatures w14:val="none"/>
        </w:rPr>
        <w:t>BGH, Urteil vom 27.11.1989 – II ZR 310/88</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25</w:t>
      </w:r>
    </w:p>
    <w:p w14:paraId="267F894A" w14:textId="77777777" w:rsidR="00CB4DB7" w:rsidRPr="00CB4DB7" w:rsidRDefault="00B476C7" w:rsidP="00CB4DB7">
      <w:pPr>
        <w:spacing w:after="0" w:line="240" w:lineRule="auto"/>
        <w:rPr>
          <w:rFonts w:ascii="Times New Roman" w:eastAsia="Times New Roman" w:hAnsi="Times New Roman" w:cs="Times New Roman"/>
          <w:kern w:val="0"/>
          <w:lang w:eastAsia="de-DE"/>
          <w14:ligatures w14:val="none"/>
        </w:rPr>
      </w:pPr>
      <w:r w:rsidRPr="00B476C7">
        <w:rPr>
          <w:rFonts w:ascii="Times New Roman" w:eastAsia="Times New Roman" w:hAnsi="Times New Roman" w:cs="Times New Roman"/>
          <w:noProof/>
          <w:kern w:val="0"/>
          <w:lang w:eastAsia="de-DE"/>
        </w:rPr>
        <w:pict w14:anchorId="067A5289">
          <v:rect id="_x0000_i1030" alt="" style="width:453.6pt;height:.05pt;mso-width-percent:0;mso-height-percent:0;mso-width-percent:0;mso-height-percent:0" o:hralign="center" o:hrstd="t" o:hr="t" fillcolor="#a0a0a0" stroked="f"/>
        </w:pict>
      </w:r>
    </w:p>
    <w:p w14:paraId="05C2A4CB" w14:textId="77777777" w:rsidR="00CB4DB7" w:rsidRPr="00CB4DB7" w:rsidRDefault="00CB4DB7" w:rsidP="00CB4DB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B4DB7">
        <w:rPr>
          <w:rFonts w:ascii="Times New Roman" w:eastAsia="Times New Roman" w:hAnsi="Times New Roman" w:cs="Times New Roman"/>
          <w:b/>
          <w:bCs/>
          <w:kern w:val="0"/>
          <w:sz w:val="36"/>
          <w:szCs w:val="36"/>
          <w:lang w:eastAsia="de-DE"/>
          <w14:ligatures w14:val="none"/>
        </w:rPr>
        <w:t>D. Darlegungs- und Beweislast für die Überschuldung</w:t>
      </w:r>
    </w:p>
    <w:p w14:paraId="1738A91C" w14:textId="77777777" w:rsidR="00CB4DB7" w:rsidRPr="00CB4DB7" w:rsidRDefault="00CB4DB7" w:rsidP="00CB4DB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B4DB7">
        <w:rPr>
          <w:rFonts w:ascii="Times New Roman" w:eastAsia="Times New Roman" w:hAnsi="Times New Roman" w:cs="Times New Roman"/>
          <w:b/>
          <w:bCs/>
          <w:kern w:val="0"/>
          <w:sz w:val="27"/>
          <w:szCs w:val="27"/>
          <w:lang w:eastAsia="de-DE"/>
          <w14:ligatures w14:val="none"/>
        </w:rPr>
        <w:t>I. Grundregel und indizielle Bedeutung der Handelsbilanz</w:t>
      </w:r>
    </w:p>
    <w:p w14:paraId="73BC54D6"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Die im Beschluss (Rn. 4) referierte Beweislastdogmatik ist datenbankidentisch bestätigt.</w:t>
      </w:r>
      <w:r w:rsidRPr="00CB4DB7">
        <w:rPr>
          <w:rFonts w:ascii="Times New Roman" w:eastAsia="Times New Roman" w:hAnsi="Times New Roman" w:cs="Times New Roman"/>
          <w:kern w:val="0"/>
          <w:vertAlign w:val="superscript"/>
          <w:lang w:eastAsia="de-DE"/>
          <w14:ligatures w14:val="none"/>
        </w:rPr>
        <w:t>5</w:t>
      </w:r>
      <w:r w:rsidRPr="00CB4DB7">
        <w:rPr>
          <w:rFonts w:ascii="Times New Roman" w:eastAsia="Times New Roman" w:hAnsi="Times New Roman" w:cs="Times New Roman"/>
          <w:kern w:val="0"/>
          <w:lang w:eastAsia="de-DE"/>
          <w14:ligatures w14:val="none"/>
        </w:rPr>
        <w:t xml:space="preserve"> Nach </w:t>
      </w:r>
      <w:r w:rsidRPr="00CB4DB7">
        <w:rPr>
          <w:rFonts w:ascii="Times New Roman" w:eastAsia="Times New Roman" w:hAnsi="Times New Roman" w:cs="Times New Roman"/>
          <w:b/>
          <w:bCs/>
          <w:kern w:val="0"/>
          <w:lang w:eastAsia="de-DE"/>
          <w14:ligatures w14:val="none"/>
        </w:rPr>
        <w:t>BGH, Urteil vom 07.03.2005 – II ZR 138/03</w:t>
      </w:r>
      <w:r w:rsidRPr="00CB4DB7">
        <w:rPr>
          <w:rFonts w:ascii="Times New Roman" w:eastAsia="Times New Roman" w:hAnsi="Times New Roman" w:cs="Times New Roman"/>
          <w:kern w:val="0"/>
          <w:lang w:eastAsia="de-DE"/>
          <w14:ligatures w14:val="none"/>
        </w:rPr>
        <w:t xml:space="preserve"> trägt der Insolvenzverwalter die Darlegungs- und Beweislast für die Überschuldung und hat diese grundsätzlich durch Vorlage eines </w:t>
      </w:r>
      <w:r w:rsidRPr="00CB4DB7">
        <w:rPr>
          <w:rFonts w:ascii="Times New Roman" w:eastAsia="Times New Roman" w:hAnsi="Times New Roman" w:cs="Times New Roman"/>
          <w:b/>
          <w:bCs/>
          <w:kern w:val="0"/>
          <w:lang w:eastAsia="de-DE"/>
          <w14:ligatures w14:val="none"/>
        </w:rPr>
        <w:t>Überschuldungsstatus</w:t>
      </w:r>
      <w:r w:rsidRPr="00CB4DB7">
        <w:rPr>
          <w:rFonts w:ascii="Times New Roman" w:eastAsia="Times New Roman" w:hAnsi="Times New Roman" w:cs="Times New Roman"/>
          <w:kern w:val="0"/>
          <w:lang w:eastAsia="de-DE"/>
          <w14:ligatures w14:val="none"/>
        </w:rPr>
        <w:t xml:space="preserve"> darzulegen, in dem stille Reserven aufzudecken und Vermögensgegenstände zu Veräußerungswerten anzusetzen sind; der Handelsbilanz kommt nur </w:t>
      </w:r>
      <w:r w:rsidRPr="00CB4DB7">
        <w:rPr>
          <w:rFonts w:ascii="Times New Roman" w:eastAsia="Times New Roman" w:hAnsi="Times New Roman" w:cs="Times New Roman"/>
          <w:b/>
          <w:bCs/>
          <w:kern w:val="0"/>
          <w:lang w:eastAsia="de-DE"/>
          <w14:ligatures w14:val="none"/>
        </w:rPr>
        <w:t>indizielle Bedeutung</w:t>
      </w:r>
      <w:r w:rsidRPr="00CB4DB7">
        <w:rPr>
          <w:rFonts w:ascii="Times New Roman" w:eastAsia="Times New Roman" w:hAnsi="Times New Roman" w:cs="Times New Roman"/>
          <w:kern w:val="0"/>
          <w:lang w:eastAsia="de-DE"/>
          <w14:ligatures w14:val="none"/>
        </w:rPr>
        <w:t xml:space="preserve"> zu.</w:t>
      </w:r>
      <w:r w:rsidRPr="00CB4DB7">
        <w:rPr>
          <w:rFonts w:ascii="Times New Roman" w:eastAsia="Times New Roman" w:hAnsi="Times New Roman" w:cs="Times New Roman"/>
          <w:kern w:val="0"/>
          <w:vertAlign w:val="superscript"/>
          <w:lang w:eastAsia="de-DE"/>
          <w14:ligatures w14:val="none"/>
        </w:rPr>
        <w:t>26</w:t>
      </w:r>
      <w:r w:rsidRPr="00CB4DB7">
        <w:rPr>
          <w:rFonts w:ascii="Times New Roman" w:eastAsia="Times New Roman" w:hAnsi="Times New Roman" w:cs="Times New Roman"/>
          <w:kern w:val="0"/>
          <w:lang w:eastAsia="de-DE"/>
          <w14:ligatures w14:val="none"/>
        </w:rPr>
        <w:t xml:space="preserve"> Bestätigt durch </w:t>
      </w:r>
      <w:r w:rsidRPr="00CB4DB7">
        <w:rPr>
          <w:rFonts w:ascii="Times New Roman" w:eastAsia="Times New Roman" w:hAnsi="Times New Roman" w:cs="Times New Roman"/>
          <w:b/>
          <w:bCs/>
          <w:kern w:val="0"/>
          <w:lang w:eastAsia="de-DE"/>
          <w14:ligatures w14:val="none"/>
        </w:rPr>
        <w:t>BGH, Urteil vom 02.04.2009 – IX ZR 236/07</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kern w:val="0"/>
          <w:vertAlign w:val="superscript"/>
          <w:lang w:eastAsia="de-DE"/>
          <w14:ligatures w14:val="none"/>
        </w:rPr>
        <w:t>27</w:t>
      </w:r>
      <w:r w:rsidRPr="00CB4DB7">
        <w:rPr>
          <w:rFonts w:ascii="Times New Roman" w:eastAsia="Times New Roman" w:hAnsi="Times New Roman" w:cs="Times New Roman"/>
          <w:kern w:val="0"/>
          <w:lang w:eastAsia="de-DE"/>
          <w14:ligatures w14:val="none"/>
        </w:rPr>
        <w:t xml:space="preserve"> und </w:t>
      </w:r>
      <w:r w:rsidRPr="00CB4DB7">
        <w:rPr>
          <w:rFonts w:ascii="Times New Roman" w:eastAsia="Times New Roman" w:hAnsi="Times New Roman" w:cs="Times New Roman"/>
          <w:b/>
          <w:bCs/>
          <w:kern w:val="0"/>
          <w:lang w:eastAsia="de-DE"/>
          <w14:ligatures w14:val="none"/>
        </w:rPr>
        <w:t>BGH, Urteil vom 26.04.2010 – II ZR 60/09</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28</w:t>
      </w:r>
      <w:r w:rsidRPr="00CB4DB7">
        <w:rPr>
          <w:rFonts w:ascii="Times New Roman" w:eastAsia="Times New Roman" w:hAnsi="Times New Roman" w:cs="Times New Roman"/>
          <w:kern w:val="0"/>
          <w:lang w:eastAsia="de-DE"/>
          <w14:ligatures w14:val="none"/>
        </w:rPr>
        <w:t xml:space="preserve"> Die Grundsatzentscheidung ist </w:t>
      </w:r>
      <w:r w:rsidRPr="00CB4DB7">
        <w:rPr>
          <w:rFonts w:ascii="Times New Roman" w:eastAsia="Times New Roman" w:hAnsi="Times New Roman" w:cs="Times New Roman"/>
          <w:b/>
          <w:bCs/>
          <w:kern w:val="0"/>
          <w:lang w:eastAsia="de-DE"/>
          <w14:ligatures w14:val="none"/>
        </w:rPr>
        <w:t>BGH, Urteil vom 06.06.1994 – II ZR 292/91</w:t>
      </w:r>
      <w:r w:rsidRPr="00CB4DB7">
        <w:rPr>
          <w:rFonts w:ascii="Times New Roman" w:eastAsia="Times New Roman" w:hAnsi="Times New Roman" w:cs="Times New Roman"/>
          <w:kern w:val="0"/>
          <w:lang w:eastAsia="de-DE"/>
          <w14:ligatures w14:val="none"/>
        </w:rPr>
        <w:t xml:space="preserve"> (BGHZ 126, 181, 200).</w:t>
      </w:r>
      <w:r w:rsidRPr="00CB4DB7">
        <w:rPr>
          <w:rFonts w:ascii="Times New Roman" w:eastAsia="Times New Roman" w:hAnsi="Times New Roman" w:cs="Times New Roman"/>
          <w:kern w:val="0"/>
          <w:vertAlign w:val="superscript"/>
          <w:lang w:eastAsia="de-DE"/>
          <w14:ligatures w14:val="none"/>
        </w:rPr>
        <w:t>29</w:t>
      </w:r>
    </w:p>
    <w:p w14:paraId="1B0F8264" w14:textId="77777777" w:rsidR="00CB4DB7" w:rsidRPr="00CB4DB7" w:rsidRDefault="00CB4DB7" w:rsidP="00CB4DB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B4DB7">
        <w:rPr>
          <w:rFonts w:ascii="Times New Roman" w:eastAsia="Times New Roman" w:hAnsi="Times New Roman" w:cs="Times New Roman"/>
          <w:b/>
          <w:bCs/>
          <w:kern w:val="0"/>
          <w:sz w:val="27"/>
          <w:szCs w:val="27"/>
          <w:lang w:eastAsia="de-DE"/>
          <w14:ligatures w14:val="none"/>
        </w:rPr>
        <w:t>II. Sekundäre Darlegungslast des Gesellschafters/Geschäftsführers</w:t>
      </w:r>
    </w:p>
    <w:p w14:paraId="3D09F857"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lastRenderedPageBreak/>
        <w:t xml:space="preserve">Den vom Beschluss zitierten Halbsatz zur sekundären Darlegungslast belegt der </w:t>
      </w:r>
      <w:r w:rsidRPr="00CB4DB7">
        <w:rPr>
          <w:rFonts w:ascii="Times New Roman" w:eastAsia="Times New Roman" w:hAnsi="Times New Roman" w:cs="Times New Roman"/>
          <w:b/>
          <w:bCs/>
          <w:kern w:val="0"/>
          <w:lang w:eastAsia="de-DE"/>
          <w14:ligatures w14:val="none"/>
        </w:rPr>
        <w:t>amtliche Leitsatz</w:t>
      </w:r>
      <w:r w:rsidRPr="00CB4DB7">
        <w:rPr>
          <w:rFonts w:ascii="Times New Roman" w:eastAsia="Times New Roman" w:hAnsi="Times New Roman" w:cs="Times New Roman"/>
          <w:kern w:val="0"/>
          <w:lang w:eastAsia="de-DE"/>
          <w14:ligatures w14:val="none"/>
        </w:rPr>
        <w:t xml:space="preserve"> von </w:t>
      </w:r>
      <w:r w:rsidRPr="00CB4DB7">
        <w:rPr>
          <w:rFonts w:ascii="Times New Roman" w:eastAsia="Times New Roman" w:hAnsi="Times New Roman" w:cs="Times New Roman"/>
          <w:b/>
          <w:bCs/>
          <w:kern w:val="0"/>
          <w:lang w:eastAsia="de-DE"/>
          <w14:ligatures w14:val="none"/>
        </w:rPr>
        <w:t>BGH, Urteil vom 19.11.2013 – II ZR 229/11</w:t>
      </w:r>
      <w:r w:rsidRPr="00CB4DB7">
        <w:rPr>
          <w:rFonts w:ascii="Times New Roman" w:eastAsia="Times New Roman" w:hAnsi="Times New Roman" w:cs="Times New Roman"/>
          <w:kern w:val="0"/>
          <w:lang w:eastAsia="de-DE"/>
          <w14:ligatures w14:val="none"/>
        </w:rPr>
        <w:t>: Hat der Insolvenzverwalter durch Vorlage einer Handelsbilanz und den Vortrag fehlender stiller Reserven die Überschuldung dargelegt, genügt der Geschäftsführer seiner sekundären Darlegungslast nicht, wenn er lediglich abweichende Werte behauptet; er hat substantiiert zu stillen Reserven oder in der Bilanz nicht abgebildeten Werten vorzutragen.</w:t>
      </w:r>
      <w:r w:rsidRPr="00CB4DB7">
        <w:rPr>
          <w:rFonts w:ascii="Times New Roman" w:eastAsia="Times New Roman" w:hAnsi="Times New Roman" w:cs="Times New Roman"/>
          <w:kern w:val="0"/>
          <w:vertAlign w:val="superscript"/>
          <w:lang w:eastAsia="de-DE"/>
          <w14:ligatures w14:val="none"/>
        </w:rPr>
        <w:t>30</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b/>
          <w:bCs/>
          <w:kern w:val="0"/>
          <w:lang w:eastAsia="de-DE"/>
          <w14:ligatures w14:val="none"/>
        </w:rPr>
        <w:t>BGH, Urteil vom 27.04.2009 – II ZR 253/07</w:t>
      </w:r>
      <w:r w:rsidRPr="00CB4DB7">
        <w:rPr>
          <w:rFonts w:ascii="Times New Roman" w:eastAsia="Times New Roman" w:hAnsi="Times New Roman" w:cs="Times New Roman"/>
          <w:kern w:val="0"/>
          <w:lang w:eastAsia="de-DE"/>
          <w14:ligatures w14:val="none"/>
        </w:rPr>
        <w:t xml:space="preserve"> formuliert die Linie ebenfalls tragend.</w:t>
      </w:r>
      <w:r w:rsidRPr="00CB4DB7">
        <w:rPr>
          <w:rFonts w:ascii="Times New Roman" w:eastAsia="Times New Roman" w:hAnsi="Times New Roman" w:cs="Times New Roman"/>
          <w:kern w:val="0"/>
          <w:vertAlign w:val="superscript"/>
          <w:lang w:eastAsia="de-DE"/>
          <w14:ligatures w14:val="none"/>
        </w:rPr>
        <w:t>31</w:t>
      </w:r>
    </w:p>
    <w:p w14:paraId="4288FC6B"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Verschärfung (durchverifiziert): BGH, Urteil vom 19.12.2017 – II ZR 88/16</w:t>
      </w:r>
      <w:r w:rsidRPr="00CB4DB7">
        <w:rPr>
          <w:rFonts w:ascii="Times New Roman" w:eastAsia="Times New Roman" w:hAnsi="Times New Roman" w:cs="Times New Roman"/>
          <w:kern w:val="0"/>
          <w:lang w:eastAsia="de-DE"/>
          <w14:ligatures w14:val="none"/>
        </w:rPr>
        <w:t xml:space="preserve"> (BGHZ 217, 129) schärft den Maßstab: Einen auf der Buchhaltung des Schuldners beruhenden Liquiditätsstatus kann der Geschäftsführer </w:t>
      </w:r>
      <w:r w:rsidRPr="00CB4DB7">
        <w:rPr>
          <w:rFonts w:ascii="Times New Roman" w:eastAsia="Times New Roman" w:hAnsi="Times New Roman" w:cs="Times New Roman"/>
          <w:b/>
          <w:bCs/>
          <w:kern w:val="0"/>
          <w:lang w:eastAsia="de-DE"/>
          <w14:ligatures w14:val="none"/>
        </w:rPr>
        <w:t>nicht pauschal</w:t>
      </w:r>
      <w:r w:rsidRPr="00CB4DB7">
        <w:rPr>
          <w:rFonts w:ascii="Times New Roman" w:eastAsia="Times New Roman" w:hAnsi="Times New Roman" w:cs="Times New Roman"/>
          <w:kern w:val="0"/>
          <w:lang w:eastAsia="de-DE"/>
          <w14:ligatures w14:val="none"/>
        </w:rPr>
        <w:t xml:space="preserve"> mit der Behauptung bestreiten, die Buchhaltung sei nicht ordnungsgemäß geführt worden; er hat im Einzelnen vorzutragen und ggf. zu beweisen, welche Buchungen unrichtig sein sollen.</w:t>
      </w:r>
      <w:r w:rsidRPr="00CB4DB7">
        <w:rPr>
          <w:rFonts w:ascii="Times New Roman" w:eastAsia="Times New Roman" w:hAnsi="Times New Roman" w:cs="Times New Roman"/>
          <w:kern w:val="0"/>
          <w:vertAlign w:val="superscript"/>
          <w:lang w:eastAsia="de-DE"/>
          <w14:ligatures w14:val="none"/>
        </w:rPr>
        <w:t>32</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kern w:val="0"/>
          <w:vertAlign w:val="superscript"/>
          <w:lang w:eastAsia="de-DE"/>
          <w14:ligatures w14:val="none"/>
        </w:rPr>
        <w:t>33</w:t>
      </w:r>
      <w:r w:rsidRPr="00CB4DB7">
        <w:rPr>
          <w:rFonts w:ascii="Times New Roman" w:eastAsia="Times New Roman" w:hAnsi="Times New Roman" w:cs="Times New Roman"/>
          <w:kern w:val="0"/>
          <w:lang w:eastAsia="de-DE"/>
          <w14:ligatures w14:val="none"/>
        </w:rPr>
        <w:t xml:space="preserve"> Dem Geschäftsführer wird damit nichts Unmögliches abverlangt, da er zur Beweisführung </w:t>
      </w:r>
      <w:r w:rsidRPr="00CB4DB7">
        <w:rPr>
          <w:rFonts w:ascii="Times New Roman" w:eastAsia="Times New Roman" w:hAnsi="Times New Roman" w:cs="Times New Roman"/>
          <w:b/>
          <w:bCs/>
          <w:kern w:val="0"/>
          <w:lang w:eastAsia="de-DE"/>
          <w14:ligatures w14:val="none"/>
        </w:rPr>
        <w:t>Einsicht in die Buchhaltung</w:t>
      </w:r>
      <w:r w:rsidRPr="00CB4DB7">
        <w:rPr>
          <w:rFonts w:ascii="Times New Roman" w:eastAsia="Times New Roman" w:hAnsi="Times New Roman" w:cs="Times New Roman"/>
          <w:kern w:val="0"/>
          <w:lang w:eastAsia="de-DE"/>
          <w14:ligatures w14:val="none"/>
        </w:rPr>
        <w:t xml:space="preserve"> nehmen darf.</w:t>
      </w:r>
      <w:r w:rsidRPr="00CB4DB7">
        <w:rPr>
          <w:rFonts w:ascii="Times New Roman" w:eastAsia="Times New Roman" w:hAnsi="Times New Roman" w:cs="Times New Roman"/>
          <w:kern w:val="0"/>
          <w:vertAlign w:val="superscript"/>
          <w:lang w:eastAsia="de-DE"/>
          <w14:ligatures w14:val="none"/>
        </w:rPr>
        <w:t>34</w:t>
      </w:r>
      <w:r w:rsidRPr="00CB4DB7">
        <w:rPr>
          <w:rFonts w:ascii="Times New Roman" w:eastAsia="Times New Roman" w:hAnsi="Times New Roman" w:cs="Times New Roman"/>
          <w:kern w:val="0"/>
          <w:lang w:eastAsia="de-DE"/>
          <w14:ligatures w14:val="none"/>
        </w:rPr>
        <w:t xml:space="preserve"> Der IX. Zivilsenat hat diese Grundsätze inzwischen ausdrücklich auf die Geschäftsführerstellung beschränkt und ihre Übertragung auf außenstehende Dritte verneint (</w:t>
      </w:r>
      <w:r w:rsidRPr="00CB4DB7">
        <w:rPr>
          <w:rFonts w:ascii="Times New Roman" w:eastAsia="Times New Roman" w:hAnsi="Times New Roman" w:cs="Times New Roman"/>
          <w:b/>
          <w:bCs/>
          <w:kern w:val="0"/>
          <w:lang w:eastAsia="de-DE"/>
          <w14:ligatures w14:val="none"/>
        </w:rPr>
        <w:t>BGH, Urteil vom 18.04.2024 – IX ZR 129/22</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35</w:t>
      </w:r>
      <w:r w:rsidRPr="00CB4DB7">
        <w:rPr>
          <w:rFonts w:ascii="Times New Roman" w:eastAsia="Times New Roman" w:hAnsi="Times New Roman" w:cs="Times New Roman"/>
          <w:kern w:val="0"/>
          <w:lang w:eastAsia="de-DE"/>
          <w14:ligatures w14:val="none"/>
        </w:rPr>
        <w:t xml:space="preserve"> ebenso bereits </w:t>
      </w:r>
      <w:r w:rsidRPr="00CB4DB7">
        <w:rPr>
          <w:rFonts w:ascii="Times New Roman" w:eastAsia="Times New Roman" w:hAnsi="Times New Roman" w:cs="Times New Roman"/>
          <w:b/>
          <w:bCs/>
          <w:kern w:val="0"/>
          <w:lang w:eastAsia="de-DE"/>
          <w14:ligatures w14:val="none"/>
        </w:rPr>
        <w:t>BGH, Urteil vom 03.03.2022 – IX ZR 53/19</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36</w:t>
      </w:r>
    </w:p>
    <w:p w14:paraId="1C487468" w14:textId="77777777" w:rsidR="00CB4DB7" w:rsidRPr="00CB4DB7" w:rsidRDefault="00B476C7" w:rsidP="00CB4DB7">
      <w:pPr>
        <w:spacing w:after="0" w:line="240" w:lineRule="auto"/>
        <w:rPr>
          <w:rFonts w:ascii="Times New Roman" w:eastAsia="Times New Roman" w:hAnsi="Times New Roman" w:cs="Times New Roman"/>
          <w:kern w:val="0"/>
          <w:lang w:eastAsia="de-DE"/>
          <w14:ligatures w14:val="none"/>
        </w:rPr>
      </w:pPr>
      <w:r w:rsidRPr="00B476C7">
        <w:rPr>
          <w:rFonts w:ascii="Times New Roman" w:eastAsia="Times New Roman" w:hAnsi="Times New Roman" w:cs="Times New Roman"/>
          <w:noProof/>
          <w:kern w:val="0"/>
          <w:lang w:eastAsia="de-DE"/>
        </w:rPr>
        <w:pict w14:anchorId="77F363A0">
          <v:rect id="_x0000_i1029" alt="" style="width:453.6pt;height:.05pt;mso-width-percent:0;mso-height-percent:0;mso-width-percent:0;mso-height-percent:0" o:hralign="center" o:hrstd="t" o:hr="t" fillcolor="#a0a0a0" stroked="f"/>
        </w:pict>
      </w:r>
    </w:p>
    <w:p w14:paraId="22A683F6" w14:textId="77777777" w:rsidR="00CB4DB7" w:rsidRPr="00CB4DB7" w:rsidRDefault="00CB4DB7" w:rsidP="00CB4DB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B4DB7">
        <w:rPr>
          <w:rFonts w:ascii="Times New Roman" w:eastAsia="Times New Roman" w:hAnsi="Times New Roman" w:cs="Times New Roman"/>
          <w:b/>
          <w:bCs/>
          <w:kern w:val="0"/>
          <w:sz w:val="36"/>
          <w:szCs w:val="36"/>
          <w:lang w:eastAsia="de-DE"/>
          <w14:ligatures w14:val="none"/>
        </w:rPr>
        <w:t>E. Beweislastumkehr bei der Fortbestehensprognose</w:t>
      </w:r>
    </w:p>
    <w:p w14:paraId="69214776" w14:textId="77777777" w:rsidR="00CB4DB7" w:rsidRPr="00CB4DB7" w:rsidRDefault="00CB4DB7" w:rsidP="00CB4DB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B4DB7">
        <w:rPr>
          <w:rFonts w:ascii="Times New Roman" w:eastAsia="Times New Roman" w:hAnsi="Times New Roman" w:cs="Times New Roman"/>
          <w:b/>
          <w:bCs/>
          <w:kern w:val="0"/>
          <w:sz w:val="27"/>
          <w:szCs w:val="27"/>
          <w:lang w:eastAsia="de-DE"/>
          <w14:ligatures w14:val="none"/>
        </w:rPr>
        <w:t>I. Die im Beschluss angelegte Frage</w:t>
      </w:r>
    </w:p>
    <w:p w14:paraId="3CBF6491"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Der Beschluss (Rn. 9) verweist darauf, dass dem in Anspruch genommenen Gesellschafter obliegt, die Umstände darzulegen, die es aus damaliger Sicht rechtfertigten, das Unternehmen trotz rechnerischer Überschuldung fortzuführen. Die Grundsatzentscheidung II ZR 292/91 hatte </w:t>
      </w:r>
      <w:r w:rsidRPr="00CB4DB7">
        <w:rPr>
          <w:rFonts w:ascii="Times New Roman" w:eastAsia="Times New Roman" w:hAnsi="Times New Roman" w:cs="Times New Roman"/>
          <w:b/>
          <w:bCs/>
          <w:kern w:val="0"/>
          <w:lang w:eastAsia="de-DE"/>
          <w14:ligatures w14:val="none"/>
        </w:rPr>
        <w:t>ausdrücklich offengelassen</w:t>
      </w:r>
      <w:r w:rsidRPr="00CB4DB7">
        <w:rPr>
          <w:rFonts w:ascii="Times New Roman" w:eastAsia="Times New Roman" w:hAnsi="Times New Roman" w:cs="Times New Roman"/>
          <w:kern w:val="0"/>
          <w:lang w:eastAsia="de-DE"/>
          <w14:ligatures w14:val="none"/>
        </w:rPr>
        <w:t xml:space="preserve">, ob den Geschäftsführer über die Darlegungs- hinaus auch die </w:t>
      </w:r>
      <w:r w:rsidRPr="00CB4DB7">
        <w:rPr>
          <w:rFonts w:ascii="Times New Roman" w:eastAsia="Times New Roman" w:hAnsi="Times New Roman" w:cs="Times New Roman"/>
          <w:b/>
          <w:bCs/>
          <w:kern w:val="0"/>
          <w:lang w:eastAsia="de-DE"/>
          <w14:ligatures w14:val="none"/>
        </w:rPr>
        <w:t>Beweislast</w:t>
      </w:r>
      <w:r w:rsidRPr="00CB4DB7">
        <w:rPr>
          <w:rFonts w:ascii="Times New Roman" w:eastAsia="Times New Roman" w:hAnsi="Times New Roman" w:cs="Times New Roman"/>
          <w:kern w:val="0"/>
          <w:lang w:eastAsia="de-DE"/>
          <w14:ligatures w14:val="none"/>
        </w:rPr>
        <w:t xml:space="preserve"> für die Fortbestehensprognose trifft.</w:t>
      </w:r>
      <w:r w:rsidRPr="00CB4DB7">
        <w:rPr>
          <w:rFonts w:ascii="Times New Roman" w:eastAsia="Times New Roman" w:hAnsi="Times New Roman" w:cs="Times New Roman"/>
          <w:kern w:val="0"/>
          <w:vertAlign w:val="superscript"/>
          <w:lang w:eastAsia="de-DE"/>
          <w14:ligatures w14:val="none"/>
        </w:rPr>
        <w:t>29</w:t>
      </w:r>
    </w:p>
    <w:p w14:paraId="1581DB55" w14:textId="77777777" w:rsidR="00CB4DB7" w:rsidRPr="00CB4DB7" w:rsidRDefault="00CB4DB7" w:rsidP="00CB4DB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B4DB7">
        <w:rPr>
          <w:rFonts w:ascii="Times New Roman" w:eastAsia="Times New Roman" w:hAnsi="Times New Roman" w:cs="Times New Roman"/>
          <w:b/>
          <w:bCs/>
          <w:kern w:val="0"/>
          <w:sz w:val="27"/>
          <w:szCs w:val="27"/>
          <w:lang w:eastAsia="de-DE"/>
          <w14:ligatures w14:val="none"/>
        </w:rPr>
        <w:t>II. Klärung zugunsten der Geschäftsführerbeweislast</w:t>
      </w:r>
    </w:p>
    <w:p w14:paraId="31C7F863"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Diese Frage ist inzwischen geklärt: Im Anwendungsbereich des § 64 Satz 1 GmbHG ist der Geschäftsführer für die positive Fortführungsprognose </w:t>
      </w:r>
      <w:r w:rsidRPr="00CB4DB7">
        <w:rPr>
          <w:rFonts w:ascii="Times New Roman" w:eastAsia="Times New Roman" w:hAnsi="Times New Roman" w:cs="Times New Roman"/>
          <w:b/>
          <w:bCs/>
          <w:kern w:val="0"/>
          <w:lang w:eastAsia="de-DE"/>
          <w14:ligatures w14:val="none"/>
        </w:rPr>
        <w:t>darlegungs- und beweispflichtig</w:t>
      </w:r>
      <w:r w:rsidRPr="00CB4DB7">
        <w:rPr>
          <w:rFonts w:ascii="Times New Roman" w:eastAsia="Times New Roman" w:hAnsi="Times New Roman" w:cs="Times New Roman"/>
          <w:kern w:val="0"/>
          <w:lang w:eastAsia="de-DE"/>
          <w14:ligatures w14:val="none"/>
        </w:rPr>
        <w:t xml:space="preserve"> — </w:t>
      </w:r>
      <w:r w:rsidRPr="00CB4DB7">
        <w:rPr>
          <w:rFonts w:ascii="Times New Roman" w:eastAsia="Times New Roman" w:hAnsi="Times New Roman" w:cs="Times New Roman"/>
          <w:b/>
          <w:bCs/>
          <w:kern w:val="0"/>
          <w:lang w:eastAsia="de-DE"/>
          <w14:ligatures w14:val="none"/>
        </w:rPr>
        <w:t>BGH, Urteil vom 18.10.2010 – II ZR 151/09</w:t>
      </w:r>
      <w:r w:rsidRPr="00CB4DB7">
        <w:rPr>
          <w:rFonts w:ascii="Times New Roman" w:eastAsia="Times New Roman" w:hAnsi="Times New Roman" w:cs="Times New Roman"/>
          <w:kern w:val="0"/>
          <w:lang w:eastAsia="de-DE"/>
          <w14:ligatures w14:val="none"/>
        </w:rPr>
        <w:t>, auf das die Instanzrechtsprechung durchgängig verweist (</w:t>
      </w:r>
      <w:r w:rsidRPr="00CB4DB7">
        <w:rPr>
          <w:rFonts w:ascii="Times New Roman" w:eastAsia="Times New Roman" w:hAnsi="Times New Roman" w:cs="Times New Roman"/>
          <w:b/>
          <w:bCs/>
          <w:kern w:val="0"/>
          <w:lang w:eastAsia="de-DE"/>
          <w14:ligatures w14:val="none"/>
        </w:rPr>
        <w:t>OLG Hamburg, Urteil vom 16.03.2018 – 5 U 191/16</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37</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b/>
          <w:bCs/>
          <w:kern w:val="0"/>
          <w:lang w:eastAsia="de-DE"/>
          <w14:ligatures w14:val="none"/>
        </w:rPr>
        <w:t>OLG Hamm, Urteil vom 25.01.2023 – 8 U 153/21</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kern w:val="0"/>
          <w:vertAlign w:val="superscript"/>
          <w:lang w:eastAsia="de-DE"/>
          <w14:ligatures w14:val="none"/>
        </w:rPr>
        <w:t>38</w:t>
      </w:r>
      <w:r w:rsidRPr="00CB4DB7">
        <w:rPr>
          <w:rFonts w:ascii="Times New Roman" w:eastAsia="Times New Roman" w:hAnsi="Times New Roman" w:cs="Times New Roman"/>
          <w:kern w:val="0"/>
          <w:lang w:eastAsia="de-DE"/>
          <w14:ligatures w14:val="none"/>
        </w:rPr>
        <w:t xml:space="preserve">). Die Prognose setzt in subjektiver Hinsicht </w:t>
      </w:r>
      <w:r w:rsidRPr="00CB4DB7">
        <w:rPr>
          <w:rFonts w:ascii="Times New Roman" w:eastAsia="Times New Roman" w:hAnsi="Times New Roman" w:cs="Times New Roman"/>
          <w:b/>
          <w:bCs/>
          <w:kern w:val="0"/>
          <w:lang w:eastAsia="de-DE"/>
          <w14:ligatures w14:val="none"/>
        </w:rPr>
        <w:t>Fortführungswillen</w:t>
      </w:r>
      <w:r w:rsidRPr="00CB4DB7">
        <w:rPr>
          <w:rFonts w:ascii="Times New Roman" w:eastAsia="Times New Roman" w:hAnsi="Times New Roman" w:cs="Times New Roman"/>
          <w:kern w:val="0"/>
          <w:lang w:eastAsia="de-DE"/>
          <w14:ligatures w14:val="none"/>
        </w:rPr>
        <w:t xml:space="preserve"> und in objektiver Hinsicht die aus einem aussagekräftigen Ertrags- und Finanzplan herzuleitende </w:t>
      </w:r>
      <w:r w:rsidRPr="00CB4DB7">
        <w:rPr>
          <w:rFonts w:ascii="Times New Roman" w:eastAsia="Times New Roman" w:hAnsi="Times New Roman" w:cs="Times New Roman"/>
          <w:b/>
          <w:bCs/>
          <w:kern w:val="0"/>
          <w:lang w:eastAsia="de-DE"/>
          <w14:ligatures w14:val="none"/>
        </w:rPr>
        <w:t>Überlebensfähigkeit</w:t>
      </w:r>
      <w:r w:rsidRPr="00CB4DB7">
        <w:rPr>
          <w:rFonts w:ascii="Times New Roman" w:eastAsia="Times New Roman" w:hAnsi="Times New Roman" w:cs="Times New Roman"/>
          <w:kern w:val="0"/>
          <w:lang w:eastAsia="de-DE"/>
          <w14:ligatures w14:val="none"/>
        </w:rPr>
        <w:t xml:space="preserve"> voraus — </w:t>
      </w:r>
      <w:r w:rsidRPr="00CB4DB7">
        <w:rPr>
          <w:rFonts w:ascii="Times New Roman" w:eastAsia="Times New Roman" w:hAnsi="Times New Roman" w:cs="Times New Roman"/>
          <w:b/>
          <w:bCs/>
          <w:kern w:val="0"/>
          <w:lang w:eastAsia="de-DE"/>
          <w14:ligatures w14:val="none"/>
        </w:rPr>
        <w:t>BGH, Urteil vom 23.01.2018 – II ZR 246/15</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kern w:val="0"/>
          <w:vertAlign w:val="superscript"/>
          <w:lang w:eastAsia="de-DE"/>
          <w14:ligatures w14:val="none"/>
        </w:rPr>
        <w:t>9</w:t>
      </w:r>
      <w:r w:rsidRPr="00CB4DB7">
        <w:rPr>
          <w:rFonts w:ascii="Times New Roman" w:eastAsia="Times New Roman" w:hAnsi="Times New Roman" w:cs="Times New Roman"/>
          <w:kern w:val="0"/>
          <w:lang w:eastAsia="de-DE"/>
          <w14:ligatures w14:val="none"/>
        </w:rPr>
        <w:t xml:space="preserve"> und </w:t>
      </w:r>
      <w:r w:rsidRPr="00CB4DB7">
        <w:rPr>
          <w:rFonts w:ascii="Times New Roman" w:eastAsia="Times New Roman" w:hAnsi="Times New Roman" w:cs="Times New Roman"/>
          <w:b/>
          <w:bCs/>
          <w:kern w:val="0"/>
          <w:lang w:eastAsia="de-DE"/>
          <w14:ligatures w14:val="none"/>
        </w:rPr>
        <w:t>BGH, Beschluss vom 24.09.2019 – II ZR 248/17</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39</w:t>
      </w:r>
      <w:r w:rsidRPr="00CB4DB7">
        <w:rPr>
          <w:rFonts w:ascii="Times New Roman" w:eastAsia="Times New Roman" w:hAnsi="Times New Roman" w:cs="Times New Roman"/>
          <w:kern w:val="0"/>
          <w:lang w:eastAsia="de-DE"/>
          <w14:ligatures w14:val="none"/>
        </w:rPr>
        <w:t xml:space="preserve"> Obergerichtlich bestätigt durch OLG Hamburg (5 U 191/16),</w:t>
      </w:r>
      <w:r w:rsidRPr="00CB4DB7">
        <w:rPr>
          <w:rFonts w:ascii="Times New Roman" w:eastAsia="Times New Roman" w:hAnsi="Times New Roman" w:cs="Times New Roman"/>
          <w:kern w:val="0"/>
          <w:vertAlign w:val="superscript"/>
          <w:lang w:eastAsia="de-DE"/>
          <w14:ligatures w14:val="none"/>
        </w:rPr>
        <w:t>37</w:t>
      </w:r>
      <w:r w:rsidRPr="00CB4DB7">
        <w:rPr>
          <w:rFonts w:ascii="Times New Roman" w:eastAsia="Times New Roman" w:hAnsi="Times New Roman" w:cs="Times New Roman"/>
          <w:kern w:val="0"/>
          <w:lang w:eastAsia="de-DE"/>
          <w14:ligatures w14:val="none"/>
        </w:rPr>
        <w:t xml:space="preserve"> OLG Köln (18 U 226/13),</w:t>
      </w:r>
      <w:r w:rsidRPr="00CB4DB7">
        <w:rPr>
          <w:rFonts w:ascii="Times New Roman" w:eastAsia="Times New Roman" w:hAnsi="Times New Roman" w:cs="Times New Roman"/>
          <w:kern w:val="0"/>
          <w:vertAlign w:val="superscript"/>
          <w:lang w:eastAsia="de-DE"/>
          <w14:ligatures w14:val="none"/>
        </w:rPr>
        <w:t>40</w:t>
      </w:r>
      <w:r w:rsidRPr="00CB4DB7">
        <w:rPr>
          <w:rFonts w:ascii="Times New Roman" w:eastAsia="Times New Roman" w:hAnsi="Times New Roman" w:cs="Times New Roman"/>
          <w:kern w:val="0"/>
          <w:lang w:eastAsia="de-DE"/>
          <w14:ligatures w14:val="none"/>
        </w:rPr>
        <w:t xml:space="preserve"> OLG Stuttgart (4 U 189/05),</w:t>
      </w:r>
      <w:r w:rsidRPr="00CB4DB7">
        <w:rPr>
          <w:rFonts w:ascii="Times New Roman" w:eastAsia="Times New Roman" w:hAnsi="Times New Roman" w:cs="Times New Roman"/>
          <w:kern w:val="0"/>
          <w:vertAlign w:val="superscript"/>
          <w:lang w:eastAsia="de-DE"/>
          <w14:ligatures w14:val="none"/>
        </w:rPr>
        <w:t>41</w:t>
      </w:r>
      <w:r w:rsidRPr="00CB4DB7">
        <w:rPr>
          <w:rFonts w:ascii="Times New Roman" w:eastAsia="Times New Roman" w:hAnsi="Times New Roman" w:cs="Times New Roman"/>
          <w:kern w:val="0"/>
          <w:lang w:eastAsia="de-DE"/>
          <w14:ligatures w14:val="none"/>
        </w:rPr>
        <w:t xml:space="preserve"> OLG Naumburg (5 U 67/03),</w:t>
      </w:r>
      <w:r w:rsidRPr="00CB4DB7">
        <w:rPr>
          <w:rFonts w:ascii="Times New Roman" w:eastAsia="Times New Roman" w:hAnsi="Times New Roman" w:cs="Times New Roman"/>
          <w:kern w:val="0"/>
          <w:vertAlign w:val="superscript"/>
          <w:lang w:eastAsia="de-DE"/>
          <w14:ligatures w14:val="none"/>
        </w:rPr>
        <w:t>42</w:t>
      </w:r>
      <w:r w:rsidRPr="00CB4DB7">
        <w:rPr>
          <w:rFonts w:ascii="Times New Roman" w:eastAsia="Times New Roman" w:hAnsi="Times New Roman" w:cs="Times New Roman"/>
          <w:kern w:val="0"/>
          <w:lang w:eastAsia="de-DE"/>
          <w14:ligatures w14:val="none"/>
        </w:rPr>
        <w:t xml:space="preserve"> KG Berlin (7 U 49/05) </w:t>
      </w:r>
      <w:r w:rsidRPr="00CB4DB7">
        <w:rPr>
          <w:rFonts w:ascii="Times New Roman" w:eastAsia="Times New Roman" w:hAnsi="Times New Roman" w:cs="Times New Roman"/>
          <w:kern w:val="0"/>
          <w:vertAlign w:val="superscript"/>
          <w:lang w:eastAsia="de-DE"/>
          <w14:ligatures w14:val="none"/>
        </w:rPr>
        <w:t>43</w:t>
      </w:r>
      <w:r w:rsidRPr="00CB4DB7">
        <w:rPr>
          <w:rFonts w:ascii="Times New Roman" w:eastAsia="Times New Roman" w:hAnsi="Times New Roman" w:cs="Times New Roman"/>
          <w:kern w:val="0"/>
          <w:lang w:eastAsia="de-DE"/>
          <w14:ligatures w14:val="none"/>
        </w:rPr>
        <w:t xml:space="preserve"> und OLG Rostock (8 U 65/06).</w:t>
      </w:r>
      <w:r w:rsidRPr="00CB4DB7">
        <w:rPr>
          <w:rFonts w:ascii="Times New Roman" w:eastAsia="Times New Roman" w:hAnsi="Times New Roman" w:cs="Times New Roman"/>
          <w:kern w:val="0"/>
          <w:vertAlign w:val="superscript"/>
          <w:lang w:eastAsia="de-DE"/>
          <w14:ligatures w14:val="none"/>
        </w:rPr>
        <w:t>44</w:t>
      </w:r>
    </w:p>
    <w:p w14:paraId="5F90C3C2"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Erläuterung (ergänzt):</w:t>
      </w:r>
      <w:r w:rsidRPr="00CB4DB7">
        <w:rPr>
          <w:rFonts w:ascii="Times New Roman" w:eastAsia="Times New Roman" w:hAnsi="Times New Roman" w:cs="Times New Roman"/>
          <w:kern w:val="0"/>
          <w:lang w:eastAsia="de-DE"/>
          <w14:ligatures w14:val="none"/>
        </w:rPr>
        <w:t xml:space="preserve"> Dem Geschäftsführer steht ein </w:t>
      </w:r>
      <w:r w:rsidRPr="00CB4DB7">
        <w:rPr>
          <w:rFonts w:ascii="Times New Roman" w:eastAsia="Times New Roman" w:hAnsi="Times New Roman" w:cs="Times New Roman"/>
          <w:b/>
          <w:bCs/>
          <w:kern w:val="0"/>
          <w:lang w:eastAsia="de-DE"/>
          <w14:ligatures w14:val="none"/>
        </w:rPr>
        <w:t>ex-ante-Beurteilungsspielraum</w:t>
      </w:r>
      <w:r w:rsidRPr="00CB4DB7">
        <w:rPr>
          <w:rFonts w:ascii="Times New Roman" w:eastAsia="Times New Roman" w:hAnsi="Times New Roman" w:cs="Times New Roman"/>
          <w:kern w:val="0"/>
          <w:lang w:eastAsia="de-DE"/>
          <w14:ligatures w14:val="none"/>
        </w:rPr>
        <w:t xml:space="preserve"> zu; maßgeblich ist nicht die nachträgliche, sondern die damalige Sicht eines ordentlichen Geschäftsmanns (</w:t>
      </w:r>
      <w:r w:rsidRPr="00CB4DB7">
        <w:rPr>
          <w:rFonts w:ascii="Times New Roman" w:eastAsia="Times New Roman" w:hAnsi="Times New Roman" w:cs="Times New Roman"/>
          <w:b/>
          <w:bCs/>
          <w:kern w:val="0"/>
          <w:lang w:eastAsia="de-DE"/>
          <w14:ligatures w14:val="none"/>
        </w:rPr>
        <w:t>BGH, Urteil vom 13.07.2021 – II ZR 84/20</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45</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b/>
          <w:bCs/>
          <w:kern w:val="0"/>
          <w:lang w:eastAsia="de-DE"/>
          <w14:ligatures w14:val="none"/>
        </w:rPr>
        <w:t>OLG Schleswig, Urteil vom 11.02.2010 – 5 U 60/09</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kern w:val="0"/>
          <w:vertAlign w:val="superscript"/>
          <w:lang w:eastAsia="de-DE"/>
          <w14:ligatures w14:val="none"/>
        </w:rPr>
        <w:t>46</w:t>
      </w:r>
      <w:r w:rsidRPr="00CB4DB7">
        <w:rPr>
          <w:rFonts w:ascii="Times New Roman" w:eastAsia="Times New Roman" w:hAnsi="Times New Roman" w:cs="Times New Roman"/>
          <w:kern w:val="0"/>
          <w:lang w:eastAsia="de-DE"/>
          <w14:ligatures w14:val="none"/>
        </w:rPr>
        <w:t xml:space="preserve">). Die Prognose ist im Kern eine </w:t>
      </w:r>
      <w:r w:rsidRPr="00CB4DB7">
        <w:rPr>
          <w:rFonts w:ascii="Times New Roman" w:eastAsia="Times New Roman" w:hAnsi="Times New Roman" w:cs="Times New Roman"/>
          <w:b/>
          <w:bCs/>
          <w:kern w:val="0"/>
          <w:lang w:eastAsia="de-DE"/>
          <w14:ligatures w14:val="none"/>
        </w:rPr>
        <w:lastRenderedPageBreak/>
        <w:t>Zahlungsfähigkeitsprognose</w:t>
      </w:r>
      <w:r w:rsidRPr="00CB4DB7">
        <w:rPr>
          <w:rFonts w:ascii="Times New Roman" w:eastAsia="Times New Roman" w:hAnsi="Times New Roman" w:cs="Times New Roman"/>
          <w:kern w:val="0"/>
          <w:lang w:eastAsia="de-DE"/>
          <w14:ligatures w14:val="none"/>
        </w:rPr>
        <w:t>, die regelmäßig einen auf ein bis zwei Geschäftsjahre ausgelegten dokumentierten Finanz- und Ertragsplan voraussetzt.</w:t>
      </w:r>
      <w:r w:rsidRPr="00CB4DB7">
        <w:rPr>
          <w:rFonts w:ascii="Times New Roman" w:eastAsia="Times New Roman" w:hAnsi="Times New Roman" w:cs="Times New Roman"/>
          <w:kern w:val="0"/>
          <w:vertAlign w:val="superscript"/>
          <w:lang w:eastAsia="de-DE"/>
          <w14:ligatures w14:val="none"/>
        </w:rPr>
        <w:t>47</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kern w:val="0"/>
          <w:vertAlign w:val="superscript"/>
          <w:lang w:eastAsia="de-DE"/>
          <w14:ligatures w14:val="none"/>
        </w:rPr>
        <w:t>48</w:t>
      </w:r>
    </w:p>
    <w:p w14:paraId="4FB2C27E" w14:textId="77777777" w:rsidR="00CB4DB7" w:rsidRPr="00CB4DB7" w:rsidRDefault="00B476C7" w:rsidP="00CB4DB7">
      <w:pPr>
        <w:spacing w:after="0" w:line="240" w:lineRule="auto"/>
        <w:rPr>
          <w:rFonts w:ascii="Times New Roman" w:eastAsia="Times New Roman" w:hAnsi="Times New Roman" w:cs="Times New Roman"/>
          <w:kern w:val="0"/>
          <w:lang w:eastAsia="de-DE"/>
          <w14:ligatures w14:val="none"/>
        </w:rPr>
      </w:pPr>
      <w:r w:rsidRPr="00B476C7">
        <w:rPr>
          <w:rFonts w:ascii="Times New Roman" w:eastAsia="Times New Roman" w:hAnsi="Times New Roman" w:cs="Times New Roman"/>
          <w:noProof/>
          <w:kern w:val="0"/>
          <w:lang w:eastAsia="de-DE"/>
        </w:rPr>
        <w:pict w14:anchorId="1CB769DE">
          <v:rect id="_x0000_i1028" alt="" style="width:453.6pt;height:.05pt;mso-width-percent:0;mso-height-percent:0;mso-width-percent:0;mso-height-percent:0" o:hralign="center" o:hrstd="t" o:hr="t" fillcolor="#a0a0a0" stroked="f"/>
        </w:pict>
      </w:r>
    </w:p>
    <w:p w14:paraId="17DC2D86" w14:textId="77777777" w:rsidR="00CB4DB7" w:rsidRPr="00CB4DB7" w:rsidRDefault="00CB4DB7" w:rsidP="00CB4DB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B4DB7">
        <w:rPr>
          <w:rFonts w:ascii="Times New Roman" w:eastAsia="Times New Roman" w:hAnsi="Times New Roman" w:cs="Times New Roman"/>
          <w:b/>
          <w:bCs/>
          <w:kern w:val="0"/>
          <w:sz w:val="36"/>
          <w:szCs w:val="36"/>
          <w:lang w:eastAsia="de-DE"/>
          <w14:ligatures w14:val="none"/>
        </w:rPr>
        <w:t>F. Verjährung — Verifikation und Abgrenzung zu § 146 InsO</w:t>
      </w:r>
    </w:p>
    <w:p w14:paraId="74CB27AC" w14:textId="77777777" w:rsidR="00CB4DB7" w:rsidRPr="00CB4DB7" w:rsidRDefault="00CB4DB7" w:rsidP="00CB4DB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B4DB7">
        <w:rPr>
          <w:rFonts w:ascii="Times New Roman" w:eastAsia="Times New Roman" w:hAnsi="Times New Roman" w:cs="Times New Roman"/>
          <w:b/>
          <w:bCs/>
          <w:kern w:val="0"/>
          <w:sz w:val="27"/>
          <w:szCs w:val="27"/>
          <w:lang w:eastAsia="de-DE"/>
          <w14:ligatures w14:val="none"/>
        </w:rPr>
        <w:t>I. Bestätigung der fünfjährigen Frist</w:t>
      </w:r>
    </w:p>
    <w:p w14:paraId="30BDE1F4"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Die Fünfjahresfrist nach § 31 Abs. 5 GmbHG a.F. ist mehrfach abgesichert: </w:t>
      </w:r>
      <w:r w:rsidRPr="00CB4DB7">
        <w:rPr>
          <w:rFonts w:ascii="Times New Roman" w:eastAsia="Times New Roman" w:hAnsi="Times New Roman" w:cs="Times New Roman"/>
          <w:b/>
          <w:bCs/>
          <w:kern w:val="0"/>
          <w:lang w:eastAsia="de-DE"/>
          <w14:ligatures w14:val="none"/>
        </w:rPr>
        <w:t>OLG Brandenburg, Urteil vom 31.07.2007 – 6 U 116/06</w:t>
      </w:r>
      <w:r w:rsidRPr="00CB4DB7">
        <w:rPr>
          <w:rFonts w:ascii="Times New Roman" w:eastAsia="Times New Roman" w:hAnsi="Times New Roman" w:cs="Times New Roman"/>
          <w:kern w:val="0"/>
          <w:lang w:eastAsia="de-DE"/>
          <w14:ligatures w14:val="none"/>
        </w:rPr>
        <w:t xml:space="preserve"> stellt klar, dass die Verjährung mit Ablauf des Tages der Leistung beginnt und bei böslicher Handlungsweise nicht gilt;</w:t>
      </w:r>
      <w:r w:rsidRPr="00CB4DB7">
        <w:rPr>
          <w:rFonts w:ascii="Times New Roman" w:eastAsia="Times New Roman" w:hAnsi="Times New Roman" w:cs="Times New Roman"/>
          <w:kern w:val="0"/>
          <w:vertAlign w:val="superscript"/>
          <w:lang w:eastAsia="de-DE"/>
          <w14:ligatures w14:val="none"/>
        </w:rPr>
        <w:t>49</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b/>
          <w:bCs/>
          <w:kern w:val="0"/>
          <w:lang w:eastAsia="de-DE"/>
          <w14:ligatures w14:val="none"/>
        </w:rPr>
        <w:t>OLG Düsseldorf, Urteil vom 21.11.2007 – I-15 U 192/06</w:t>
      </w:r>
      <w:r w:rsidRPr="00CB4DB7">
        <w:rPr>
          <w:rFonts w:ascii="Times New Roman" w:eastAsia="Times New Roman" w:hAnsi="Times New Roman" w:cs="Times New Roman"/>
          <w:kern w:val="0"/>
          <w:lang w:eastAsia="de-DE"/>
          <w14:ligatures w14:val="none"/>
        </w:rPr>
        <w:t xml:space="preserve"> bestätigt die fünfjährige Frist ab Leistung an den Gesellschafter.</w:t>
      </w:r>
      <w:r w:rsidRPr="00CB4DB7">
        <w:rPr>
          <w:rFonts w:ascii="Times New Roman" w:eastAsia="Times New Roman" w:hAnsi="Times New Roman" w:cs="Times New Roman"/>
          <w:kern w:val="0"/>
          <w:vertAlign w:val="superscript"/>
          <w:lang w:eastAsia="de-DE"/>
          <w14:ligatures w14:val="none"/>
        </w:rPr>
        <w:t>50</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b/>
          <w:bCs/>
          <w:kern w:val="0"/>
          <w:lang w:eastAsia="de-DE"/>
          <w14:ligatures w14:val="none"/>
        </w:rPr>
        <w:t>OLG Naumburg, Urteil vom 05.09.2001 – 6 U 56/01</w:t>
      </w:r>
      <w:r w:rsidRPr="00CB4DB7">
        <w:rPr>
          <w:rFonts w:ascii="Times New Roman" w:eastAsia="Times New Roman" w:hAnsi="Times New Roman" w:cs="Times New Roman"/>
          <w:kern w:val="0"/>
          <w:lang w:eastAsia="de-DE"/>
          <w14:ligatures w14:val="none"/>
        </w:rPr>
        <w:t xml:space="preserve"> präzisiert den Fristbeginn bei eigenkapitalersetzender Bürgschaft: Maßgeblich ist nicht das Datum der Bürgschaftserklärung, sondern der Tag der Befreiung des Gesellschafters durch Befriedigung des Gläubigers.</w:t>
      </w:r>
      <w:r w:rsidRPr="00CB4DB7">
        <w:rPr>
          <w:rFonts w:ascii="Times New Roman" w:eastAsia="Times New Roman" w:hAnsi="Times New Roman" w:cs="Times New Roman"/>
          <w:kern w:val="0"/>
          <w:vertAlign w:val="superscript"/>
          <w:lang w:eastAsia="de-DE"/>
          <w14:ligatures w14:val="none"/>
        </w:rPr>
        <w:t>51</w:t>
      </w:r>
    </w:p>
    <w:p w14:paraId="7F9219D7"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Ergänzte Linie (durchverifiziert): OLG Düsseldorf, Urteil vom 30.07.2010 – I-6 U 176/09</w:t>
      </w:r>
      <w:r w:rsidRPr="00CB4DB7">
        <w:rPr>
          <w:rFonts w:ascii="Times New Roman" w:eastAsia="Times New Roman" w:hAnsi="Times New Roman" w:cs="Times New Roman"/>
          <w:kern w:val="0"/>
          <w:lang w:eastAsia="de-DE"/>
          <w14:ligatures w14:val="none"/>
        </w:rPr>
        <w:t xml:space="preserve"> wendet die alte fünfjährige Frist auf Erstattungsansprüche nach den Rechtsprechungsregeln in Altfällen an, wenn der Ersatzpflichtige </w:t>
      </w:r>
      <w:r w:rsidRPr="00CB4DB7">
        <w:rPr>
          <w:rFonts w:ascii="Times New Roman" w:eastAsia="Times New Roman" w:hAnsi="Times New Roman" w:cs="Times New Roman"/>
          <w:b/>
          <w:bCs/>
          <w:kern w:val="0"/>
          <w:lang w:eastAsia="de-DE"/>
          <w14:ligatures w14:val="none"/>
        </w:rPr>
        <w:t>gutgläubig</w:t>
      </w:r>
      <w:r w:rsidRPr="00CB4DB7">
        <w:rPr>
          <w:rFonts w:ascii="Times New Roman" w:eastAsia="Times New Roman" w:hAnsi="Times New Roman" w:cs="Times New Roman"/>
          <w:kern w:val="0"/>
          <w:lang w:eastAsia="de-DE"/>
          <w14:ligatures w14:val="none"/>
        </w:rPr>
        <w:t xml:space="preserve"> handelte — unter Verweis auf </w:t>
      </w:r>
      <w:r w:rsidRPr="00CB4DB7">
        <w:rPr>
          <w:rFonts w:ascii="Times New Roman" w:eastAsia="Times New Roman" w:hAnsi="Times New Roman" w:cs="Times New Roman"/>
          <w:b/>
          <w:bCs/>
          <w:kern w:val="0"/>
          <w:lang w:eastAsia="de-DE"/>
          <w14:ligatures w14:val="none"/>
        </w:rPr>
        <w:t>BGH, Urteil vom 29.09.2009 – II ZR 234/07</w:t>
      </w:r>
      <w:r w:rsidRPr="00CB4DB7">
        <w:rPr>
          <w:rFonts w:ascii="Times New Roman" w:eastAsia="Times New Roman" w:hAnsi="Times New Roman" w:cs="Times New Roman"/>
          <w:kern w:val="0"/>
          <w:lang w:eastAsia="de-DE"/>
          <w14:ligatures w14:val="none"/>
        </w:rPr>
        <w:t xml:space="preserve"> und </w:t>
      </w:r>
      <w:r w:rsidRPr="00CB4DB7">
        <w:rPr>
          <w:rFonts w:ascii="Times New Roman" w:eastAsia="Times New Roman" w:hAnsi="Times New Roman" w:cs="Times New Roman"/>
          <w:b/>
          <w:bCs/>
          <w:kern w:val="0"/>
          <w:lang w:eastAsia="de-DE"/>
          <w14:ligatures w14:val="none"/>
        </w:rPr>
        <w:t>BGH, Urteil vom 20.07.2009 – II ZR 36/08</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52</w:t>
      </w:r>
      <w:r w:rsidRPr="00CB4DB7">
        <w:rPr>
          <w:rFonts w:ascii="Times New Roman" w:eastAsia="Times New Roman" w:hAnsi="Times New Roman" w:cs="Times New Roman"/>
          <w:kern w:val="0"/>
          <w:lang w:eastAsia="de-DE"/>
          <w14:ligatures w14:val="none"/>
        </w:rPr>
        <w:t xml:space="preserve"> Letzteres bestätigt, dass die Frist frühestens mit der Verwertung der Sicherheit als Zeitpunkt der Auszahlung beginnt.</w:t>
      </w:r>
      <w:r w:rsidRPr="00CB4DB7">
        <w:rPr>
          <w:rFonts w:ascii="Times New Roman" w:eastAsia="Times New Roman" w:hAnsi="Times New Roman" w:cs="Times New Roman"/>
          <w:kern w:val="0"/>
          <w:vertAlign w:val="superscript"/>
          <w:lang w:eastAsia="de-DE"/>
          <w14:ligatures w14:val="none"/>
        </w:rPr>
        <w:t>53</w:t>
      </w:r>
    </w:p>
    <w:p w14:paraId="22F642E5" w14:textId="77777777" w:rsidR="00CB4DB7" w:rsidRPr="00CB4DB7" w:rsidRDefault="00CB4DB7" w:rsidP="00CB4DB7">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B4DB7">
        <w:rPr>
          <w:rFonts w:ascii="Times New Roman" w:eastAsia="Times New Roman" w:hAnsi="Times New Roman" w:cs="Times New Roman"/>
          <w:b/>
          <w:bCs/>
          <w:kern w:val="0"/>
          <w:sz w:val="27"/>
          <w:szCs w:val="27"/>
          <w:lang w:eastAsia="de-DE"/>
          <w14:ligatures w14:val="none"/>
        </w:rPr>
        <w:t>II. Abgrenzung zum Anfechtungsanspruch nach § 146 InsO</w:t>
      </w:r>
    </w:p>
    <w:p w14:paraId="5C711359"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Die im Beschluss vorgenommene Abgrenzung zu § 146 InsO </w:t>
      </w:r>
      <w:r w:rsidRPr="00CB4DB7">
        <w:rPr>
          <w:rFonts w:ascii="Times New Roman" w:eastAsia="Times New Roman" w:hAnsi="Times New Roman" w:cs="Times New Roman"/>
          <w:kern w:val="0"/>
          <w:vertAlign w:val="superscript"/>
          <w:lang w:eastAsia="de-DE"/>
          <w14:ligatures w14:val="none"/>
        </w:rPr>
        <w:t>1</w:t>
      </w:r>
      <w:r w:rsidRPr="00CB4DB7">
        <w:rPr>
          <w:rFonts w:ascii="Times New Roman" w:eastAsia="Times New Roman" w:hAnsi="Times New Roman" w:cs="Times New Roman"/>
          <w:kern w:val="0"/>
          <w:lang w:eastAsia="de-DE"/>
          <w14:ligatures w14:val="none"/>
        </w:rPr>
        <w:t xml:space="preserve"> wird durch </w:t>
      </w:r>
      <w:r w:rsidRPr="00CB4DB7">
        <w:rPr>
          <w:rFonts w:ascii="Times New Roman" w:eastAsia="Times New Roman" w:hAnsi="Times New Roman" w:cs="Times New Roman"/>
          <w:b/>
          <w:bCs/>
          <w:kern w:val="0"/>
          <w:lang w:eastAsia="de-DE"/>
          <w14:ligatures w14:val="none"/>
        </w:rPr>
        <w:t>BGH, Urteil vom 09.12.2021 – IX ZR 201/20</w:t>
      </w:r>
      <w:r w:rsidRPr="00CB4DB7">
        <w:rPr>
          <w:rFonts w:ascii="Times New Roman" w:eastAsia="Times New Roman" w:hAnsi="Times New Roman" w:cs="Times New Roman"/>
          <w:kern w:val="0"/>
          <w:lang w:eastAsia="de-DE"/>
          <w14:ligatures w14:val="none"/>
        </w:rPr>
        <w:t xml:space="preserve"> beleuchtet: Für den </w:t>
      </w:r>
      <w:r w:rsidRPr="00CB4DB7">
        <w:rPr>
          <w:rFonts w:ascii="Times New Roman" w:eastAsia="Times New Roman" w:hAnsi="Times New Roman" w:cs="Times New Roman"/>
          <w:b/>
          <w:bCs/>
          <w:kern w:val="0"/>
          <w:lang w:eastAsia="de-DE"/>
          <w14:ligatures w14:val="none"/>
        </w:rPr>
        <w:t>insolvenzrechtlichen Anfechtungsanspruch</w:t>
      </w:r>
      <w:r w:rsidRPr="00CB4DB7">
        <w:rPr>
          <w:rFonts w:ascii="Times New Roman" w:eastAsia="Times New Roman" w:hAnsi="Times New Roman" w:cs="Times New Roman"/>
          <w:kern w:val="0"/>
          <w:lang w:eastAsia="de-DE"/>
          <w14:ligatures w14:val="none"/>
        </w:rPr>
        <w:t xml:space="preserve"> aus § 143 Abs. 3 Satz 1, § 135 Abs. 2 InsO richtet sich die Verjährung gemäß § 146 InsO nach den Regeln der regelmäßigen BGB-Verjährung, wobei sie bei Verwertung der Gesellschaftersicherheit erst mit deren </w:t>
      </w:r>
      <w:r w:rsidRPr="00CB4DB7">
        <w:rPr>
          <w:rFonts w:ascii="Times New Roman" w:eastAsia="Times New Roman" w:hAnsi="Times New Roman" w:cs="Times New Roman"/>
          <w:b/>
          <w:bCs/>
          <w:kern w:val="0"/>
          <w:lang w:eastAsia="de-DE"/>
          <w14:ligatures w14:val="none"/>
        </w:rPr>
        <w:t>Freiwerden</w:t>
      </w:r>
      <w:r w:rsidRPr="00CB4DB7">
        <w:rPr>
          <w:rFonts w:ascii="Times New Roman" w:eastAsia="Times New Roman" w:hAnsi="Times New Roman" w:cs="Times New Roman"/>
          <w:kern w:val="0"/>
          <w:lang w:eastAsia="de-DE"/>
          <w14:ligatures w14:val="none"/>
        </w:rPr>
        <w:t xml:space="preserve"> beginnt.</w:t>
      </w:r>
      <w:r w:rsidRPr="00CB4DB7">
        <w:rPr>
          <w:rFonts w:ascii="Times New Roman" w:eastAsia="Times New Roman" w:hAnsi="Times New Roman" w:cs="Times New Roman"/>
          <w:kern w:val="0"/>
          <w:vertAlign w:val="superscript"/>
          <w:lang w:eastAsia="de-DE"/>
          <w14:ligatures w14:val="none"/>
        </w:rPr>
        <w:t>54</w:t>
      </w:r>
      <w:r w:rsidRPr="00CB4DB7">
        <w:rPr>
          <w:rFonts w:ascii="Times New Roman" w:eastAsia="Times New Roman" w:hAnsi="Times New Roman" w:cs="Times New Roman"/>
          <w:kern w:val="0"/>
          <w:lang w:eastAsia="de-DE"/>
          <w14:ligatures w14:val="none"/>
        </w:rPr>
        <w:t xml:space="preserve"> Das bestätigt zugleich die im Beschluss (Rn. 14) angesprochene Anknüpfung an das Freiwerden des Grundstücks; ebenso </w:t>
      </w:r>
      <w:r w:rsidRPr="00CB4DB7">
        <w:rPr>
          <w:rFonts w:ascii="Times New Roman" w:eastAsia="Times New Roman" w:hAnsi="Times New Roman" w:cs="Times New Roman"/>
          <w:b/>
          <w:bCs/>
          <w:kern w:val="0"/>
          <w:lang w:eastAsia="de-DE"/>
          <w14:ligatures w14:val="none"/>
        </w:rPr>
        <w:t>OLG Düsseldorf, Urteil vom 24.09.2020 – 12 U 1/20</w:t>
      </w:r>
      <w:r w:rsidRPr="00CB4DB7">
        <w:rPr>
          <w:rFonts w:ascii="Times New Roman" w:eastAsia="Times New Roman" w:hAnsi="Times New Roman" w:cs="Times New Roman"/>
          <w:kern w:val="0"/>
          <w:lang w:eastAsia="de-DE"/>
          <w14:ligatures w14:val="none"/>
        </w:rPr>
        <w:t>.</w:t>
      </w:r>
      <w:r w:rsidRPr="00CB4DB7">
        <w:rPr>
          <w:rFonts w:ascii="Times New Roman" w:eastAsia="Times New Roman" w:hAnsi="Times New Roman" w:cs="Times New Roman"/>
          <w:kern w:val="0"/>
          <w:vertAlign w:val="superscript"/>
          <w:lang w:eastAsia="de-DE"/>
          <w14:ligatures w14:val="none"/>
        </w:rPr>
        <w:t>55</w:t>
      </w:r>
    </w:p>
    <w:p w14:paraId="79001419" w14:textId="77777777" w:rsidR="00CB4DB7" w:rsidRPr="00CB4DB7" w:rsidRDefault="00B476C7" w:rsidP="00CB4DB7">
      <w:pPr>
        <w:spacing w:after="0" w:line="240" w:lineRule="auto"/>
        <w:rPr>
          <w:rFonts w:ascii="Times New Roman" w:eastAsia="Times New Roman" w:hAnsi="Times New Roman" w:cs="Times New Roman"/>
          <w:kern w:val="0"/>
          <w:lang w:eastAsia="de-DE"/>
          <w14:ligatures w14:val="none"/>
        </w:rPr>
      </w:pPr>
      <w:r w:rsidRPr="00B476C7">
        <w:rPr>
          <w:rFonts w:ascii="Times New Roman" w:eastAsia="Times New Roman" w:hAnsi="Times New Roman" w:cs="Times New Roman"/>
          <w:noProof/>
          <w:kern w:val="0"/>
          <w:lang w:eastAsia="de-DE"/>
        </w:rPr>
        <w:pict w14:anchorId="74A68039">
          <v:rect id="_x0000_i1027" alt="" style="width:453.6pt;height:.05pt;mso-width-percent:0;mso-height-percent:0;mso-width-percent:0;mso-height-percent:0" o:hralign="center" o:hrstd="t" o:hr="t" fillcolor="#a0a0a0" stroked="f"/>
        </w:pict>
      </w:r>
    </w:p>
    <w:p w14:paraId="130FE9F6" w14:textId="77777777" w:rsidR="00CB4DB7" w:rsidRPr="00CB4DB7" w:rsidRDefault="00CB4DB7" w:rsidP="00CB4DB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B4DB7">
        <w:rPr>
          <w:rFonts w:ascii="Times New Roman" w:eastAsia="Times New Roman" w:hAnsi="Times New Roman" w:cs="Times New Roman"/>
          <w:b/>
          <w:bCs/>
          <w:kern w:val="0"/>
          <w:sz w:val="36"/>
          <w:szCs w:val="36"/>
          <w:lang w:eastAsia="de-DE"/>
          <w14:ligatures w14:val="none"/>
        </w:rPr>
        <w:t>G. Gesamtwürdigung — Fortgeltung und Übertragbarkeit</w:t>
      </w:r>
    </w:p>
    <w:p w14:paraId="648F44FA"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Der Beschluss ist in allen tragenden Punkten </w:t>
      </w:r>
      <w:r w:rsidRPr="00CB4DB7">
        <w:rPr>
          <w:rFonts w:ascii="Times New Roman" w:eastAsia="Times New Roman" w:hAnsi="Times New Roman" w:cs="Times New Roman"/>
          <w:b/>
          <w:bCs/>
          <w:kern w:val="0"/>
          <w:lang w:eastAsia="de-DE"/>
          <w14:ligatures w14:val="none"/>
        </w:rPr>
        <w:t>bestätigt und fortgeltend</w:t>
      </w:r>
      <w:r w:rsidRPr="00CB4DB7">
        <w:rPr>
          <w:rFonts w:ascii="Times New Roman" w:eastAsia="Times New Roman" w:hAnsi="Times New Roman" w:cs="Times New Roman"/>
          <w:kern w:val="0"/>
          <w:lang w:eastAsia="de-DE"/>
          <w14:ligatures w14:val="none"/>
        </w:rPr>
        <w:t>, soweit es um Altfälle (Verfahrenseröffnung vor dem 01.11.2008) geht.</w:t>
      </w:r>
      <w:r w:rsidRPr="00CB4DB7">
        <w:rPr>
          <w:rFonts w:ascii="Times New Roman" w:eastAsia="Times New Roman" w:hAnsi="Times New Roman" w:cs="Times New Roman"/>
          <w:kern w:val="0"/>
          <w:vertAlign w:val="superscript"/>
          <w:lang w:eastAsia="de-DE"/>
          <w14:ligatures w14:val="none"/>
        </w:rPr>
        <w:t>4</w:t>
      </w:r>
      <w:r w:rsidRPr="00CB4DB7">
        <w:rPr>
          <w:rFonts w:ascii="Times New Roman" w:eastAsia="Times New Roman" w:hAnsi="Times New Roman" w:cs="Times New Roman"/>
          <w:kern w:val="0"/>
          <w:lang w:eastAsia="de-DE"/>
          <w14:ligatures w14:val="none"/>
        </w:rPr>
        <w:t xml:space="preserve"> Dies ist zugleich seine Grenze: Die Rechtsprechungsregeln und die Novellenregeln der §§ 32a, 32b GmbHG a.F. wurden durch das MoMiG abgelöst; auf neue Fälle ist das Recht der Gesellschafterdarlehen (§ 39 Abs. 1 Nr. 5, § 135 InsO) anzuwenden.</w:t>
      </w:r>
      <w:r w:rsidRPr="00CB4DB7">
        <w:rPr>
          <w:rFonts w:ascii="Times New Roman" w:eastAsia="Times New Roman" w:hAnsi="Times New Roman" w:cs="Times New Roman"/>
          <w:kern w:val="0"/>
          <w:vertAlign w:val="superscript"/>
          <w:lang w:eastAsia="de-DE"/>
          <w14:ligatures w14:val="none"/>
        </w:rPr>
        <w:t>7</w:t>
      </w:r>
      <w:r w:rsidRPr="00CB4DB7">
        <w:rPr>
          <w:rFonts w:ascii="Times New Roman" w:eastAsia="Times New Roman" w:hAnsi="Times New Roman" w:cs="Times New Roman"/>
          <w:kern w:val="0"/>
          <w:lang w:eastAsia="de-DE"/>
          <w14:ligatures w14:val="none"/>
        </w:rPr>
        <w:t xml:space="preserve"> Für die heute praktisch bedeutsamere </w:t>
      </w:r>
      <w:r w:rsidRPr="00CB4DB7">
        <w:rPr>
          <w:rFonts w:ascii="Times New Roman" w:eastAsia="Times New Roman" w:hAnsi="Times New Roman" w:cs="Times New Roman"/>
          <w:b/>
          <w:bCs/>
          <w:kern w:val="0"/>
          <w:lang w:eastAsia="de-DE"/>
          <w14:ligatures w14:val="none"/>
        </w:rPr>
        <w:t>Beweislastdogmatik</w:t>
      </w:r>
      <w:r w:rsidRPr="00CB4DB7">
        <w:rPr>
          <w:rFonts w:ascii="Times New Roman" w:eastAsia="Times New Roman" w:hAnsi="Times New Roman" w:cs="Times New Roman"/>
          <w:kern w:val="0"/>
          <w:lang w:eastAsia="de-DE"/>
          <w14:ligatures w14:val="none"/>
        </w:rPr>
        <w:t xml:space="preserve"> wirkt der Beschluss jedoch über seinen unmittelbaren Anwendungsbereich hinaus fort: Seine Aussagen zu Überschuldungsstatus, indizieller Handelsbilanz, sekundärer Darlegungslast und Geschäftsführerbeweislast für die Fortbestehensprognose sind unverändert ständige </w:t>
      </w:r>
      <w:r w:rsidRPr="00CB4DB7">
        <w:rPr>
          <w:rFonts w:ascii="Times New Roman" w:eastAsia="Times New Roman" w:hAnsi="Times New Roman" w:cs="Times New Roman"/>
          <w:kern w:val="0"/>
          <w:lang w:eastAsia="de-DE"/>
          <w14:ligatures w14:val="none"/>
        </w:rPr>
        <w:lastRenderedPageBreak/>
        <w:t>Rechtsprechung und wurden durch II ZR 229/11,</w:t>
      </w:r>
      <w:r w:rsidRPr="00CB4DB7">
        <w:rPr>
          <w:rFonts w:ascii="Times New Roman" w:eastAsia="Times New Roman" w:hAnsi="Times New Roman" w:cs="Times New Roman"/>
          <w:kern w:val="0"/>
          <w:vertAlign w:val="superscript"/>
          <w:lang w:eastAsia="de-DE"/>
          <w14:ligatures w14:val="none"/>
        </w:rPr>
        <w:t>30</w:t>
      </w:r>
      <w:r w:rsidRPr="00CB4DB7">
        <w:rPr>
          <w:rFonts w:ascii="Times New Roman" w:eastAsia="Times New Roman" w:hAnsi="Times New Roman" w:cs="Times New Roman"/>
          <w:kern w:val="0"/>
          <w:lang w:eastAsia="de-DE"/>
          <w14:ligatures w14:val="none"/>
        </w:rPr>
        <w:t xml:space="preserve"> II ZR 88/16,</w:t>
      </w:r>
      <w:r w:rsidRPr="00CB4DB7">
        <w:rPr>
          <w:rFonts w:ascii="Times New Roman" w:eastAsia="Times New Roman" w:hAnsi="Times New Roman" w:cs="Times New Roman"/>
          <w:kern w:val="0"/>
          <w:vertAlign w:val="superscript"/>
          <w:lang w:eastAsia="de-DE"/>
          <w14:ligatures w14:val="none"/>
        </w:rPr>
        <w:t>32</w:t>
      </w:r>
      <w:r w:rsidRPr="00CB4DB7">
        <w:rPr>
          <w:rFonts w:ascii="Times New Roman" w:eastAsia="Times New Roman" w:hAnsi="Times New Roman" w:cs="Times New Roman"/>
          <w:kern w:val="0"/>
          <w:lang w:eastAsia="de-DE"/>
          <w14:ligatures w14:val="none"/>
        </w:rPr>
        <w:t xml:space="preserve"> II ZR 151/09 </w:t>
      </w:r>
      <w:r w:rsidRPr="00CB4DB7">
        <w:rPr>
          <w:rFonts w:ascii="Times New Roman" w:eastAsia="Times New Roman" w:hAnsi="Times New Roman" w:cs="Times New Roman"/>
          <w:kern w:val="0"/>
          <w:vertAlign w:val="superscript"/>
          <w:lang w:eastAsia="de-DE"/>
          <w14:ligatures w14:val="none"/>
        </w:rPr>
        <w:t>37</w:t>
      </w:r>
      <w:r w:rsidRPr="00CB4DB7">
        <w:rPr>
          <w:rFonts w:ascii="Times New Roman" w:eastAsia="Times New Roman" w:hAnsi="Times New Roman" w:cs="Times New Roman"/>
          <w:kern w:val="0"/>
          <w:lang w:eastAsia="de-DE"/>
          <w14:ligatures w14:val="none"/>
        </w:rPr>
        <w:t xml:space="preserve"> und II ZR 248/17 </w:t>
      </w:r>
      <w:r w:rsidRPr="00CB4DB7">
        <w:rPr>
          <w:rFonts w:ascii="Times New Roman" w:eastAsia="Times New Roman" w:hAnsi="Times New Roman" w:cs="Times New Roman"/>
          <w:kern w:val="0"/>
          <w:vertAlign w:val="superscript"/>
          <w:lang w:eastAsia="de-DE"/>
          <w14:ligatures w14:val="none"/>
        </w:rPr>
        <w:t>39</w:t>
      </w:r>
      <w:r w:rsidRPr="00CB4DB7">
        <w:rPr>
          <w:rFonts w:ascii="Times New Roman" w:eastAsia="Times New Roman" w:hAnsi="Times New Roman" w:cs="Times New Roman"/>
          <w:kern w:val="0"/>
          <w:lang w:eastAsia="de-DE"/>
          <w14:ligatures w14:val="none"/>
        </w:rPr>
        <w:t xml:space="preserve"> fortgeschrieben.</w:t>
      </w:r>
    </w:p>
    <w:p w14:paraId="67561704" w14:textId="77777777" w:rsidR="00CB4DB7" w:rsidRPr="00CB4DB7" w:rsidRDefault="00B476C7" w:rsidP="00CB4DB7">
      <w:pPr>
        <w:spacing w:after="0" w:line="240" w:lineRule="auto"/>
        <w:rPr>
          <w:rFonts w:ascii="Times New Roman" w:eastAsia="Times New Roman" w:hAnsi="Times New Roman" w:cs="Times New Roman"/>
          <w:kern w:val="0"/>
          <w:lang w:eastAsia="de-DE"/>
          <w14:ligatures w14:val="none"/>
        </w:rPr>
      </w:pPr>
      <w:r w:rsidRPr="00B476C7">
        <w:rPr>
          <w:rFonts w:ascii="Times New Roman" w:eastAsia="Times New Roman" w:hAnsi="Times New Roman" w:cs="Times New Roman"/>
          <w:noProof/>
          <w:kern w:val="0"/>
          <w:lang w:eastAsia="de-DE"/>
        </w:rPr>
        <w:pict w14:anchorId="4D01EBF2">
          <v:rect id="_x0000_i1026" alt="" style="width:453.6pt;height:.05pt;mso-width-percent:0;mso-height-percent:0;mso-width-percent:0;mso-height-percent:0" o:hralign="center" o:hrstd="t" o:hr="t" fillcolor="#a0a0a0" stroked="f"/>
        </w:pict>
      </w:r>
    </w:p>
    <w:p w14:paraId="6CBDD961" w14:textId="77777777" w:rsidR="00CB4DB7" w:rsidRPr="00CB4DB7" w:rsidRDefault="00CB4DB7" w:rsidP="00CB4DB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B4DB7">
        <w:rPr>
          <w:rFonts w:ascii="Times New Roman" w:eastAsia="Times New Roman" w:hAnsi="Times New Roman" w:cs="Times New Roman"/>
          <w:b/>
          <w:bCs/>
          <w:kern w:val="0"/>
          <w:sz w:val="36"/>
          <w:szCs w:val="36"/>
          <w:lang w:eastAsia="de-DE"/>
          <w14:ligatures w14:val="none"/>
        </w:rPr>
        <w:t>Verifikationsstatus</w:t>
      </w:r>
    </w:p>
    <w:p w14:paraId="4A4951C7" w14:textId="77777777" w:rsidR="00CB4DB7" w:rsidRPr="00CB4DB7" w:rsidRDefault="00CB4DB7" w:rsidP="00CB4DB7">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[aktenbelegt]:</w:t>
      </w:r>
      <w:r w:rsidRPr="00CB4DB7">
        <w:rPr>
          <w:rFonts w:ascii="Times New Roman" w:eastAsia="Times New Roman" w:hAnsi="Times New Roman" w:cs="Times New Roman"/>
          <w:kern w:val="0"/>
          <w:lang w:eastAsia="de-DE"/>
          <w14:ligatures w14:val="none"/>
        </w:rPr>
        <w:t xml:space="preserve"> der vorgelegte Beschluss II ZR 106/10 –; amtlicher Leitsatz datenbankidentisch.</w:t>
      </w:r>
      <w:r w:rsidRPr="00CB4DB7">
        <w:rPr>
          <w:rFonts w:ascii="Times New Roman" w:eastAsia="Times New Roman" w:hAnsi="Times New Roman" w:cs="Times New Roman"/>
          <w:kern w:val="0"/>
          <w:vertAlign w:val="superscript"/>
          <w:lang w:eastAsia="de-DE"/>
          <w14:ligatures w14:val="none"/>
        </w:rPr>
        <w:t>2</w:t>
      </w:r>
    </w:p>
    <w:p w14:paraId="79D31C93" w14:textId="77777777" w:rsidR="00CB4DB7" w:rsidRPr="00CB4DB7" w:rsidRDefault="00CB4DB7" w:rsidP="00CB4DB7">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[WK/Libra belegt]</w:t>
      </w:r>
      <w:r w:rsidRPr="00CB4DB7">
        <w:rPr>
          <w:rFonts w:ascii="Times New Roman" w:eastAsia="Times New Roman" w:hAnsi="Times New Roman" w:cs="Times New Roman"/>
          <w:kern w:val="0"/>
          <w:lang w:eastAsia="de-DE"/>
          <w14:ligatures w14:val="none"/>
        </w:rPr>
        <w:t xml:space="preserve"> (Volltext/amtlicher Leitsatz abgeglichen): II ZR 106/10 (Gründe Rn. 1, 4),</w:t>
      </w:r>
      <w:r w:rsidRPr="00CB4DB7">
        <w:rPr>
          <w:rFonts w:ascii="Times New Roman" w:eastAsia="Times New Roman" w:hAnsi="Times New Roman" w:cs="Times New Roman"/>
          <w:kern w:val="0"/>
          <w:vertAlign w:val="superscript"/>
          <w:lang w:eastAsia="de-DE"/>
          <w14:ligatures w14:val="none"/>
        </w:rPr>
        <w:t>4</w:t>
      </w:r>
      <w:r w:rsidRPr="00CB4DB7">
        <w:rPr>
          <w:rFonts w:ascii="Times New Roman" w:eastAsia="Times New Roman" w:hAnsi="Times New Roman" w:cs="Times New Roman"/>
          <w:kern w:val="0"/>
          <w:lang w:eastAsia="de-DE"/>
          <w14:ligatures w14:val="none"/>
        </w:rPr>
        <w:t xml:space="preserve"> </w:t>
      </w:r>
      <w:r w:rsidRPr="00CB4DB7">
        <w:rPr>
          <w:rFonts w:ascii="Times New Roman" w:eastAsia="Times New Roman" w:hAnsi="Times New Roman" w:cs="Times New Roman"/>
          <w:kern w:val="0"/>
          <w:vertAlign w:val="superscript"/>
          <w:lang w:eastAsia="de-DE"/>
          <w14:ligatures w14:val="none"/>
        </w:rPr>
        <w:t>5</w:t>
      </w:r>
      <w:r w:rsidRPr="00CB4DB7">
        <w:rPr>
          <w:rFonts w:ascii="Times New Roman" w:eastAsia="Times New Roman" w:hAnsi="Times New Roman" w:cs="Times New Roman"/>
          <w:kern w:val="0"/>
          <w:lang w:eastAsia="de-DE"/>
          <w14:ligatures w14:val="none"/>
        </w:rPr>
        <w:t xml:space="preserve"> II ZR 157/09,</w:t>
      </w:r>
      <w:r w:rsidRPr="00CB4DB7">
        <w:rPr>
          <w:rFonts w:ascii="Times New Roman" w:eastAsia="Times New Roman" w:hAnsi="Times New Roman" w:cs="Times New Roman"/>
          <w:kern w:val="0"/>
          <w:vertAlign w:val="superscript"/>
          <w:lang w:eastAsia="de-DE"/>
          <w14:ligatures w14:val="none"/>
        </w:rPr>
        <w:t>6</w:t>
      </w:r>
      <w:r w:rsidRPr="00CB4DB7">
        <w:rPr>
          <w:rFonts w:ascii="Times New Roman" w:eastAsia="Times New Roman" w:hAnsi="Times New Roman" w:cs="Times New Roman"/>
          <w:kern w:val="0"/>
          <w:lang w:eastAsia="de-DE"/>
          <w14:ligatures w14:val="none"/>
        </w:rPr>
        <w:t xml:space="preserve"> II ZR 260/07 (Gut Buschow),</w:t>
      </w:r>
      <w:r w:rsidRPr="00CB4DB7">
        <w:rPr>
          <w:rFonts w:ascii="Times New Roman" w:eastAsia="Times New Roman" w:hAnsi="Times New Roman" w:cs="Times New Roman"/>
          <w:kern w:val="0"/>
          <w:vertAlign w:val="superscript"/>
          <w:lang w:eastAsia="de-DE"/>
          <w14:ligatures w14:val="none"/>
        </w:rPr>
        <w:t>7</w:t>
      </w:r>
      <w:r w:rsidRPr="00CB4DB7">
        <w:rPr>
          <w:rFonts w:ascii="Times New Roman" w:eastAsia="Times New Roman" w:hAnsi="Times New Roman" w:cs="Times New Roman"/>
          <w:kern w:val="0"/>
          <w:lang w:eastAsia="de-DE"/>
          <w14:ligatures w14:val="none"/>
        </w:rPr>
        <w:t xml:space="preserve"> II ZR 246/15,</w:t>
      </w:r>
      <w:r w:rsidRPr="00CB4DB7">
        <w:rPr>
          <w:rFonts w:ascii="Times New Roman" w:eastAsia="Times New Roman" w:hAnsi="Times New Roman" w:cs="Times New Roman"/>
          <w:kern w:val="0"/>
          <w:vertAlign w:val="superscript"/>
          <w:lang w:eastAsia="de-DE"/>
          <w14:ligatures w14:val="none"/>
        </w:rPr>
        <w:t>9</w:t>
      </w:r>
      <w:r w:rsidRPr="00CB4DB7">
        <w:rPr>
          <w:rFonts w:ascii="Times New Roman" w:eastAsia="Times New Roman" w:hAnsi="Times New Roman" w:cs="Times New Roman"/>
          <w:kern w:val="0"/>
          <w:lang w:eastAsia="de-DE"/>
          <w14:ligatures w14:val="none"/>
        </w:rPr>
        <w:t xml:space="preserve"> II ZR 213/77,</w:t>
      </w:r>
      <w:r w:rsidRPr="00CB4DB7">
        <w:rPr>
          <w:rFonts w:ascii="Times New Roman" w:eastAsia="Times New Roman" w:hAnsi="Times New Roman" w:cs="Times New Roman"/>
          <w:kern w:val="0"/>
          <w:vertAlign w:val="superscript"/>
          <w:lang w:eastAsia="de-DE"/>
          <w14:ligatures w14:val="none"/>
        </w:rPr>
        <w:t>8</w:t>
      </w:r>
      <w:r w:rsidRPr="00CB4DB7">
        <w:rPr>
          <w:rFonts w:ascii="Times New Roman" w:eastAsia="Times New Roman" w:hAnsi="Times New Roman" w:cs="Times New Roman"/>
          <w:kern w:val="0"/>
          <w:lang w:eastAsia="de-DE"/>
          <w14:ligatures w14:val="none"/>
        </w:rPr>
        <w:t xml:space="preserve"> II ZR 269/91,</w:t>
      </w:r>
      <w:r w:rsidRPr="00CB4DB7">
        <w:rPr>
          <w:rFonts w:ascii="Times New Roman" w:eastAsia="Times New Roman" w:hAnsi="Times New Roman" w:cs="Times New Roman"/>
          <w:kern w:val="0"/>
          <w:vertAlign w:val="superscript"/>
          <w:lang w:eastAsia="de-DE"/>
          <w14:ligatures w14:val="none"/>
        </w:rPr>
        <w:t>22</w:t>
      </w:r>
      <w:r w:rsidRPr="00CB4DB7">
        <w:rPr>
          <w:rFonts w:ascii="Times New Roman" w:eastAsia="Times New Roman" w:hAnsi="Times New Roman" w:cs="Times New Roman"/>
          <w:kern w:val="0"/>
          <w:lang w:eastAsia="de-DE"/>
          <w14:ligatures w14:val="none"/>
        </w:rPr>
        <w:t xml:space="preserve"> II ZR 154/91 (amtl. Ls.),</w:t>
      </w:r>
      <w:r w:rsidRPr="00CB4DB7">
        <w:rPr>
          <w:rFonts w:ascii="Times New Roman" w:eastAsia="Times New Roman" w:hAnsi="Times New Roman" w:cs="Times New Roman"/>
          <w:kern w:val="0"/>
          <w:vertAlign w:val="superscript"/>
          <w:lang w:eastAsia="de-DE"/>
          <w14:ligatures w14:val="none"/>
        </w:rPr>
        <w:t>14</w:t>
      </w:r>
      <w:r w:rsidRPr="00CB4DB7">
        <w:rPr>
          <w:rFonts w:ascii="Times New Roman" w:eastAsia="Times New Roman" w:hAnsi="Times New Roman" w:cs="Times New Roman"/>
          <w:kern w:val="0"/>
          <w:lang w:eastAsia="de-DE"/>
          <w14:ligatures w14:val="none"/>
        </w:rPr>
        <w:t xml:space="preserve"> II ZR 60/93,</w:t>
      </w:r>
      <w:r w:rsidRPr="00CB4DB7">
        <w:rPr>
          <w:rFonts w:ascii="Times New Roman" w:eastAsia="Times New Roman" w:hAnsi="Times New Roman" w:cs="Times New Roman"/>
          <w:kern w:val="0"/>
          <w:vertAlign w:val="superscript"/>
          <w:lang w:eastAsia="de-DE"/>
          <w14:ligatures w14:val="none"/>
        </w:rPr>
        <w:t>12</w:t>
      </w:r>
      <w:r w:rsidRPr="00CB4DB7">
        <w:rPr>
          <w:rFonts w:ascii="Times New Roman" w:eastAsia="Times New Roman" w:hAnsi="Times New Roman" w:cs="Times New Roman"/>
          <w:kern w:val="0"/>
          <w:lang w:eastAsia="de-DE"/>
          <w14:ligatures w14:val="none"/>
        </w:rPr>
        <w:t xml:space="preserve"> II ZR 63/86,</w:t>
      </w:r>
      <w:r w:rsidRPr="00CB4DB7">
        <w:rPr>
          <w:rFonts w:ascii="Times New Roman" w:eastAsia="Times New Roman" w:hAnsi="Times New Roman" w:cs="Times New Roman"/>
          <w:kern w:val="0"/>
          <w:vertAlign w:val="superscript"/>
          <w:lang w:eastAsia="de-DE"/>
          <w14:ligatures w14:val="none"/>
        </w:rPr>
        <w:t>13</w:t>
      </w:r>
      <w:r w:rsidRPr="00CB4DB7">
        <w:rPr>
          <w:rFonts w:ascii="Times New Roman" w:eastAsia="Times New Roman" w:hAnsi="Times New Roman" w:cs="Times New Roman"/>
          <w:kern w:val="0"/>
          <w:lang w:eastAsia="de-DE"/>
          <w14:ligatures w14:val="none"/>
        </w:rPr>
        <w:t xml:space="preserve"> II ZR 243/95,</w:t>
      </w:r>
      <w:r w:rsidRPr="00CB4DB7">
        <w:rPr>
          <w:rFonts w:ascii="Times New Roman" w:eastAsia="Times New Roman" w:hAnsi="Times New Roman" w:cs="Times New Roman"/>
          <w:kern w:val="0"/>
          <w:vertAlign w:val="superscript"/>
          <w:lang w:eastAsia="de-DE"/>
          <w14:ligatures w14:val="none"/>
        </w:rPr>
        <w:t>21</w:t>
      </w:r>
      <w:r w:rsidRPr="00CB4DB7">
        <w:rPr>
          <w:rFonts w:ascii="Times New Roman" w:eastAsia="Times New Roman" w:hAnsi="Times New Roman" w:cs="Times New Roman"/>
          <w:kern w:val="0"/>
          <w:lang w:eastAsia="de-DE"/>
          <w14:ligatures w14:val="none"/>
        </w:rPr>
        <w:t xml:space="preserve"> II ZR 162/92,</w:t>
      </w:r>
      <w:r w:rsidRPr="00CB4DB7">
        <w:rPr>
          <w:rFonts w:ascii="Times New Roman" w:eastAsia="Times New Roman" w:hAnsi="Times New Roman" w:cs="Times New Roman"/>
          <w:kern w:val="0"/>
          <w:vertAlign w:val="superscript"/>
          <w:lang w:eastAsia="de-DE"/>
          <w14:ligatures w14:val="none"/>
        </w:rPr>
        <w:t>10</w:t>
      </w:r>
      <w:r w:rsidRPr="00CB4DB7">
        <w:rPr>
          <w:rFonts w:ascii="Times New Roman" w:eastAsia="Times New Roman" w:hAnsi="Times New Roman" w:cs="Times New Roman"/>
          <w:kern w:val="0"/>
          <w:lang w:eastAsia="de-DE"/>
          <w14:ligatures w14:val="none"/>
        </w:rPr>
        <w:t xml:space="preserve"> II ZR 138/03,</w:t>
      </w:r>
      <w:r w:rsidRPr="00CB4DB7">
        <w:rPr>
          <w:rFonts w:ascii="Times New Roman" w:eastAsia="Times New Roman" w:hAnsi="Times New Roman" w:cs="Times New Roman"/>
          <w:kern w:val="0"/>
          <w:vertAlign w:val="superscript"/>
          <w:lang w:eastAsia="de-DE"/>
          <w14:ligatures w14:val="none"/>
        </w:rPr>
        <w:t>26</w:t>
      </w:r>
      <w:r w:rsidRPr="00CB4DB7">
        <w:rPr>
          <w:rFonts w:ascii="Times New Roman" w:eastAsia="Times New Roman" w:hAnsi="Times New Roman" w:cs="Times New Roman"/>
          <w:kern w:val="0"/>
          <w:lang w:eastAsia="de-DE"/>
          <w14:ligatures w14:val="none"/>
        </w:rPr>
        <w:t xml:space="preserve"> IX ZR 236/07,</w:t>
      </w:r>
      <w:r w:rsidRPr="00CB4DB7">
        <w:rPr>
          <w:rFonts w:ascii="Times New Roman" w:eastAsia="Times New Roman" w:hAnsi="Times New Roman" w:cs="Times New Roman"/>
          <w:kern w:val="0"/>
          <w:vertAlign w:val="superscript"/>
          <w:lang w:eastAsia="de-DE"/>
          <w14:ligatures w14:val="none"/>
        </w:rPr>
        <w:t>27</w:t>
      </w:r>
      <w:r w:rsidRPr="00CB4DB7">
        <w:rPr>
          <w:rFonts w:ascii="Times New Roman" w:eastAsia="Times New Roman" w:hAnsi="Times New Roman" w:cs="Times New Roman"/>
          <w:kern w:val="0"/>
          <w:lang w:eastAsia="de-DE"/>
          <w14:ligatures w14:val="none"/>
        </w:rPr>
        <w:t xml:space="preserve"> II ZR 60/09,</w:t>
      </w:r>
      <w:r w:rsidRPr="00CB4DB7">
        <w:rPr>
          <w:rFonts w:ascii="Times New Roman" w:eastAsia="Times New Roman" w:hAnsi="Times New Roman" w:cs="Times New Roman"/>
          <w:kern w:val="0"/>
          <w:vertAlign w:val="superscript"/>
          <w:lang w:eastAsia="de-DE"/>
          <w14:ligatures w14:val="none"/>
        </w:rPr>
        <w:t>28</w:t>
      </w:r>
      <w:r w:rsidRPr="00CB4DB7">
        <w:rPr>
          <w:rFonts w:ascii="Times New Roman" w:eastAsia="Times New Roman" w:hAnsi="Times New Roman" w:cs="Times New Roman"/>
          <w:kern w:val="0"/>
          <w:lang w:eastAsia="de-DE"/>
          <w14:ligatures w14:val="none"/>
        </w:rPr>
        <w:t xml:space="preserve"> II ZR 292/91 (BGHZ 126, 181, 200),</w:t>
      </w:r>
      <w:r w:rsidRPr="00CB4DB7">
        <w:rPr>
          <w:rFonts w:ascii="Times New Roman" w:eastAsia="Times New Roman" w:hAnsi="Times New Roman" w:cs="Times New Roman"/>
          <w:kern w:val="0"/>
          <w:vertAlign w:val="superscript"/>
          <w:lang w:eastAsia="de-DE"/>
          <w14:ligatures w14:val="none"/>
        </w:rPr>
        <w:t>29</w:t>
      </w:r>
      <w:r w:rsidRPr="00CB4DB7">
        <w:rPr>
          <w:rFonts w:ascii="Times New Roman" w:eastAsia="Times New Roman" w:hAnsi="Times New Roman" w:cs="Times New Roman"/>
          <w:kern w:val="0"/>
          <w:lang w:eastAsia="de-DE"/>
          <w14:ligatures w14:val="none"/>
        </w:rPr>
        <w:t xml:space="preserve"> II ZR 229/11 (amtl. Ls.),</w:t>
      </w:r>
      <w:r w:rsidRPr="00CB4DB7">
        <w:rPr>
          <w:rFonts w:ascii="Times New Roman" w:eastAsia="Times New Roman" w:hAnsi="Times New Roman" w:cs="Times New Roman"/>
          <w:kern w:val="0"/>
          <w:vertAlign w:val="superscript"/>
          <w:lang w:eastAsia="de-DE"/>
          <w14:ligatures w14:val="none"/>
        </w:rPr>
        <w:t>30</w:t>
      </w:r>
      <w:r w:rsidRPr="00CB4DB7">
        <w:rPr>
          <w:rFonts w:ascii="Times New Roman" w:eastAsia="Times New Roman" w:hAnsi="Times New Roman" w:cs="Times New Roman"/>
          <w:kern w:val="0"/>
          <w:lang w:eastAsia="de-DE"/>
          <w14:ligatures w14:val="none"/>
        </w:rPr>
        <w:t xml:space="preserve"> II ZR 253/07,</w:t>
      </w:r>
      <w:r w:rsidRPr="00CB4DB7">
        <w:rPr>
          <w:rFonts w:ascii="Times New Roman" w:eastAsia="Times New Roman" w:hAnsi="Times New Roman" w:cs="Times New Roman"/>
          <w:kern w:val="0"/>
          <w:vertAlign w:val="superscript"/>
          <w:lang w:eastAsia="de-DE"/>
          <w14:ligatures w14:val="none"/>
        </w:rPr>
        <w:t>31</w:t>
      </w:r>
      <w:r w:rsidRPr="00CB4DB7">
        <w:rPr>
          <w:rFonts w:ascii="Times New Roman" w:eastAsia="Times New Roman" w:hAnsi="Times New Roman" w:cs="Times New Roman"/>
          <w:kern w:val="0"/>
          <w:lang w:eastAsia="de-DE"/>
          <w14:ligatures w14:val="none"/>
        </w:rPr>
        <w:t xml:space="preserve"> II ZR 88/16 (amtl. Ls.),</w:t>
      </w:r>
      <w:r w:rsidRPr="00CB4DB7">
        <w:rPr>
          <w:rFonts w:ascii="Times New Roman" w:eastAsia="Times New Roman" w:hAnsi="Times New Roman" w:cs="Times New Roman"/>
          <w:kern w:val="0"/>
          <w:vertAlign w:val="superscript"/>
          <w:lang w:eastAsia="de-DE"/>
          <w14:ligatures w14:val="none"/>
        </w:rPr>
        <w:t>33</w:t>
      </w:r>
      <w:r w:rsidRPr="00CB4DB7">
        <w:rPr>
          <w:rFonts w:ascii="Times New Roman" w:eastAsia="Times New Roman" w:hAnsi="Times New Roman" w:cs="Times New Roman"/>
          <w:kern w:val="0"/>
          <w:lang w:eastAsia="de-DE"/>
          <w14:ligatures w14:val="none"/>
        </w:rPr>
        <w:t xml:space="preserve"> IX ZR 53/19,</w:t>
      </w:r>
      <w:r w:rsidRPr="00CB4DB7">
        <w:rPr>
          <w:rFonts w:ascii="Times New Roman" w:eastAsia="Times New Roman" w:hAnsi="Times New Roman" w:cs="Times New Roman"/>
          <w:kern w:val="0"/>
          <w:vertAlign w:val="superscript"/>
          <w:lang w:eastAsia="de-DE"/>
          <w14:ligatures w14:val="none"/>
        </w:rPr>
        <w:t>36</w:t>
      </w:r>
      <w:r w:rsidRPr="00CB4DB7">
        <w:rPr>
          <w:rFonts w:ascii="Times New Roman" w:eastAsia="Times New Roman" w:hAnsi="Times New Roman" w:cs="Times New Roman"/>
          <w:kern w:val="0"/>
          <w:lang w:eastAsia="de-DE"/>
          <w14:ligatures w14:val="none"/>
        </w:rPr>
        <w:t xml:space="preserve"> IX ZR 129/22,</w:t>
      </w:r>
      <w:r w:rsidRPr="00CB4DB7">
        <w:rPr>
          <w:rFonts w:ascii="Times New Roman" w:eastAsia="Times New Roman" w:hAnsi="Times New Roman" w:cs="Times New Roman"/>
          <w:kern w:val="0"/>
          <w:vertAlign w:val="superscript"/>
          <w:lang w:eastAsia="de-DE"/>
          <w14:ligatures w14:val="none"/>
        </w:rPr>
        <w:t>35</w:t>
      </w:r>
      <w:r w:rsidRPr="00CB4DB7">
        <w:rPr>
          <w:rFonts w:ascii="Times New Roman" w:eastAsia="Times New Roman" w:hAnsi="Times New Roman" w:cs="Times New Roman"/>
          <w:kern w:val="0"/>
          <w:lang w:eastAsia="de-DE"/>
          <w14:ligatures w14:val="none"/>
        </w:rPr>
        <w:t xml:space="preserve"> II ZR 151/09,</w:t>
      </w:r>
      <w:r w:rsidRPr="00CB4DB7">
        <w:rPr>
          <w:rFonts w:ascii="Times New Roman" w:eastAsia="Times New Roman" w:hAnsi="Times New Roman" w:cs="Times New Roman"/>
          <w:kern w:val="0"/>
          <w:vertAlign w:val="superscript"/>
          <w:lang w:eastAsia="de-DE"/>
          <w14:ligatures w14:val="none"/>
        </w:rPr>
        <w:t>37</w:t>
      </w:r>
      <w:r w:rsidRPr="00CB4DB7">
        <w:rPr>
          <w:rFonts w:ascii="Times New Roman" w:eastAsia="Times New Roman" w:hAnsi="Times New Roman" w:cs="Times New Roman"/>
          <w:kern w:val="0"/>
          <w:lang w:eastAsia="de-DE"/>
          <w14:ligatures w14:val="none"/>
        </w:rPr>
        <w:t xml:space="preserve"> II ZR 248/17,</w:t>
      </w:r>
      <w:r w:rsidRPr="00CB4DB7">
        <w:rPr>
          <w:rFonts w:ascii="Times New Roman" w:eastAsia="Times New Roman" w:hAnsi="Times New Roman" w:cs="Times New Roman"/>
          <w:kern w:val="0"/>
          <w:vertAlign w:val="superscript"/>
          <w:lang w:eastAsia="de-DE"/>
          <w14:ligatures w14:val="none"/>
        </w:rPr>
        <w:t>39</w:t>
      </w:r>
      <w:r w:rsidRPr="00CB4DB7">
        <w:rPr>
          <w:rFonts w:ascii="Times New Roman" w:eastAsia="Times New Roman" w:hAnsi="Times New Roman" w:cs="Times New Roman"/>
          <w:kern w:val="0"/>
          <w:lang w:eastAsia="de-DE"/>
          <w14:ligatures w14:val="none"/>
        </w:rPr>
        <w:t xml:space="preserve"> II ZR 84/20,</w:t>
      </w:r>
      <w:r w:rsidRPr="00CB4DB7">
        <w:rPr>
          <w:rFonts w:ascii="Times New Roman" w:eastAsia="Times New Roman" w:hAnsi="Times New Roman" w:cs="Times New Roman"/>
          <w:kern w:val="0"/>
          <w:vertAlign w:val="superscript"/>
          <w:lang w:eastAsia="de-DE"/>
          <w14:ligatures w14:val="none"/>
        </w:rPr>
        <w:t>45</w:t>
      </w:r>
      <w:r w:rsidRPr="00CB4DB7">
        <w:rPr>
          <w:rFonts w:ascii="Times New Roman" w:eastAsia="Times New Roman" w:hAnsi="Times New Roman" w:cs="Times New Roman"/>
          <w:kern w:val="0"/>
          <w:lang w:eastAsia="de-DE"/>
          <w14:ligatures w14:val="none"/>
        </w:rPr>
        <w:t xml:space="preserve"> II ZR 36/08,</w:t>
      </w:r>
      <w:r w:rsidRPr="00CB4DB7">
        <w:rPr>
          <w:rFonts w:ascii="Times New Roman" w:eastAsia="Times New Roman" w:hAnsi="Times New Roman" w:cs="Times New Roman"/>
          <w:kern w:val="0"/>
          <w:vertAlign w:val="superscript"/>
          <w:lang w:eastAsia="de-DE"/>
          <w14:ligatures w14:val="none"/>
        </w:rPr>
        <w:t>53</w:t>
      </w:r>
      <w:r w:rsidRPr="00CB4DB7">
        <w:rPr>
          <w:rFonts w:ascii="Times New Roman" w:eastAsia="Times New Roman" w:hAnsi="Times New Roman" w:cs="Times New Roman"/>
          <w:kern w:val="0"/>
          <w:lang w:eastAsia="de-DE"/>
          <w14:ligatures w14:val="none"/>
        </w:rPr>
        <w:t xml:space="preserve"> II ZR 256/79,</w:t>
      </w:r>
      <w:r w:rsidRPr="00CB4DB7">
        <w:rPr>
          <w:rFonts w:ascii="Times New Roman" w:eastAsia="Times New Roman" w:hAnsi="Times New Roman" w:cs="Times New Roman"/>
          <w:kern w:val="0"/>
          <w:vertAlign w:val="superscript"/>
          <w:lang w:eastAsia="de-DE"/>
          <w14:ligatures w14:val="none"/>
        </w:rPr>
        <w:t>17</w:t>
      </w:r>
      <w:r w:rsidRPr="00CB4DB7">
        <w:rPr>
          <w:rFonts w:ascii="Times New Roman" w:eastAsia="Times New Roman" w:hAnsi="Times New Roman" w:cs="Times New Roman"/>
          <w:kern w:val="0"/>
          <w:lang w:eastAsia="de-DE"/>
          <w14:ligatures w14:val="none"/>
        </w:rPr>
        <w:t xml:space="preserve"> II ZR 162/75,</w:t>
      </w:r>
      <w:r w:rsidRPr="00CB4DB7">
        <w:rPr>
          <w:rFonts w:ascii="Times New Roman" w:eastAsia="Times New Roman" w:hAnsi="Times New Roman" w:cs="Times New Roman"/>
          <w:kern w:val="0"/>
          <w:vertAlign w:val="superscript"/>
          <w:lang w:eastAsia="de-DE"/>
          <w14:ligatures w14:val="none"/>
        </w:rPr>
        <w:t>56</w:t>
      </w:r>
      <w:r w:rsidRPr="00CB4DB7">
        <w:rPr>
          <w:rFonts w:ascii="Times New Roman" w:eastAsia="Times New Roman" w:hAnsi="Times New Roman" w:cs="Times New Roman"/>
          <w:kern w:val="0"/>
          <w:lang w:eastAsia="de-DE"/>
          <w14:ligatures w14:val="none"/>
        </w:rPr>
        <w:t xml:space="preserve"> IX ZR 201/20,</w:t>
      </w:r>
      <w:r w:rsidRPr="00CB4DB7">
        <w:rPr>
          <w:rFonts w:ascii="Times New Roman" w:eastAsia="Times New Roman" w:hAnsi="Times New Roman" w:cs="Times New Roman"/>
          <w:kern w:val="0"/>
          <w:vertAlign w:val="superscript"/>
          <w:lang w:eastAsia="de-DE"/>
          <w14:ligatures w14:val="none"/>
        </w:rPr>
        <w:t>54</w:t>
      </w:r>
      <w:r w:rsidRPr="00CB4DB7">
        <w:rPr>
          <w:rFonts w:ascii="Times New Roman" w:eastAsia="Times New Roman" w:hAnsi="Times New Roman" w:cs="Times New Roman"/>
          <w:kern w:val="0"/>
          <w:lang w:eastAsia="de-DE"/>
          <w14:ligatures w14:val="none"/>
        </w:rPr>
        <w:t xml:space="preserve"> OLG Düsseldorf I-6 U 176/09,</w:t>
      </w:r>
      <w:r w:rsidRPr="00CB4DB7">
        <w:rPr>
          <w:rFonts w:ascii="Times New Roman" w:eastAsia="Times New Roman" w:hAnsi="Times New Roman" w:cs="Times New Roman"/>
          <w:kern w:val="0"/>
          <w:vertAlign w:val="superscript"/>
          <w:lang w:eastAsia="de-DE"/>
          <w14:ligatures w14:val="none"/>
        </w:rPr>
        <w:t>52</w:t>
      </w:r>
      <w:r w:rsidRPr="00CB4DB7">
        <w:rPr>
          <w:rFonts w:ascii="Times New Roman" w:eastAsia="Times New Roman" w:hAnsi="Times New Roman" w:cs="Times New Roman"/>
          <w:kern w:val="0"/>
          <w:lang w:eastAsia="de-DE"/>
          <w14:ligatures w14:val="none"/>
        </w:rPr>
        <w:t xml:space="preserve"> OLG Düsseldorf I-15 U 192/06,</w:t>
      </w:r>
      <w:r w:rsidRPr="00CB4DB7">
        <w:rPr>
          <w:rFonts w:ascii="Times New Roman" w:eastAsia="Times New Roman" w:hAnsi="Times New Roman" w:cs="Times New Roman"/>
          <w:kern w:val="0"/>
          <w:vertAlign w:val="superscript"/>
          <w:lang w:eastAsia="de-DE"/>
          <w14:ligatures w14:val="none"/>
        </w:rPr>
        <w:t>50</w:t>
      </w:r>
      <w:r w:rsidRPr="00CB4DB7">
        <w:rPr>
          <w:rFonts w:ascii="Times New Roman" w:eastAsia="Times New Roman" w:hAnsi="Times New Roman" w:cs="Times New Roman"/>
          <w:kern w:val="0"/>
          <w:lang w:eastAsia="de-DE"/>
          <w14:ligatures w14:val="none"/>
        </w:rPr>
        <w:t xml:space="preserve"> OLG Naumburg 6 U 56/01,</w:t>
      </w:r>
      <w:r w:rsidRPr="00CB4DB7">
        <w:rPr>
          <w:rFonts w:ascii="Times New Roman" w:eastAsia="Times New Roman" w:hAnsi="Times New Roman" w:cs="Times New Roman"/>
          <w:kern w:val="0"/>
          <w:vertAlign w:val="superscript"/>
          <w:lang w:eastAsia="de-DE"/>
          <w14:ligatures w14:val="none"/>
        </w:rPr>
        <w:t>51</w:t>
      </w:r>
      <w:r w:rsidRPr="00CB4DB7">
        <w:rPr>
          <w:rFonts w:ascii="Times New Roman" w:eastAsia="Times New Roman" w:hAnsi="Times New Roman" w:cs="Times New Roman"/>
          <w:kern w:val="0"/>
          <w:lang w:eastAsia="de-DE"/>
          <w14:ligatures w14:val="none"/>
        </w:rPr>
        <w:t xml:space="preserve"> OLG Brandenburg 6 U 116/06,</w:t>
      </w:r>
      <w:r w:rsidRPr="00CB4DB7">
        <w:rPr>
          <w:rFonts w:ascii="Times New Roman" w:eastAsia="Times New Roman" w:hAnsi="Times New Roman" w:cs="Times New Roman"/>
          <w:kern w:val="0"/>
          <w:vertAlign w:val="superscript"/>
          <w:lang w:eastAsia="de-DE"/>
          <w14:ligatures w14:val="none"/>
        </w:rPr>
        <w:t>49</w:t>
      </w:r>
      <w:r w:rsidRPr="00CB4DB7">
        <w:rPr>
          <w:rFonts w:ascii="Times New Roman" w:eastAsia="Times New Roman" w:hAnsi="Times New Roman" w:cs="Times New Roman"/>
          <w:kern w:val="0"/>
          <w:lang w:eastAsia="de-DE"/>
          <w14:ligatures w14:val="none"/>
        </w:rPr>
        <w:t xml:space="preserve"> OLG Köln 18 U 138/07.</w:t>
      </w:r>
      <w:r w:rsidRPr="00CB4DB7">
        <w:rPr>
          <w:rFonts w:ascii="Times New Roman" w:eastAsia="Times New Roman" w:hAnsi="Times New Roman" w:cs="Times New Roman"/>
          <w:kern w:val="0"/>
          <w:vertAlign w:val="superscript"/>
          <w:lang w:eastAsia="de-DE"/>
          <w14:ligatures w14:val="none"/>
        </w:rPr>
        <w:t>19</w:t>
      </w:r>
    </w:p>
    <w:p w14:paraId="32FC3913" w14:textId="77777777" w:rsidR="00CB4DB7" w:rsidRPr="00CB4DB7" w:rsidRDefault="00CB4DB7" w:rsidP="00CB4DB7">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b/>
          <w:bCs/>
          <w:kern w:val="0"/>
          <w:lang w:eastAsia="de-DE"/>
          <w14:ligatures w14:val="none"/>
        </w:rPr>
        <w:t>[zu verifizieren]:</w:t>
      </w:r>
      <w:r w:rsidRPr="00CB4DB7">
        <w:rPr>
          <w:rFonts w:ascii="Times New Roman" w:eastAsia="Times New Roman" w:hAnsi="Times New Roman" w:cs="Times New Roman"/>
          <w:kern w:val="0"/>
          <w:lang w:eastAsia="de-DE"/>
          <w14:ligatures w14:val="none"/>
        </w:rPr>
        <w:t xml:space="preserve"> Zeitschriften-Parallelfundstellen (NJW, ZIP, NZG, DStR) sowie die exakten BGHZ-Seitenangaben einzelner Entscheidungen, soweit oben nicht datenbankseitig mitnachgewiesen.</w:t>
      </w:r>
    </w:p>
    <w:p w14:paraId="1126698B" w14:textId="77777777" w:rsidR="00CB4DB7" w:rsidRPr="00CB4DB7" w:rsidRDefault="00B476C7" w:rsidP="00CB4DB7">
      <w:pPr>
        <w:spacing w:after="0" w:line="240" w:lineRule="auto"/>
        <w:rPr>
          <w:rFonts w:ascii="Times New Roman" w:eastAsia="Times New Roman" w:hAnsi="Times New Roman" w:cs="Times New Roman"/>
          <w:kern w:val="0"/>
          <w:lang w:eastAsia="de-DE"/>
          <w14:ligatures w14:val="none"/>
        </w:rPr>
      </w:pPr>
      <w:r w:rsidRPr="00B476C7">
        <w:rPr>
          <w:rFonts w:ascii="Times New Roman" w:eastAsia="Times New Roman" w:hAnsi="Times New Roman" w:cs="Times New Roman"/>
          <w:noProof/>
          <w:kern w:val="0"/>
          <w:lang w:eastAsia="de-DE"/>
        </w:rPr>
        <w:pict w14:anchorId="0D699D22">
          <v:rect id="_x0000_i1025" alt="" style="width:453.6pt;height:.05pt;mso-width-percent:0;mso-height-percent:0;mso-width-percent:0;mso-height-percent:0" o:hralign="center" o:hrstd="t" o:hr="t" fillcolor="#a0a0a0" stroked="f"/>
        </w:pict>
      </w:r>
    </w:p>
    <w:p w14:paraId="09ABB298"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Herr Otten, die Stufe-3-Verifikation ist abgeschlossen; gegenüber der vorigen Fassung sind insbesondere die § 172a-HGB-Linie (II ZR 162/75, II ZR 256/79, OLG Brandenburg 6 U 116/06), die Verschärfung des Bestreitensmaßstabs (II ZR 88/16) und die jüngere senatsrechtliche Eingrenzung auf die Geschäftsführerstellung (IX ZR 129/22) ergänzt und durchverifiziert. Für die echte Versandfähigkeit verbleibt allein Ihre manuelle Rückspielung der offenen Parallelfundstellen aus Libra.</w:t>
      </w:r>
    </w:p>
    <w:p w14:paraId="1AEF346F" w14:textId="77777777" w:rsidR="00CB4DB7" w:rsidRPr="00CB4DB7" w:rsidRDefault="00CB4DB7" w:rsidP="00CB4DB7">
      <w:p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 xml:space="preserve">Soll ich den Text nun in eine </w:t>
      </w:r>
      <w:r w:rsidRPr="00CB4DB7">
        <w:rPr>
          <w:rFonts w:ascii="Times New Roman" w:eastAsia="Times New Roman" w:hAnsi="Times New Roman" w:cs="Times New Roman"/>
          <w:b/>
          <w:bCs/>
          <w:kern w:val="0"/>
          <w:lang w:eastAsia="de-DE"/>
          <w14:ligatures w14:val="none"/>
        </w:rPr>
        <w:t>fortlaufende Gutachtenfassung</w:t>
      </w:r>
      <w:r w:rsidRPr="00CB4DB7">
        <w:rPr>
          <w:rFonts w:ascii="Times New Roman" w:eastAsia="Times New Roman" w:hAnsi="Times New Roman" w:cs="Times New Roman"/>
          <w:kern w:val="0"/>
          <w:lang w:eastAsia="de-DE"/>
          <w14:ligatures w14:val="none"/>
        </w:rPr>
        <w:t xml:space="preserve"> mit durchnummeriertem Fußnotenapparat konsolidieren oder in eine </w:t>
      </w:r>
      <w:r w:rsidRPr="00CB4DB7">
        <w:rPr>
          <w:rFonts w:ascii="Times New Roman" w:eastAsia="Times New Roman" w:hAnsi="Times New Roman" w:cs="Times New Roman"/>
          <w:b/>
          <w:bCs/>
          <w:kern w:val="0"/>
          <w:lang w:eastAsia="de-DE"/>
          <w14:ligatures w14:val="none"/>
        </w:rPr>
        <w:t>gerichtsfertige Außenfassung</w:t>
      </w:r>
      <w:r w:rsidRPr="00CB4DB7">
        <w:rPr>
          <w:rFonts w:ascii="Times New Roman" w:eastAsia="Times New Roman" w:hAnsi="Times New Roman" w:cs="Times New Roman"/>
          <w:kern w:val="0"/>
          <w:lang w:eastAsia="de-DE"/>
          <w14:ligatures w14:val="none"/>
        </w:rPr>
        <w:t xml:space="preserve"> (MODE: SCHRIFTSATZ mit Rubrum/Anträgen/Gliederung/Seitenzahlen/WPNO-Briefbogen) überführen?</w:t>
      </w:r>
    </w:p>
    <w:p w14:paraId="65BB372D" w14:textId="77777777" w:rsidR="00CB4DB7" w:rsidRPr="00CB4DB7" w:rsidRDefault="00CB4DB7" w:rsidP="00CB4DB7">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B4DB7">
        <w:rPr>
          <w:rFonts w:ascii="Times New Roman" w:eastAsia="Times New Roman" w:hAnsi="Times New Roman" w:cs="Times New Roman"/>
          <w:b/>
          <w:bCs/>
          <w:kern w:val="0"/>
          <w:sz w:val="36"/>
          <w:szCs w:val="36"/>
          <w:lang w:eastAsia="de-DE"/>
          <w14:ligatures w14:val="none"/>
        </w:rPr>
        <w:t>Literaturverzeichnis</w:t>
      </w:r>
    </w:p>
    <w:p w14:paraId="5A40A3AB"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B4DB7">
        <w:rPr>
          <w:rFonts w:ascii="Times New Roman" w:eastAsia="Times New Roman" w:hAnsi="Times New Roman" w:cs="Times New Roman"/>
          <w:kern w:val="0"/>
          <w:lang w:eastAsia="de-DE"/>
          <w14:ligatures w14:val="none"/>
        </w:rPr>
        <w:t>Ergänzung des BGH-Beschlusses II ZR 106:10 um einschlägige WK-Rechtsprechung.docx, S. 3</w:t>
      </w:r>
    </w:p>
    <w:p w14:paraId="7CD3CDA7"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 w:history="1">
        <w:r w:rsidRPr="00CB4DB7">
          <w:rPr>
            <w:rFonts w:ascii="Times New Roman" w:eastAsia="Times New Roman" w:hAnsi="Times New Roman" w:cs="Times New Roman"/>
            <w:color w:val="0000FF"/>
            <w:kern w:val="0"/>
            <w:u w:val="single"/>
            <w:lang w:eastAsia="de-DE"/>
            <w14:ligatures w14:val="none"/>
          </w:rPr>
          <w:t>BGH, 31.05.2011 - II ZR 106/10 - Anspruch auf Erstattung des Wertes einer Gesellschaftersicherheit nach den sog. Rechtsprechungsregeln verjähren gem. § 31 Abs. 5 GmbHG in fünf Jahren; Verjährung des Anspruchs auf Erstattung des Wertes einer Gesellschaftersicherheit nach den sog. Rechtsprechungsregeln gem. § 31 Abs. 5 GmbHG; Anwendbarkeit des § 146 InsO auf einen Erstattungsanspruch hinsichtlich Wert einer Gesellschaftersicherheit bei gleichzeitiger Erfüllung des Tatbestandes des § 32b GmbHG a.F.</w:t>
        </w:r>
      </w:hyperlink>
    </w:p>
    <w:p w14:paraId="64858D81"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6" w:history="1">
        <w:r w:rsidRPr="00CB4DB7">
          <w:rPr>
            <w:rFonts w:ascii="Times New Roman" w:eastAsia="Times New Roman" w:hAnsi="Times New Roman" w:cs="Times New Roman"/>
            <w:color w:val="0000FF"/>
            <w:kern w:val="0"/>
            <w:u w:val="single"/>
            <w:lang w:eastAsia="de-DE"/>
            <w14:ligatures w14:val="none"/>
          </w:rPr>
          <w:t xml:space="preserve">BGH, 31.05.2011 - II ZR 106/10 - Anspruch auf Erstattung des Wertes einer Gesellschaftersicherheit nach den sog. Rechtsprechungsregeln verjähren gem. § 31 Abs. 5 GmbHG in fünf Jahren; Verjährung des Anspruchs auf Erstattung des Wertes </w:t>
        </w:r>
        <w:r w:rsidRPr="00CB4DB7">
          <w:rPr>
            <w:rFonts w:ascii="Times New Roman" w:eastAsia="Times New Roman" w:hAnsi="Times New Roman" w:cs="Times New Roman"/>
            <w:color w:val="0000FF"/>
            <w:kern w:val="0"/>
            <w:u w:val="single"/>
            <w:lang w:eastAsia="de-DE"/>
            <w14:ligatures w14:val="none"/>
          </w:rPr>
          <w:lastRenderedPageBreak/>
          <w:t>einer Gesellschaftersicherheit nach den sog. Rechtsprechungsregeln gem. § 31 Abs. 5 GmbHG; Anwendbarkeit des § 146 InsO auf einen Erstattungsanspruch hinsichtlich Wert einer Gesellschaftersicherheit bei gleichzeitiger Erfüllung des Tatbestandes des § 32b GmbHG a.F.</w:t>
        </w:r>
      </w:hyperlink>
    </w:p>
    <w:p w14:paraId="72928838"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7" w:history="1">
        <w:r w:rsidRPr="00CB4DB7">
          <w:rPr>
            <w:rFonts w:ascii="Times New Roman" w:eastAsia="Times New Roman" w:hAnsi="Times New Roman" w:cs="Times New Roman"/>
            <w:color w:val="0000FF"/>
            <w:kern w:val="0"/>
            <w:u w:val="single"/>
            <w:lang w:eastAsia="de-DE"/>
            <w14:ligatures w14:val="none"/>
          </w:rPr>
          <w:t>BGH, 31.05.2011 - II ZR 106/10 - Anspruch auf Erstattung des Wertes einer Gesellschaftersicherheit nach den sog. Rechtsprechungsregeln verjähren gem. § 31 Abs. 5 GmbHG in fünf Jahren; Verjährung des Anspruchs auf Erstattung des Wertes einer Gesellschaftersicherheit nach den sog. Rechtsprechungsregeln gem. § 31 Abs. 5 GmbHG; Anwendbarkeit des § 146 InsO auf einen Erstattungsanspruch hinsichtlich Wert einer Gesellschaftersicherheit bei gleichzeitiger Erfüllung des Tatbestandes des § 32b GmbHG a.F.</w:t>
        </w:r>
      </w:hyperlink>
    </w:p>
    <w:p w14:paraId="7A80BDEF"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8" w:history="1">
        <w:r w:rsidRPr="00CB4DB7">
          <w:rPr>
            <w:rFonts w:ascii="Times New Roman" w:eastAsia="Times New Roman" w:hAnsi="Times New Roman" w:cs="Times New Roman"/>
            <w:color w:val="0000FF"/>
            <w:kern w:val="0"/>
            <w:u w:val="single"/>
            <w:lang w:eastAsia="de-DE"/>
            <w14:ligatures w14:val="none"/>
          </w:rPr>
          <w:t>BGH, 31.05.2011 - II ZR 106/10 - Anspruch auf Erstattung des Wertes einer Gesellschaftersicherheit nach den sog. Rechtsprechungsregeln verjähren gem. § 31 Abs. 5 GmbHG in fünf Jahren; Verjährung des Anspruchs auf Erstattung des Wertes einer Gesellschaftersicherheit nach den sog. Rechtsprechungsregeln gem. § 31 Abs. 5 GmbHG; Anwendbarkeit des § 146 InsO auf einen Erstattungsanspruch hinsichtlich Wert einer Gesellschaftersicherheit bei gleichzeitiger Erfüllung des Tatbestandes des § 32b GmbHG a.F.</w:t>
        </w:r>
      </w:hyperlink>
    </w:p>
    <w:p w14:paraId="380361C0"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9" w:history="1">
        <w:r w:rsidRPr="00CB4DB7">
          <w:rPr>
            <w:rFonts w:ascii="Times New Roman" w:eastAsia="Times New Roman" w:hAnsi="Times New Roman" w:cs="Times New Roman"/>
            <w:color w:val="0000FF"/>
            <w:kern w:val="0"/>
            <w:u w:val="single"/>
            <w:lang w:eastAsia="de-DE"/>
            <w14:ligatures w14:val="none"/>
          </w:rPr>
          <w:t>BGH, 11.01.2011 - II ZR 157/09 - Eigenkapitalersatzrechtliche Bindung an eine begründete Forderung des Schuldübernehmers gegen die Gesellschaft bei Übernahme einer Schuld der Gesellschaft gegenüber einem Gesellschafter</w:t>
        </w:r>
      </w:hyperlink>
    </w:p>
    <w:p w14:paraId="74C9DA30"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10" w:history="1">
        <w:r w:rsidRPr="00CB4DB7">
          <w:rPr>
            <w:rFonts w:ascii="Times New Roman" w:eastAsia="Times New Roman" w:hAnsi="Times New Roman" w:cs="Times New Roman"/>
            <w:color w:val="0000FF"/>
            <w:kern w:val="0"/>
            <w:u w:val="single"/>
            <w:lang w:eastAsia="de-DE"/>
            <w14:ligatures w14:val="none"/>
          </w:rPr>
          <w:t>BGH, 26.01.2009 - II ZR 260/07 - Anwendbarkeit des Eigenkapitalersatzrechts auf sog. Altfälle im Hinblick auf eine Insolvenz zum Zeitpunkt der Verwirklichung eines Entstehungstatbestandes vor Modernisierung des GmbH-Rechts; Auswirkungen eines verlängerten Eigentumsvorbehalts und einer Wechselbürgschaft auf die Rückzahlungspflicht eines bürgenden Gesellschafters nach Novellenregeln und Rechtsprechungsregeln</w:t>
        </w:r>
      </w:hyperlink>
    </w:p>
    <w:p w14:paraId="7EC462AA"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11" w:history="1">
        <w:r w:rsidRPr="00CB4DB7">
          <w:rPr>
            <w:rFonts w:ascii="Times New Roman" w:eastAsia="Times New Roman" w:hAnsi="Times New Roman" w:cs="Times New Roman"/>
            <w:color w:val="0000FF"/>
            <w:kern w:val="0"/>
            <w:u w:val="single"/>
            <w:lang w:eastAsia="de-DE"/>
            <w14:ligatures w14:val="none"/>
          </w:rPr>
          <w:t>BGH, 24.03.1980 - II ZR 213/77 - Rückgewähranspruch bei fehlender Abschichtungsbilanz; Kapitalersetzende Gesellschafterleistung ohne Konkursreife; Erhaltung des Stammkapitals; Schadensersatzanspruch gegen den Geschäftsführer</w:t>
        </w:r>
      </w:hyperlink>
    </w:p>
    <w:p w14:paraId="4F09FDEE"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12" w:history="1">
        <w:r w:rsidRPr="00CB4DB7">
          <w:rPr>
            <w:rFonts w:ascii="Times New Roman" w:eastAsia="Times New Roman" w:hAnsi="Times New Roman" w:cs="Times New Roman"/>
            <w:color w:val="0000FF"/>
            <w:kern w:val="0"/>
            <w:u w:val="single"/>
            <w:lang w:eastAsia="de-DE"/>
            <w14:ligatures w14:val="none"/>
          </w:rPr>
          <w:t>BGH, 23.01.2018 - II ZR 246/15 - Gewährung einer Gesellschafterhilfe als Darlehen an die Gesellschaft durch den Gesellschafter; Umqualifizierung des Darlehens in eine eigenkapitalersetzende Leistung nach dem früheren Eigenkapitalersatzrecht wegen einer Kreditunwürdigkeit der Gesellschaft; Beurteilung der Möglichkeit der Selbstbeschaffung des bereits vom Gesellschafter gewährten Kredits aus eigener Kraft durch die Gesellschaft; Eigenkapitalersetzende Gesellschafterleistung</w:t>
        </w:r>
      </w:hyperlink>
    </w:p>
    <w:p w14:paraId="4D5F7C23"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13" w:history="1">
        <w:r w:rsidRPr="00CB4DB7">
          <w:rPr>
            <w:rFonts w:ascii="Times New Roman" w:eastAsia="Times New Roman" w:hAnsi="Times New Roman" w:cs="Times New Roman"/>
            <w:color w:val="0000FF"/>
            <w:kern w:val="0"/>
            <w:u w:val="single"/>
            <w:lang w:eastAsia="de-DE"/>
            <w14:ligatures w14:val="none"/>
          </w:rPr>
          <w:t>BGH, 11.07.1994 - II ZR 162/92 - Konkursverwalter; Nutzungsüberlassung; Gemeinschuldner</w:t>
        </w:r>
      </w:hyperlink>
    </w:p>
    <w:p w14:paraId="632A1B09"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14" w:history="1">
        <w:r w:rsidRPr="00CB4DB7">
          <w:rPr>
            <w:rFonts w:ascii="Times New Roman" w:eastAsia="Times New Roman" w:hAnsi="Times New Roman" w:cs="Times New Roman"/>
            <w:color w:val="0000FF"/>
            <w:kern w:val="0"/>
            <w:u w:val="single"/>
            <w:lang w:eastAsia="de-DE"/>
            <w14:ligatures w14:val="none"/>
          </w:rPr>
          <w:t>LG Hamburg, 07.10.2022 - 326 O 41/21 - Darlehenstilgung und deren Auswirkungen im Rahmen eines eröffneten Insolvenzverfahrens</w:t>
        </w:r>
      </w:hyperlink>
    </w:p>
    <w:p w14:paraId="615C1DAE"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15" w:history="1">
        <w:r w:rsidRPr="00CB4DB7">
          <w:rPr>
            <w:rFonts w:ascii="Times New Roman" w:eastAsia="Times New Roman" w:hAnsi="Times New Roman" w:cs="Times New Roman"/>
            <w:color w:val="0000FF"/>
            <w:kern w:val="0"/>
            <w:u w:val="single"/>
            <w:lang w:eastAsia="de-DE"/>
            <w14:ligatures w14:val="none"/>
          </w:rPr>
          <w:t>BGH, 21.02.1994 - II ZR 60/93 - GmbH; Gesellschafter; Darlehnsforderung; Mindesteinlagebetrag; Resteinlageschuld; Verdeckte Sacheinlage; Überschuldung</w:t>
        </w:r>
      </w:hyperlink>
    </w:p>
    <w:p w14:paraId="25EB8E41"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16" w:history="1">
        <w:r w:rsidRPr="00CB4DB7">
          <w:rPr>
            <w:rFonts w:ascii="Times New Roman" w:eastAsia="Times New Roman" w:hAnsi="Times New Roman" w:cs="Times New Roman"/>
            <w:color w:val="0000FF"/>
            <w:kern w:val="0"/>
            <w:u w:val="single"/>
            <w:lang w:eastAsia="de-DE"/>
            <w14:ligatures w14:val="none"/>
          </w:rPr>
          <w:t>BGH, 12.01.1987 - II ZR 63/86 - Voraussetzungen für das Vorliegen einer kapitalersetzenden Gesellschafterleistung; Verrechnung oder Aufrechnung als verbotene Rückgewähr einer kapitalersetzenden Gesellschafterleistung; Vereinbarter vorläufiger Verzicht auf Gewinnentnahmen</w:t>
        </w:r>
      </w:hyperlink>
    </w:p>
    <w:p w14:paraId="58BD189F"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17" w:history="1">
        <w:r w:rsidRPr="00CB4DB7">
          <w:rPr>
            <w:rFonts w:ascii="Times New Roman" w:eastAsia="Times New Roman" w:hAnsi="Times New Roman" w:cs="Times New Roman"/>
            <w:color w:val="0000FF"/>
            <w:kern w:val="0"/>
            <w:u w:val="single"/>
            <w:lang w:eastAsia="de-DE"/>
            <w14:ligatures w14:val="none"/>
          </w:rPr>
          <w:t>BGH, 17.02.1992 - II ZR 154/91 - Eigenkapitalersetzende Leistung der Gesellschafter durch Stellung einer Sicherheit (Bürgschaft) und deren Aufrechterhaltung in der Krise der Gesellschaft; Darlegungslast hinsichtlich der Möglichkeiten der Beendigung einer Finanzierungshilfe</w:t>
        </w:r>
      </w:hyperlink>
    </w:p>
    <w:p w14:paraId="696670C3"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18" w:history="1">
        <w:r w:rsidRPr="00CB4DB7">
          <w:rPr>
            <w:rFonts w:ascii="Times New Roman" w:eastAsia="Times New Roman" w:hAnsi="Times New Roman" w:cs="Times New Roman"/>
            <w:color w:val="0000FF"/>
            <w:kern w:val="0"/>
            <w:u w:val="single"/>
            <w:lang w:eastAsia="de-DE"/>
            <w14:ligatures w14:val="none"/>
          </w:rPr>
          <w:t>BGH, 17.02.1992 - II ZR 154/91 - Eigenkapitalersetzende Leistung der Gesellschafter durch Stellung einer Sicherheit (Bürgschaft) und deren Aufrechterhaltung in der Krise der Gesellschaft; Darlegungslast hinsichtlich der Möglichkeiten der Beendigung einer Finanzierungshilfe</w:t>
        </w:r>
      </w:hyperlink>
    </w:p>
    <w:p w14:paraId="1A00E35A"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19" w:history="1">
        <w:r w:rsidRPr="00CB4DB7">
          <w:rPr>
            <w:rFonts w:ascii="Times New Roman" w:eastAsia="Times New Roman" w:hAnsi="Times New Roman" w:cs="Times New Roman"/>
            <w:color w:val="0000FF"/>
            <w:kern w:val="0"/>
            <w:u w:val="single"/>
            <w:lang w:eastAsia="de-DE"/>
            <w14:ligatures w14:val="none"/>
          </w:rPr>
          <w:t>OLG Koblenz, 18.01.2006 - 1 U 1082/04 - Rückzahlung eines vor Eintritt der Krise gewährten Gesellschafterdarlehens an den Gesellschafter als verbotene Auszahlung i.S.d. § 30 Abs. 1 (GmbHG); Voraussetzungen für die Umqualifizierung von Fremdkapital in Eigenkapital; Eigenkapitalersetzender Charakter eines vor Eintritt der Krise gewährten Gesellschafterdarlehens; Voraussetzungen der unmittelbaren Gläubigerbenachteiligung; Austausch eines Insolvenzschuldners gegen einen anderen für die Masse; Voraussetzungen der Gläubigerbenachteiligung durch Tilgung einer Verbindlichkeit; Abgrenzung kongruente und inkongruente Deckung; Voraussetzungen einer Krise der Gesellschaft; Anforderungen an die Erkennbarkeit der Krise für Gesellschafter und Geschäftsführer</w:t>
        </w:r>
      </w:hyperlink>
    </w:p>
    <w:p w14:paraId="2F1EA680"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20" w:history="1">
        <w:r w:rsidRPr="00CB4DB7">
          <w:rPr>
            <w:rFonts w:ascii="Times New Roman" w:eastAsia="Times New Roman" w:hAnsi="Times New Roman" w:cs="Times New Roman"/>
            <w:color w:val="0000FF"/>
            <w:kern w:val="0"/>
            <w:u w:val="single"/>
            <w:lang w:eastAsia="de-DE"/>
            <w14:ligatures w14:val="none"/>
          </w:rPr>
          <w:t>BGH, 13.07.1981 - II ZR 256/79 - Behandlung einer Bürgschaft als kapitalersetzende Leistung; Voraussetzungen einer Bürgschaft für die Gewährung eines Bankkredits an eine Gesellschaft zu marktüblichen Bedingungen; Anwendung des Kapitalerhaltungsgrundsatzes; Inanspruchnahme eines bereits ausgeschiedenen Gesellschafters bei einem Rückgriffsanspruch des Bürgen gegen die Gesellschaft im Zusammenhang mit der Gesellschafterstellung; Erstattungspflicht bei Rückzahlung des verbürgten Kredits durch die Gesellschaft vor Deckung des Stammkapitals mit Eigenmitteln; Behandlung der Stundung von Kaufpreisforderungen aus Warenlieferungen eines Gesellschafters an die Gesellschaft als Kapitalersatz; Versagung eines Absonderungsrechts</w:t>
        </w:r>
      </w:hyperlink>
    </w:p>
    <w:p w14:paraId="45E635D2"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21" w:history="1">
        <w:r w:rsidRPr="00CB4DB7">
          <w:rPr>
            <w:rFonts w:ascii="Times New Roman" w:eastAsia="Times New Roman" w:hAnsi="Times New Roman" w:cs="Times New Roman"/>
            <w:color w:val="0000FF"/>
            <w:kern w:val="0"/>
            <w:u w:val="single"/>
            <w:lang w:eastAsia="de-DE"/>
            <w14:ligatures w14:val="none"/>
          </w:rPr>
          <w:t>OLG Brandenburg, 31.07.2007 - 6 U 116/06 - Eigenkapitalersatzfunktion von Bürgschaften; Geltung der §§ 30, 31 des Gesetzes betreffend die Gesellschafen mit beschränkter Haftung (GmbhG) für Komanditisten und Gesellschafter der Komplementär-GmbH einer GmbH &amp; Co. KG; Verjährung von Ansprüchen gemäß § 31 GmbHG</w:t>
        </w:r>
      </w:hyperlink>
    </w:p>
    <w:p w14:paraId="2BAB9168"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22" w:history="1">
        <w:r w:rsidRPr="00CB4DB7">
          <w:rPr>
            <w:rFonts w:ascii="Times New Roman" w:eastAsia="Times New Roman" w:hAnsi="Times New Roman" w:cs="Times New Roman"/>
            <w:color w:val="0000FF"/>
            <w:kern w:val="0"/>
            <w:u w:val="single"/>
            <w:lang w:eastAsia="de-DE"/>
            <w14:ligatures w14:val="none"/>
          </w:rPr>
          <w:t>OLG Köln, 11.12.2008 - 18 U 138/07 - Anwendbarkeit der Ausnahme des Grundsatzes der Kapitalerhaltung für Rückzahlungen auf ein eigenkapitalersetzendes Gesellschafterdarlehen bei Eröffnung des Insolvenzverfahrens über ein GmbH-Vermögen vor Neufassung der Norm; Passivierung eines im Gesellschaftsvertrag neben der Hafteinlage vereinbarten Darlehens eines Gesellschafters im Überschuldungsstatus; Passivierung eines im Gesellschaftsvertrag neben der Hafteinlage vereinbarten Darlehens eines Gesellschafters im Überschuldungsstatus mit Ausnahme des Vorliegens eines qualifizierten Rangrücktritts</w:t>
        </w:r>
      </w:hyperlink>
    </w:p>
    <w:p w14:paraId="6FF60DA2"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23" w:history="1">
        <w:r w:rsidRPr="00CB4DB7">
          <w:rPr>
            <w:rFonts w:ascii="Times New Roman" w:eastAsia="Times New Roman" w:hAnsi="Times New Roman" w:cs="Times New Roman"/>
            <w:color w:val="0000FF"/>
            <w:kern w:val="0"/>
            <w:u w:val="single"/>
            <w:lang w:eastAsia="de-DE"/>
            <w14:ligatures w14:val="none"/>
          </w:rPr>
          <w:t>OLG Hamm, 29.09.2016 - 34 U 231/15 - Haftung der Gründungsgesellschafterin, der Treuhandgesellschaft und des Vermittlers einer Kapitalanlage an einem geschlossenen Schiffsfonds</w:t>
        </w:r>
      </w:hyperlink>
    </w:p>
    <w:p w14:paraId="4D75EB4C"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24" w:history="1">
        <w:r w:rsidRPr="00CB4DB7">
          <w:rPr>
            <w:rFonts w:ascii="Times New Roman" w:eastAsia="Times New Roman" w:hAnsi="Times New Roman" w:cs="Times New Roman"/>
            <w:color w:val="0000FF"/>
            <w:kern w:val="0"/>
            <w:u w:val="single"/>
            <w:lang w:eastAsia="de-DE"/>
            <w14:ligatures w14:val="none"/>
          </w:rPr>
          <w:t>BGH, 02.12.1996 - II ZR 243/95 - Eigenkapitalersetzender Charakter von Leistungen; Ausscheiden aus einer Gesellschaft durch Kündigung; Rechtswirkungen, welche die Kündigung einer GmbH durch einen Gesellschafter auslöst; Auflösungsgrund im Sinne des§ 60 Abs. 2 GmbHGesetz (GmbHG); Ende der Mitgliedschaft in der fortbestehenden GmbH für den Kündigenden mit der wirksamen Kündigung; Ende der Mitgliedschaft in der fortbestehenden GmbH für den Kündigenden mit Einziehung seines Anteils; Ende der Mitgliedschaft in der fortbestehenden GmbH für den Kündigenden mit Erwerb seines Anteils durch einen Dritten</w:t>
        </w:r>
      </w:hyperlink>
    </w:p>
    <w:p w14:paraId="3FD0AE95"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25" w:history="1">
        <w:r w:rsidRPr="00CB4DB7">
          <w:rPr>
            <w:rFonts w:ascii="Times New Roman" w:eastAsia="Times New Roman" w:hAnsi="Times New Roman" w:cs="Times New Roman"/>
            <w:color w:val="0000FF"/>
            <w:kern w:val="0"/>
            <w:u w:val="single"/>
            <w:lang w:eastAsia="de-DE"/>
            <w14:ligatures w14:val="none"/>
          </w:rPr>
          <w:t xml:space="preserve">BGH, 13.07.1992 - II ZR 269/91 - Anspruch auf Rückzahlung eines Darlehens gegen eine insolvente Gesellschaft; Vorliegen von Kreditunwürdigkeit bei der Kontoüberziehung einer Handelsgesellschaft; Darlehen eines Gesellschafters als </w:t>
        </w:r>
        <w:r w:rsidRPr="00CB4DB7">
          <w:rPr>
            <w:rFonts w:ascii="Times New Roman" w:eastAsia="Times New Roman" w:hAnsi="Times New Roman" w:cs="Times New Roman"/>
            <w:color w:val="0000FF"/>
            <w:kern w:val="0"/>
            <w:u w:val="single"/>
            <w:lang w:eastAsia="de-DE"/>
            <w14:ligatures w14:val="none"/>
          </w:rPr>
          <w:lastRenderedPageBreak/>
          <w:t>Eigenkapitalersatz ; Gewährung oder Belassung eigenkapitalersetzender Leistungen im Gesellschaftsrecht; Bedeutung des Fortbestehens einer Unterbilanz nach fortgeführten Buchwerten</w:t>
        </w:r>
      </w:hyperlink>
    </w:p>
    <w:p w14:paraId="43C65A27"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26" w:history="1">
        <w:r w:rsidRPr="00CB4DB7">
          <w:rPr>
            <w:rFonts w:ascii="Times New Roman" w:eastAsia="Times New Roman" w:hAnsi="Times New Roman" w:cs="Times New Roman"/>
            <w:color w:val="0000FF"/>
            <w:kern w:val="0"/>
            <w:u w:val="single"/>
            <w:lang w:eastAsia="de-DE"/>
            <w14:ligatures w14:val="none"/>
          </w:rPr>
          <w:t>OLG Stuttgart, 14.03.2007 - 14 U 25/06 - Anmeldung von Forderungen zur Insolvenztabelle; Annahme eines Darlehens bzw. von Finanztransaktionen im Rahmen eines "Cash Pools"; Eigenkapital ersetzende Gesellschafterdarlehen; Geltendmachung als nachrangiger Insolvenzgläubiger; Kreditunwürdigkeit der Gesellschaft; Verteilung der Darlegungs- und Beweislast; Berücksichtigung eines unter Verstoß gegen Vorschriften des Verfahrensrechts gewonnenen Beweisergebnisses; Stehenlassen einer Gesellschafterleistung; Verjährung eines insolvenzrechtlichen Anfechtungsanspruchs; Umdeutung einer wegen Nichterreichens der Berufungssumme unzulässigen Berufung in eine zulässige Anschlussberufung</w:t>
        </w:r>
      </w:hyperlink>
    </w:p>
    <w:p w14:paraId="2B7D63B5"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27" w:history="1">
        <w:r w:rsidRPr="00CB4DB7">
          <w:rPr>
            <w:rFonts w:ascii="Times New Roman" w:eastAsia="Times New Roman" w:hAnsi="Times New Roman" w:cs="Times New Roman"/>
            <w:color w:val="0000FF"/>
            <w:kern w:val="0"/>
            <w:u w:val="single"/>
            <w:lang w:eastAsia="de-DE"/>
            <w14:ligatures w14:val="none"/>
          </w:rPr>
          <w:t>LG Aachen, 03.03.2015 - 10 O 193/08 - Forderungsanspruch eines Insolvenzverwalters über das Vermögen einer Firma hinsichtlich Nachrangigkeit; Verrechnung des Auszahlungsanspruchs der Darlehensvaluta mit Kaufpreisansprüchen; Fälligkeit der Darlehensrückforderung nach Kündigung des Darlehensvertrages</w:t>
        </w:r>
      </w:hyperlink>
    </w:p>
    <w:p w14:paraId="0466F2EB"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28" w:history="1">
        <w:r w:rsidRPr="00CB4DB7">
          <w:rPr>
            <w:rFonts w:ascii="Times New Roman" w:eastAsia="Times New Roman" w:hAnsi="Times New Roman" w:cs="Times New Roman"/>
            <w:color w:val="0000FF"/>
            <w:kern w:val="0"/>
            <w:u w:val="single"/>
            <w:lang w:eastAsia="de-DE"/>
            <w14:ligatures w14:val="none"/>
          </w:rPr>
          <w:t>BGH, 27.11.1989 - II ZR 310/88 - Voraussetzungen an das Vorliegen einer eigenkapital-ersetzenden Leistung; Absicherung einer Bankbürgschaft durch einen Gesellschafter durch Abtretung einer ihm persönlich zustehenden Eigentümergrundschuld an die Bank; Abwendung der Zwangsvollstreckung aus einem gegen die Gesellschaft ergangenen, vorläufig vollstreckbaren Urteil; Voraussetzung der Konkursreife bzw. der Kreditunfähigkeit; Ziel einer dauerhaften oder einer vorübergehenden Liquiditätsverbesserung; Berufung auf die Anfechtungstabestände der Konkursordnung</w:t>
        </w:r>
      </w:hyperlink>
    </w:p>
    <w:p w14:paraId="7C81E4E1"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29" w:history="1">
        <w:r w:rsidRPr="00CB4DB7">
          <w:rPr>
            <w:rFonts w:ascii="Times New Roman" w:eastAsia="Times New Roman" w:hAnsi="Times New Roman" w:cs="Times New Roman"/>
            <w:color w:val="0000FF"/>
            <w:kern w:val="0"/>
            <w:u w:val="single"/>
            <w:lang w:eastAsia="de-DE"/>
            <w14:ligatures w14:val="none"/>
          </w:rPr>
          <w:t>BGH, 07.03.2005 - II ZR 138/03 - Anforderungen an die Geltendmachung einer Rückzahlung von Leistungen nach den Grundsätzen des Eigenkapitalersatzes; Darlegungslast und Beweislast bezüglich des Bestehens einer Kriese der GmbH bei der Geltendmachung von Rückzahlungsansprüchen; Vorlage der Handelsbilanz bei der Berufung der Gesellschaft oder des Insolvenzverwalters auf eine Insolvenzreife wegen Überschuldung der Gesellschaft; Notwendigkeit der Darlegung, dass stille Reserven oder sonstige Veräußerungswerte nicht vorhanden sind, um einen Eigenkapitalersatz zu verlangen</w:t>
        </w:r>
      </w:hyperlink>
    </w:p>
    <w:p w14:paraId="1E367ED5"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30" w:history="1">
        <w:r w:rsidRPr="00CB4DB7">
          <w:rPr>
            <w:rFonts w:ascii="Times New Roman" w:eastAsia="Times New Roman" w:hAnsi="Times New Roman" w:cs="Times New Roman"/>
            <w:color w:val="0000FF"/>
            <w:kern w:val="0"/>
            <w:u w:val="single"/>
            <w:lang w:eastAsia="de-DE"/>
            <w14:ligatures w14:val="none"/>
          </w:rPr>
          <w:t>BGH, 02.04.2009 - IX ZR 236/07 - Anfechtbarkeit des Stehenlassens einer Gesellschafterleistung in der Insolvenz der Gesellschaft; Geltendmachung der Anfechtbarkeit des der Forderung entgegengehaltenen Eigenkapitalersatzeinwands durch den Insolvenzverwalter</w:t>
        </w:r>
      </w:hyperlink>
    </w:p>
    <w:p w14:paraId="2BAC64DB"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31" w:history="1">
        <w:r w:rsidRPr="00CB4DB7">
          <w:rPr>
            <w:rFonts w:ascii="Times New Roman" w:eastAsia="Times New Roman" w:hAnsi="Times New Roman" w:cs="Times New Roman"/>
            <w:color w:val="0000FF"/>
            <w:kern w:val="0"/>
            <w:u w:val="single"/>
            <w:lang w:eastAsia="de-DE"/>
            <w14:ligatures w14:val="none"/>
          </w:rPr>
          <w:t>BGH, 26.04.2010 - II ZR 60/09 - Begründung des für die Auslösung der Haftung nach den Eigenkapitalersatzregeln konstitutiven unternehmerischen Interesses des Darlehen gewährenden Aktionärs durch eine mit Mitaktionären koordinierte, auf die Verhinderung der Insolvenz einer Aktiengesellschaft gerichtete Kapitalhilfe eines Aktionärs; Ausnahme von den Grundsätzen des Eigenkapitalersatzrechts bei sog. kurzfristigen Überbrückungskrediten</w:t>
        </w:r>
      </w:hyperlink>
    </w:p>
    <w:p w14:paraId="0FA5F73C"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32" w:history="1">
        <w:r w:rsidRPr="00CB4DB7">
          <w:rPr>
            <w:rFonts w:ascii="Times New Roman" w:eastAsia="Times New Roman" w:hAnsi="Times New Roman" w:cs="Times New Roman"/>
            <w:color w:val="0000FF"/>
            <w:kern w:val="0"/>
            <w:u w:val="single"/>
            <w:lang w:eastAsia="de-DE"/>
            <w14:ligatures w14:val="none"/>
          </w:rPr>
          <w:t xml:space="preserve">BGH, 06.06.1994 - II ZR 292/91 - Persönliche Haftung des Gesellschafter-Geschäftsführers für die Verbindlichkeit seiner Gesellschaft mit beschränkter Haftung (GmbH) wegen Verschuldens bei Vertragsabschluss; Vertreterhaftung wegen wirtschaftlichen Eigeninteresses; Erbringung von Sicherheiten in Form einer Bürgschaft und der Abtretung von persönlichen Forderungen aus dem Privatvermögen; Erhöhtes Schutzbedürfnis der anderen Gesellschaftsgläubiger erst in Insolvenznähe; Vertreterhaftung wegen Inanspruchnahme eines besonderen persönlichen Vertrauens; Voraussetzung des Hervorrufens eines zusätzlichen, von </w:t>
        </w:r>
        <w:r w:rsidRPr="00CB4DB7">
          <w:rPr>
            <w:rFonts w:ascii="Times New Roman" w:eastAsia="Times New Roman" w:hAnsi="Times New Roman" w:cs="Times New Roman"/>
            <w:color w:val="0000FF"/>
            <w:kern w:val="0"/>
            <w:u w:val="single"/>
            <w:lang w:eastAsia="de-DE"/>
            <w14:ligatures w14:val="none"/>
          </w:rPr>
          <w:lastRenderedPageBreak/>
          <w:t>dem Vertreter selbst ausgehenden Vertrauens auf die Vollständigkeit und Richtigkeit seiner Erklärungen; Haftung des Geschäftsführers gegenüber Neugläubigern wegen schuldhaft pflichtwidrigen Unterbleibens eines vorherigen Konkursantrages; Haftungsbegrenzung auf den Quotenschaden; Maßgeblichkeit des Zeitpunkts des Eintritts der Konkursantragspflicht; Verteilung der Darlegungslast und der Beweislast; Zuständigkeit des Zeugen als Konkursverwalter für die Entscheidung über seine eigene Befreiung von der Schweigepflicht als früherer Steuerberater der GmbH</w:t>
        </w:r>
      </w:hyperlink>
    </w:p>
    <w:p w14:paraId="6D0A6BD2"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33" w:history="1">
        <w:r w:rsidRPr="00CB4DB7">
          <w:rPr>
            <w:rFonts w:ascii="Times New Roman" w:eastAsia="Times New Roman" w:hAnsi="Times New Roman" w:cs="Times New Roman"/>
            <w:color w:val="0000FF"/>
            <w:kern w:val="0"/>
            <w:u w:val="single"/>
            <w:lang w:eastAsia="de-DE"/>
            <w14:ligatures w14:val="none"/>
          </w:rPr>
          <w:t>BGH, 19.11.2013 - II ZR 229/11 - Darlegungslast im Zusammenhang mit der Haftung eines Geschäftsführers für Zahlungen bei Insolvenzreife</w:t>
        </w:r>
      </w:hyperlink>
    </w:p>
    <w:p w14:paraId="43D74BE1"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34" w:history="1">
        <w:r w:rsidRPr="00CB4DB7">
          <w:rPr>
            <w:rFonts w:ascii="Times New Roman" w:eastAsia="Times New Roman" w:hAnsi="Times New Roman" w:cs="Times New Roman"/>
            <w:color w:val="0000FF"/>
            <w:kern w:val="0"/>
            <w:u w:val="single"/>
            <w:lang w:eastAsia="de-DE"/>
            <w14:ligatures w14:val="none"/>
          </w:rPr>
          <w:t>BGH, 27.04.2009 - II ZR 253/07 - Sekundäre Darlegungslast eines beklagten Geschäftsführers zur Nichtabbildung stiller Reserven oder anderer für eine Überschuldungsbilanz maßgeblicher Werte in der Handelsbilanz; Anspruch auf Ersatz entgangenen Gewinns eines Neugläubigers wegen Insolvenzverschleppung; Einem Neugläubiger durch die Geltendmachung seiner Ansprüche gegen eine insolvente Gesellschaft entstandene Rechtsverfolgungskosten als erstattungsfähiger Insolvenzverschleppungsschaden</w:t>
        </w:r>
      </w:hyperlink>
    </w:p>
    <w:p w14:paraId="3586C27E"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35" w:history="1">
        <w:r w:rsidRPr="00CB4DB7">
          <w:rPr>
            <w:rFonts w:ascii="Times New Roman" w:eastAsia="Times New Roman" w:hAnsi="Times New Roman" w:cs="Times New Roman"/>
            <w:color w:val="0000FF"/>
            <w:kern w:val="0"/>
            <w:u w:val="single"/>
            <w:lang w:eastAsia="de-DE"/>
            <w14:ligatures w14:val="none"/>
          </w:rPr>
          <w:t>BGH, 19.12.2017 - II ZR 88/16 - Darlegung der Zahlungsunfähigkeit des Schuldners durch einen vom Insolvenzverwalter aufgestellten Liquiditätsstatus auf Grundlage der Angaben aus der Buchhaltung des Schuldners; Feststellung der Zahlungsunfähigkeit anhand einer Liquiditätsbilanz; Einbeziehung der innerhalb von drei Wochen nach dem Stichtag fällig werdenden und eingeforderten Verbindlichkeiten (sog. Passiva II)</w:t>
        </w:r>
      </w:hyperlink>
    </w:p>
    <w:p w14:paraId="0DE027C1"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36" w:history="1">
        <w:r w:rsidRPr="00CB4DB7">
          <w:rPr>
            <w:rFonts w:ascii="Times New Roman" w:eastAsia="Times New Roman" w:hAnsi="Times New Roman" w:cs="Times New Roman"/>
            <w:color w:val="0000FF"/>
            <w:kern w:val="0"/>
            <w:u w:val="single"/>
            <w:lang w:eastAsia="de-DE"/>
            <w14:ligatures w14:val="none"/>
          </w:rPr>
          <w:t>BGH, 19.12.2017 - II ZR 88/16 - Darlegung der Zahlungsunfähigkeit des Schuldners durch einen vom Insolvenzverwalter aufgestellten Liquiditätsstatus auf Grundlage der Angaben aus der Buchhaltung des Schuldners; Feststellung der Zahlungsunfähigkeit anhand einer Liquiditätsbilanz; Einbeziehung der innerhalb von drei Wochen nach dem Stichtag fällig werdenden und eingeforderten Verbindlichkeiten (sog. Passiva II)</w:t>
        </w:r>
      </w:hyperlink>
    </w:p>
    <w:p w14:paraId="6B61D1A1"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37" w:history="1">
        <w:r w:rsidRPr="00CB4DB7">
          <w:rPr>
            <w:rFonts w:ascii="Times New Roman" w:eastAsia="Times New Roman" w:hAnsi="Times New Roman" w:cs="Times New Roman"/>
            <w:color w:val="0000FF"/>
            <w:kern w:val="0"/>
            <w:u w:val="single"/>
            <w:lang w:eastAsia="de-DE"/>
            <w14:ligatures w14:val="none"/>
          </w:rPr>
          <w:t>BGH, 19.12.2017 - II ZR 88/16 - Darlegung der Zahlungsunfähigkeit des Schuldners durch einen vom Insolvenzverwalter aufgestellten Liquiditätsstatus auf Grundlage der Angaben aus der Buchhaltung des Schuldners; Feststellung der Zahlungsunfähigkeit anhand einer Liquiditätsbilanz; Einbeziehung der innerhalb von drei Wochen nach dem Stichtag fällig werdenden und eingeforderten Verbindlichkeiten (sog. Passiva II)</w:t>
        </w:r>
      </w:hyperlink>
    </w:p>
    <w:p w14:paraId="22B4085F"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38" w:history="1">
        <w:r w:rsidRPr="00CB4DB7">
          <w:rPr>
            <w:rFonts w:ascii="Times New Roman" w:eastAsia="Times New Roman" w:hAnsi="Times New Roman" w:cs="Times New Roman"/>
            <w:color w:val="0000FF"/>
            <w:kern w:val="0"/>
            <w:u w:val="single"/>
            <w:lang w:eastAsia="de-DE"/>
            <w14:ligatures w14:val="none"/>
          </w:rPr>
          <w:t>BGH, 18.04.2024 - IX ZR 129/22 - Konkretes und substantiiertes Bestreiten des vom Insolvenzverwalter zur Darlegung der Zahlungsunfähigkeit der Schuldnerin aufgestellten Liquiditätsstatus im Einzelnen von einem außerhalb der Gesellschaft stehenden Dritten</w:t>
        </w:r>
      </w:hyperlink>
    </w:p>
    <w:p w14:paraId="6FB1FA27"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39" w:history="1">
        <w:r w:rsidRPr="00CB4DB7">
          <w:rPr>
            <w:rFonts w:ascii="Times New Roman" w:eastAsia="Times New Roman" w:hAnsi="Times New Roman" w:cs="Times New Roman"/>
            <w:color w:val="0000FF"/>
            <w:kern w:val="0"/>
            <w:u w:val="single"/>
            <w:lang w:eastAsia="de-DE"/>
            <w14:ligatures w14:val="none"/>
          </w:rPr>
          <w:t>BGH, 03.03.2022 - IX ZR 53/19 - Kenntnis eines Anfechtungsgegners vom Gläubigerbenachteiligungsvorsatz des Schuldners als eine innere dem Beweis nur eingeschränkt zugängliche Tatsache; Beweisanzeichen für die subjektiven Voraussetzungen der Vorsatzanfechtung durch drohende oder bereits eingetretene Zahlungsunfähigkeit</w:t>
        </w:r>
      </w:hyperlink>
    </w:p>
    <w:p w14:paraId="19D69B9D"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40" w:history="1">
        <w:r w:rsidRPr="00CB4DB7">
          <w:rPr>
            <w:rFonts w:ascii="Times New Roman" w:eastAsia="Times New Roman" w:hAnsi="Times New Roman" w:cs="Times New Roman"/>
            <w:color w:val="0000FF"/>
            <w:kern w:val="0"/>
            <w:u w:val="single"/>
            <w:lang w:eastAsia="de-DE"/>
            <w14:ligatures w14:val="none"/>
          </w:rPr>
          <w:t>OLG Hamburg, 16.03.2018 - 5 U 191/16 - Rückforderung von nach Insolvenzreife geleisteten Zahlungen durch den Insolvenzverwalter</w:t>
        </w:r>
      </w:hyperlink>
    </w:p>
    <w:p w14:paraId="591C89A9"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41" w:history="1">
        <w:r w:rsidRPr="00CB4DB7">
          <w:rPr>
            <w:rFonts w:ascii="Times New Roman" w:eastAsia="Times New Roman" w:hAnsi="Times New Roman" w:cs="Times New Roman"/>
            <w:color w:val="0000FF"/>
            <w:kern w:val="0"/>
            <w:u w:val="single"/>
            <w:lang w:eastAsia="de-DE"/>
            <w14:ligatures w14:val="none"/>
          </w:rPr>
          <w:t>OLG Hamm, 25.01.2023 - 8 U 153/21 - Rückerstattung von "verbotenen" Zahlungen durch den Geschäftsführer einer insolventen GmbH als Anspruch eines Sachwalters; Abtretung der Forderung an den Insolvenzverwalter; Vermutung des Verschuldens des Geschäftsführers</w:t>
        </w:r>
      </w:hyperlink>
    </w:p>
    <w:p w14:paraId="36D9F801"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42" w:history="1">
        <w:r w:rsidRPr="00CB4DB7">
          <w:rPr>
            <w:rFonts w:ascii="Times New Roman" w:eastAsia="Times New Roman" w:hAnsi="Times New Roman" w:cs="Times New Roman"/>
            <w:color w:val="0000FF"/>
            <w:kern w:val="0"/>
            <w:u w:val="single"/>
            <w:lang w:eastAsia="de-DE"/>
            <w14:ligatures w14:val="none"/>
          </w:rPr>
          <w:t>OLG Düsseldorf, 17.01.2022 - 12 W 17/21 - Sofortige Beschwerde wegen Nichtgewährung von Prozesskostenhilfe in einem Verfahren wegen einer Finanzierungszusage; Berücksichtigung einer eingetretenen Überschuldung im Rahmen der Versagung der PKH</w:t>
        </w:r>
      </w:hyperlink>
    </w:p>
    <w:p w14:paraId="630C0F82"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43" w:history="1">
        <w:r w:rsidRPr="00CB4DB7">
          <w:rPr>
            <w:rFonts w:ascii="Times New Roman" w:eastAsia="Times New Roman" w:hAnsi="Times New Roman" w:cs="Times New Roman"/>
            <w:color w:val="0000FF"/>
            <w:kern w:val="0"/>
            <w:u w:val="single"/>
            <w:lang w:eastAsia="de-DE"/>
            <w14:ligatures w14:val="none"/>
          </w:rPr>
          <w:t>OLG Köln, 16.03.2017 - 18 U 226/13 - Haftung des Vorstandes einer Aktiengesellschaft wegen Zahlungen bei Insolvenzreife</w:t>
        </w:r>
      </w:hyperlink>
    </w:p>
    <w:p w14:paraId="60BBE390"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44" w:history="1">
        <w:r w:rsidRPr="00CB4DB7">
          <w:rPr>
            <w:rFonts w:ascii="Times New Roman" w:eastAsia="Times New Roman" w:hAnsi="Times New Roman" w:cs="Times New Roman"/>
            <w:color w:val="0000FF"/>
            <w:kern w:val="0"/>
            <w:u w:val="single"/>
            <w:lang w:eastAsia="de-DE"/>
            <w14:ligatures w14:val="none"/>
          </w:rPr>
          <w:t>OLG Stuttgart, 18.01.2006 - 4 U 189/05 - Inanspruchnahme von Geschäftsführern auf Erstattung von Zahlungen an Gläubiger im Überschuldungsstatus innerhalb eines Insolvenzverfahrens; Nachweis des Vorliegens einer rechnerischen Überschuldung unter Zugrundelegung von Liquidationswerten</w:t>
        </w:r>
      </w:hyperlink>
    </w:p>
    <w:p w14:paraId="2315F663"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45" w:history="1">
        <w:r w:rsidRPr="00CB4DB7">
          <w:rPr>
            <w:rFonts w:ascii="Times New Roman" w:eastAsia="Times New Roman" w:hAnsi="Times New Roman" w:cs="Times New Roman"/>
            <w:color w:val="0000FF"/>
            <w:kern w:val="0"/>
            <w:u w:val="single"/>
            <w:lang w:eastAsia="de-DE"/>
            <w14:ligatures w14:val="none"/>
          </w:rPr>
          <w:t>OLG Naumburg, 20.08.2003 - 5 U 67/03 - Persönliche Haftung des GmbH-Geschäftsführers bei Zahlungsunfähigkeit der Gesellschaft; Pflichtwidriges Unterlassen eines Insolvenzantrags trotz Überschuldung; Fahrlässige Verkennung der wirtschaftlichen Situation der Gesellschaft; Fehleinschätzung der Fortführungsmöglichkeit; Prozessuale Anforderungen an die Darlegung einer positiven Fortführungsprognose; Haftung für nach Entstehen der Insolvenzreife entstandene Vertrauensschäden; Zulässigkeit einer abstrakten Schadensberechnung</w:t>
        </w:r>
      </w:hyperlink>
    </w:p>
    <w:p w14:paraId="1C99FD19"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46" w:history="1">
        <w:r w:rsidRPr="00CB4DB7">
          <w:rPr>
            <w:rFonts w:ascii="Times New Roman" w:eastAsia="Times New Roman" w:hAnsi="Times New Roman" w:cs="Times New Roman"/>
            <w:color w:val="0000FF"/>
            <w:kern w:val="0"/>
            <w:u w:val="single"/>
            <w:lang w:eastAsia="de-DE"/>
            <w14:ligatures w14:val="none"/>
          </w:rPr>
          <w:t>KG Berlin, 01.11.2005 - 7 U 49/05 - Bestimmung der Voraussetzungen einer Überschuldung einer Gesellschaft als Voraussetzung für ein Insolvenzverfahren; Ersatzverpflichtung des Gesellschafters im Hinblick auf Zahlungen der Gesellschaft an ihn nach Eintritt der Insolvenz; Notwendigkeit der Gegenüberstellung der Vermögenswerte und der Schulden einer Gesellschaft für die Feststellung einer Überschuldung derselben; Ausreichen einer objektiven Fortführungsmöglichkeit einer verschuldeten Gesellschaft für eine positive Fortführungsprognose bei fehlendem Fortführungswillen; Sichere Einstellung des Betriebs als Voraussetzung für die Berücksichtungsfähigkeit von einstellungsbedingten Forderungen; Verbot der Leistung masseschmälernder Zahlungen nach Eintritt der Insolvenz der Gesellschaft</w:t>
        </w:r>
      </w:hyperlink>
    </w:p>
    <w:p w14:paraId="5A8F6659"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47" w:history="1">
        <w:r w:rsidRPr="00CB4DB7">
          <w:rPr>
            <w:rFonts w:ascii="Times New Roman" w:eastAsia="Times New Roman" w:hAnsi="Times New Roman" w:cs="Times New Roman"/>
            <w:color w:val="0000FF"/>
            <w:kern w:val="0"/>
            <w:u w:val="single"/>
            <w:lang w:eastAsia="de-DE"/>
            <w14:ligatures w14:val="none"/>
          </w:rPr>
          <w:t>OLG Rostock, 09.11.2007 - 8 U 65/06</w:t>
        </w:r>
      </w:hyperlink>
    </w:p>
    <w:p w14:paraId="4A563BFF"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48" w:history="1">
        <w:r w:rsidRPr="00CB4DB7">
          <w:rPr>
            <w:rFonts w:ascii="Times New Roman" w:eastAsia="Times New Roman" w:hAnsi="Times New Roman" w:cs="Times New Roman"/>
            <w:color w:val="0000FF"/>
            <w:kern w:val="0"/>
            <w:u w:val="single"/>
            <w:lang w:eastAsia="de-DE"/>
            <w14:ligatures w14:val="none"/>
          </w:rPr>
          <w:t>BGH, 13.07.2021 - II ZR 84/20 - Ausschließlich oder vorrangig auf eine gerichtliche Einziehung der Forderung abzielende Geschäftsmodelle im Fall des sogenannten "Sammelklage-Inkassos"; Patronatserklärung als Mittel zur Vermeidung der rechnerischen Überschuldung</w:t>
        </w:r>
      </w:hyperlink>
    </w:p>
    <w:p w14:paraId="69489368"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49" w:history="1">
        <w:r w:rsidRPr="00CB4DB7">
          <w:rPr>
            <w:rFonts w:ascii="Times New Roman" w:eastAsia="Times New Roman" w:hAnsi="Times New Roman" w:cs="Times New Roman"/>
            <w:color w:val="0000FF"/>
            <w:kern w:val="0"/>
            <w:u w:val="single"/>
            <w:lang w:eastAsia="de-DE"/>
            <w14:ligatures w14:val="none"/>
          </w:rPr>
          <w:t>OLG Schleswig, 11.02.2010 - 5 U 60/09 - Anspruch eines Insolvenzverwalters betreffend das Vermögen einer GmbH gegen den Geschäftsführer dieser GmbH auf Ersatz geleisteter Zahlungen; Vorliegen einer Überschuldung im Falle der überwiegenden Wahrscheinlichkeit der Fortführung des Unternehmens; Beurteilungsspielraum eines Geschäftsführers bei Vorliegen einer positiven Fortbestehungsprognose; Begriff der Überschuldung i.S. von § 19 Abs. 2 Insolvenzordnung (InsO)</w:t>
        </w:r>
      </w:hyperlink>
    </w:p>
    <w:p w14:paraId="204BDA98"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0" w:history="1">
        <w:r w:rsidRPr="00CB4DB7">
          <w:rPr>
            <w:rFonts w:ascii="Times New Roman" w:eastAsia="Times New Roman" w:hAnsi="Times New Roman" w:cs="Times New Roman"/>
            <w:color w:val="0000FF"/>
            <w:kern w:val="0"/>
            <w:u w:val="single"/>
            <w:lang w:eastAsia="de-DE"/>
            <w14:ligatures w14:val="none"/>
          </w:rPr>
          <w:t>OLG Hamburg, 13.10.2017 - 11 U 53/17 - Zulässigkeit der Aktivierung einer bestrittenen Forderung in einer Überschuldungsbilanz; Begriff der Zahlung i.S. von § 64 S.1 GmbHG</w:t>
        </w:r>
      </w:hyperlink>
    </w:p>
    <w:p w14:paraId="190DBC95"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1" w:history="1">
        <w:r w:rsidRPr="00CB4DB7">
          <w:rPr>
            <w:rFonts w:ascii="Times New Roman" w:eastAsia="Times New Roman" w:hAnsi="Times New Roman" w:cs="Times New Roman"/>
            <w:color w:val="0000FF"/>
            <w:kern w:val="0"/>
            <w:u w:val="single"/>
            <w:lang w:eastAsia="de-DE"/>
            <w14:ligatures w14:val="none"/>
          </w:rPr>
          <w:t>OLG Zweibrücken, 26.04.2022 - 8 U 30/19 - Ansprüche aus Geschäftsführerhaftung wegen verspäteter Insolvenzantragstellung; Voraussetzungen einer Überschuldung; Wandeldarlehensvereinbarung mit einer GmbH; Pflicht zur notariellen Beurkundung des zu Grunde liegenden Gesellschafterbeschlusses</w:t>
        </w:r>
      </w:hyperlink>
    </w:p>
    <w:p w14:paraId="3F085EEB"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2" w:history="1">
        <w:r w:rsidRPr="00CB4DB7">
          <w:rPr>
            <w:rFonts w:ascii="Times New Roman" w:eastAsia="Times New Roman" w:hAnsi="Times New Roman" w:cs="Times New Roman"/>
            <w:color w:val="0000FF"/>
            <w:kern w:val="0"/>
            <w:u w:val="single"/>
            <w:lang w:eastAsia="de-DE"/>
            <w14:ligatures w14:val="none"/>
          </w:rPr>
          <w:t>OLG Brandenburg, 31.07.2007 - 6 U 116/06 - Eigenkapitalersatzfunktion von Bürgschaften; Geltung der §§ 30, 31 des Gesetzes betreffend die Gesellschafen mit beschränkter Haftung (GmbhG) für Komanditisten und Gesellschafter der Komplementär-GmbH einer GmbH &amp; Co. KG; Verjährung von Ansprüchen gemäß § 31 GmbHG</w:t>
        </w:r>
      </w:hyperlink>
    </w:p>
    <w:p w14:paraId="3F2E3F74"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3" w:history="1">
        <w:r w:rsidRPr="00CB4DB7">
          <w:rPr>
            <w:rFonts w:ascii="Times New Roman" w:eastAsia="Times New Roman" w:hAnsi="Times New Roman" w:cs="Times New Roman"/>
            <w:color w:val="0000FF"/>
            <w:kern w:val="0"/>
            <w:u w:val="single"/>
            <w:lang w:eastAsia="de-DE"/>
            <w14:ligatures w14:val="none"/>
          </w:rPr>
          <w:t xml:space="preserve">OLG Düsseldorf, 21.11.2007 - I-15 U 192/06 - Anspruch eines Insolvenzverwalters auf Rückzahlung eines Gesellschafterdarlehens; Zustandekommen eines Darlehensvertrages zwischen einer GmbH und den Gesellschaftern ; Voraussetzungen für die Annahme eines Angebots; Voraussetzungen einer Schuldumschaffung durch </w:t>
        </w:r>
        <w:r w:rsidRPr="00CB4DB7">
          <w:rPr>
            <w:rFonts w:ascii="Times New Roman" w:eastAsia="Times New Roman" w:hAnsi="Times New Roman" w:cs="Times New Roman"/>
            <w:color w:val="0000FF"/>
            <w:kern w:val="0"/>
            <w:u w:val="single"/>
            <w:lang w:eastAsia="de-DE"/>
            <w14:ligatures w14:val="none"/>
          </w:rPr>
          <w:lastRenderedPageBreak/>
          <w:t>einen Beschluss zur Feststellung der Jahresabschlüsse; Rückforderungsanspruch der GmbH gegen die Gesellschafter wegen eines Verstoßes bei der Auszahlung gegen die Sperrfrist; Rechtsfolge eines Verstoßes gegen den Kapitalerhaltungsgrundsatzes im Liquidationsstadium der Gesellschaft; Verjährung des Rückforderungsanspruchs der Gesellschaft wegen Verstoß gegen die Auszahlung vor Ablauf der Sperrfrist; Geltung einer fünfjährigen Verjährungsfrist ab dem Zeitpunkt der Leistung an den Gesellschafter</w:t>
        </w:r>
      </w:hyperlink>
    </w:p>
    <w:p w14:paraId="6C451610"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4" w:history="1">
        <w:r w:rsidRPr="00CB4DB7">
          <w:rPr>
            <w:rFonts w:ascii="Times New Roman" w:eastAsia="Times New Roman" w:hAnsi="Times New Roman" w:cs="Times New Roman"/>
            <w:color w:val="0000FF"/>
            <w:kern w:val="0"/>
            <w:u w:val="single"/>
            <w:lang w:eastAsia="de-DE"/>
            <w14:ligatures w14:val="none"/>
          </w:rPr>
          <w:t>OLG Naumburg, 05.09.2001 - 6 U 56/01 - GmbH; Bürgschaft des Geschäftsführers; Eigenkapitalersatz; Verbotene Rückzahlungen; Verjährung des Erstattungsanspruchs; Beginn der Verjährungsfrist</w:t>
        </w:r>
      </w:hyperlink>
    </w:p>
    <w:p w14:paraId="316C443F"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5" w:history="1">
        <w:r w:rsidRPr="00CB4DB7">
          <w:rPr>
            <w:rFonts w:ascii="Times New Roman" w:eastAsia="Times New Roman" w:hAnsi="Times New Roman" w:cs="Times New Roman"/>
            <w:color w:val="0000FF"/>
            <w:kern w:val="0"/>
            <w:u w:val="single"/>
            <w:lang w:eastAsia="de-DE"/>
            <w14:ligatures w14:val="none"/>
          </w:rPr>
          <w:t>OLG Düsseldorf, 30.07.2010 - I-6 U 176/09 - Grundsätze zur Verjährung von Erstattungsansprüchen wegen der Rückführung eigenkapitalersetzender Zuwendungen in Altfällen</w:t>
        </w:r>
      </w:hyperlink>
    </w:p>
    <w:p w14:paraId="2182F609"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6" w:history="1">
        <w:r w:rsidRPr="00CB4DB7">
          <w:rPr>
            <w:rFonts w:ascii="Times New Roman" w:eastAsia="Times New Roman" w:hAnsi="Times New Roman" w:cs="Times New Roman"/>
            <w:color w:val="0000FF"/>
            <w:kern w:val="0"/>
            <w:u w:val="single"/>
            <w:lang w:eastAsia="de-DE"/>
            <w14:ligatures w14:val="none"/>
          </w:rPr>
          <w:t>BGH, 20.07.2009 - II ZR 36/08 - Besicherung eines eigenkapitalersetzenden Darlehens durch den Gesellschafter; Anwendbarkeit des Eigenkapitalersatzrechts in Gestalt der Novellenregeln in Altfällen</w:t>
        </w:r>
      </w:hyperlink>
    </w:p>
    <w:p w14:paraId="3825863F"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7" w:history="1">
        <w:r w:rsidRPr="00CB4DB7">
          <w:rPr>
            <w:rFonts w:ascii="Times New Roman" w:eastAsia="Times New Roman" w:hAnsi="Times New Roman" w:cs="Times New Roman"/>
            <w:color w:val="0000FF"/>
            <w:kern w:val="0"/>
            <w:u w:val="single"/>
            <w:lang w:eastAsia="de-DE"/>
            <w14:ligatures w14:val="none"/>
          </w:rPr>
          <w:t>BGH, 09.12.2021 - IX ZR 201/20 - Gläubigerbenachteiligung durch die Befriedigung des Dritten aus der Verwertung einer Gesellschaftssicherheit; Beginn der Verjährung des Anfechtungsanspruchs gegen einen Gesellschafter frühestens mit der Befriedigung des Dritten</w:t>
        </w:r>
      </w:hyperlink>
    </w:p>
    <w:p w14:paraId="129BE399"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8" w:history="1">
        <w:r w:rsidRPr="00CB4DB7">
          <w:rPr>
            <w:rFonts w:ascii="Times New Roman" w:eastAsia="Times New Roman" w:hAnsi="Times New Roman" w:cs="Times New Roman"/>
            <w:color w:val="0000FF"/>
            <w:kern w:val="0"/>
            <w:u w:val="single"/>
            <w:lang w:eastAsia="de-DE"/>
            <w14:ligatures w14:val="none"/>
          </w:rPr>
          <w:t>OLG Düsseldorf, 24.09.2020 - 12 U 1/20 - Forderungen aus einer Bürgschaft; Anfechtbare Rechtshandlung; Erfüllung einer gesicherten Hauptforderung nach Maßgabe des Akzessorietätsgrundsatzes</w:t>
        </w:r>
      </w:hyperlink>
    </w:p>
    <w:p w14:paraId="01772DB7" w14:textId="77777777" w:rsidR="00CB4DB7" w:rsidRPr="00CB4DB7" w:rsidRDefault="00CB4DB7" w:rsidP="00CB4DB7">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hyperlink r:id="rId59" w:history="1">
        <w:r w:rsidRPr="00CB4DB7">
          <w:rPr>
            <w:rFonts w:ascii="Times New Roman" w:eastAsia="Times New Roman" w:hAnsi="Times New Roman" w:cs="Times New Roman"/>
            <w:color w:val="0000FF"/>
            <w:kern w:val="0"/>
            <w:u w:val="single"/>
            <w:lang w:eastAsia="de-DE"/>
            <w14:ligatures w14:val="none"/>
          </w:rPr>
          <w:t>BGH, 27.09.1976 - II ZR 162/75 - Rückgewähr eines Darlehens an einen Gesellschafter vor einer Gesundung einer konkursreifen Gesellschaft; Dauernde Zahlungsunfähigkeit und Überschuldung einer GmbH &amp; Co. KG; Voraussetzungen für das Vorliegen einer verbotenen Kapitalauszahlung</w:t>
        </w:r>
      </w:hyperlink>
    </w:p>
    <w:p w14:paraId="37950E02" w14:textId="77777777" w:rsidR="004E69B4" w:rsidRDefault="004E69B4"/>
    <w:sectPr w:rsidR="004E69B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4B1F87"/>
    <w:multiLevelType w:val="multilevel"/>
    <w:tmpl w:val="7C1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C534C"/>
    <w:multiLevelType w:val="multilevel"/>
    <w:tmpl w:val="93EC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8940745">
    <w:abstractNumId w:val="0"/>
  </w:num>
  <w:num w:numId="2" w16cid:durableId="175146853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DB7"/>
    <w:rsid w:val="000318A2"/>
    <w:rsid w:val="004E69B4"/>
    <w:rsid w:val="00B476C7"/>
    <w:rsid w:val="00CB4DB7"/>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4BD3B"/>
  <w15:chartTrackingRefBased/>
  <w15:docId w15:val="{CE6B52CE-910D-294E-AA23-9A6715B2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B4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B4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B4DB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B4DB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B4DB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B4DB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B4DB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B4DB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B4DB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B4DB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B4DB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B4DB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B4DB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B4DB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B4DB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B4DB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B4DB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B4DB7"/>
    <w:rPr>
      <w:rFonts w:eastAsiaTheme="majorEastAsia" w:cstheme="majorBidi"/>
      <w:color w:val="272727" w:themeColor="text1" w:themeTint="D8"/>
    </w:rPr>
  </w:style>
  <w:style w:type="paragraph" w:styleId="Titel">
    <w:name w:val="Title"/>
    <w:basedOn w:val="Standard"/>
    <w:next w:val="Standard"/>
    <w:link w:val="TitelZchn"/>
    <w:uiPriority w:val="10"/>
    <w:qFormat/>
    <w:rsid w:val="00CB4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B4DB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B4DB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B4DB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B4DB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B4DB7"/>
    <w:rPr>
      <w:i/>
      <w:iCs/>
      <w:color w:val="404040" w:themeColor="text1" w:themeTint="BF"/>
    </w:rPr>
  </w:style>
  <w:style w:type="paragraph" w:styleId="Listenabsatz">
    <w:name w:val="List Paragraph"/>
    <w:basedOn w:val="Standard"/>
    <w:uiPriority w:val="34"/>
    <w:qFormat/>
    <w:rsid w:val="00CB4DB7"/>
    <w:pPr>
      <w:ind w:left="720"/>
      <w:contextualSpacing/>
    </w:pPr>
  </w:style>
  <w:style w:type="character" w:styleId="IntensiveHervorhebung">
    <w:name w:val="Intense Emphasis"/>
    <w:basedOn w:val="Absatz-Standardschriftart"/>
    <w:uiPriority w:val="21"/>
    <w:qFormat/>
    <w:rsid w:val="00CB4DB7"/>
    <w:rPr>
      <w:i/>
      <w:iCs/>
      <w:color w:val="0F4761" w:themeColor="accent1" w:themeShade="BF"/>
    </w:rPr>
  </w:style>
  <w:style w:type="paragraph" w:styleId="IntensivesZitat">
    <w:name w:val="Intense Quote"/>
    <w:basedOn w:val="Standard"/>
    <w:next w:val="Standard"/>
    <w:link w:val="IntensivesZitatZchn"/>
    <w:uiPriority w:val="30"/>
    <w:qFormat/>
    <w:rsid w:val="00CB4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B4DB7"/>
    <w:rPr>
      <w:i/>
      <w:iCs/>
      <w:color w:val="0F4761" w:themeColor="accent1" w:themeShade="BF"/>
    </w:rPr>
  </w:style>
  <w:style w:type="character" w:styleId="IntensiverVerweis">
    <w:name w:val="Intense Reference"/>
    <w:basedOn w:val="Absatz-Standardschriftart"/>
    <w:uiPriority w:val="32"/>
    <w:qFormat/>
    <w:rsid w:val="00CB4DB7"/>
    <w:rPr>
      <w:b/>
      <w:bCs/>
      <w:smallCaps/>
      <w:color w:val="0F4761" w:themeColor="accent1" w:themeShade="BF"/>
      <w:spacing w:val="5"/>
    </w:rPr>
  </w:style>
  <w:style w:type="paragraph" w:styleId="StandardWeb">
    <w:name w:val="Normal (Web)"/>
    <w:basedOn w:val="Standard"/>
    <w:uiPriority w:val="99"/>
    <w:semiHidden/>
    <w:unhideWhenUsed/>
    <w:rsid w:val="00CB4DB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CB4DB7"/>
    <w:rPr>
      <w:b/>
      <w:bCs/>
    </w:rPr>
  </w:style>
  <w:style w:type="character" w:styleId="Hyperlink">
    <w:name w:val="Hyperlink"/>
    <w:basedOn w:val="Absatz-Standardschriftart"/>
    <w:uiPriority w:val="99"/>
    <w:semiHidden/>
    <w:unhideWhenUsed/>
    <w:rsid w:val="00CB4D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earch.wolterskluwer-online.de/document/ca030487-e25d-4454-a605-b4f8fdf1b8bb?sectionHighlight=true&amp;documentAnchor=randziffer12&amp;src=libra" TargetMode="External"/><Relationship Id="rId18" Type="http://schemas.openxmlformats.org/officeDocument/2006/relationships/hyperlink" Target="https://research.wolterskluwer-online.de/document/e136149a-f3cc-4ef4-82fd-d0588e634479?sectionHighlight=true&amp;documentAnchor=randziffer7&amp;src=libra" TargetMode="External"/><Relationship Id="rId26" Type="http://schemas.openxmlformats.org/officeDocument/2006/relationships/hyperlink" Target="https://research.wolterskluwer-online.de/document/4260d47b-2da6-400c-b9c3-d5df05c4f24d?sectionHighlight=true&amp;documentAnchor=randziffer53&amp;src=libra" TargetMode="External"/><Relationship Id="rId39" Type="http://schemas.openxmlformats.org/officeDocument/2006/relationships/hyperlink" Target="https://research.wolterskluwer-online.de/document/7a9a1cb8-0618-4400-9917-17c7cc9a9aaf?sectionHighlight=true&amp;documentAnchor=randziffer28&amp;src=libra" TargetMode="External"/><Relationship Id="rId21" Type="http://schemas.openxmlformats.org/officeDocument/2006/relationships/hyperlink" Target="https://research.wolterskluwer-online.de/document/498daee8-2603-4dec-8aaa-be6882efc6d7?sectionHighlight=true&amp;documentAnchor=randziffer35&amp;src=libra" TargetMode="External"/><Relationship Id="rId34" Type="http://schemas.openxmlformats.org/officeDocument/2006/relationships/hyperlink" Target="https://research.wolterskluwer-online.de/document/4775a279-8929-44b4-9ce9-87b3926a4139?sectionHighlight=true&amp;documentAnchor=randziffer9&amp;src=libra" TargetMode="External"/><Relationship Id="rId42" Type="http://schemas.openxmlformats.org/officeDocument/2006/relationships/hyperlink" Target="https://research.wolterskluwer-online.de/document/6a7d80a4-cd13-44fd-9674-be766564d890?sectionHighlight=true&amp;documentAnchor=idd16388092e87&amp;src=libra" TargetMode="External"/><Relationship Id="rId47" Type="http://schemas.openxmlformats.org/officeDocument/2006/relationships/hyperlink" Target="https://research.wolterskluwer-online.de/document/273790e3-1fde-4232-9781-893bc3190114?sectionHighlight=true&amp;documentAnchor=randziffer34&amp;src=libra" TargetMode="External"/><Relationship Id="rId50" Type="http://schemas.openxmlformats.org/officeDocument/2006/relationships/hyperlink" Target="https://research.wolterskluwer-online.de/document/7420c903-71fc-33c1-826e-2b88db76a9ea?sectionHighlight=true&amp;documentAnchor=idd32573158e226&amp;src=libra" TargetMode="External"/><Relationship Id="rId55" Type="http://schemas.openxmlformats.org/officeDocument/2006/relationships/hyperlink" Target="https://research.wolterskluwer-online.de/document/725e367e-7484-4ad9-88b7-2e7f437190fa?sectionHighlight=true&amp;documentAnchor=randziffer4&amp;src=libra" TargetMode="External"/><Relationship Id="rId7" Type="http://schemas.openxmlformats.org/officeDocument/2006/relationships/hyperlink" Target="https://research.wolterskluwer-online.de/document/b3a4d2d2-df9d-4669-81ac-c7dad9914007?sectionHighlight=true&amp;documentAnchor=randziffer2&amp;src=libra" TargetMode="External"/><Relationship Id="rId2" Type="http://schemas.openxmlformats.org/officeDocument/2006/relationships/styles" Target="styles.xml"/><Relationship Id="rId16" Type="http://schemas.openxmlformats.org/officeDocument/2006/relationships/hyperlink" Target="https://research.wolterskluwer-online.de/document/c2e83f41-ffc9-49bb-b19d-16f6898901e8?sectionHighlight=true&amp;documentAnchor=randziffer10&amp;src=libra" TargetMode="External"/><Relationship Id="rId29" Type="http://schemas.openxmlformats.org/officeDocument/2006/relationships/hyperlink" Target="https://research.wolterskluwer-online.de/document/1507f404-e8ba-43c8-b6a4-64fae3683176?sectionHighlight=true&amp;documentAnchor=randziffer6&amp;src=libra" TargetMode="External"/><Relationship Id="rId11" Type="http://schemas.openxmlformats.org/officeDocument/2006/relationships/hyperlink" Target="https://research.wolterskluwer-online.de/document/8cb5cad3-1396-4d8e-8da4-b4897ff8a55a?sectionHighlight=true&amp;documentAnchor=wkde-case-headnote-official&amp;src=libra" TargetMode="External"/><Relationship Id="rId24" Type="http://schemas.openxmlformats.org/officeDocument/2006/relationships/hyperlink" Target="https://research.wolterskluwer-online.de/document/ec3b2516-219a-4d78-b699-a3c8d70e68b0?sectionHighlight=true&amp;documentAnchor=randziffer10&amp;src=libra" TargetMode="External"/><Relationship Id="rId32" Type="http://schemas.openxmlformats.org/officeDocument/2006/relationships/hyperlink" Target="https://research.wolterskluwer-online.de/document/d77ecee9-2322-4cb0-a582-5535df21365e?sectionHighlight=true&amp;documentAnchor=randziffer33&amp;src=libra" TargetMode="External"/><Relationship Id="rId37" Type="http://schemas.openxmlformats.org/officeDocument/2006/relationships/hyperlink" Target="https://research.wolterskluwer-online.de/document/91d54fe6-8ef5-4729-96ca-114479d64315?sectionHighlight=true&amp;documentAnchor=randziffer24&amp;src=libra" TargetMode="External"/><Relationship Id="rId40" Type="http://schemas.openxmlformats.org/officeDocument/2006/relationships/hyperlink" Target="https://research.wolterskluwer-online.de/document/5904d665-0547-4a2e-8d55-f643b3ec7a74?sectionHighlight=true&amp;documentAnchor=idd32340882e259&amp;src=libra" TargetMode="External"/><Relationship Id="rId45" Type="http://schemas.openxmlformats.org/officeDocument/2006/relationships/hyperlink" Target="https://research.wolterskluwer-online.de/document/73dd6ee0-aac9-45e2-964a-ae07f8cf3932?sectionHighlight=true&amp;documentAnchor=randziffer15&amp;src=libra" TargetMode="External"/><Relationship Id="rId53" Type="http://schemas.openxmlformats.org/officeDocument/2006/relationships/hyperlink" Target="https://research.wolterskluwer-online.de/document/1bd04b41-8379-4556-8788-b3b3fe353055?sectionHighlight=true&amp;documentAnchor=randziffer74&amp;src=libra" TargetMode="External"/><Relationship Id="rId58" Type="http://schemas.openxmlformats.org/officeDocument/2006/relationships/hyperlink" Target="https://research.wolterskluwer-online.de/document/d866eab7-f3b0-4f79-a1ca-61e1924547bc?sectionHighlight=true&amp;documentAnchor=idd17674342e512&amp;src=libra" TargetMode="External"/><Relationship Id="rId5" Type="http://schemas.openxmlformats.org/officeDocument/2006/relationships/hyperlink" Target="https://research.wolterskluwer-online.de/document/b3a4d2d2-df9d-4669-81ac-c7dad9914007?sectionHighlight=true&amp;documentAnchor=wkde-case-headnote-official&amp;src=libra" TargetMode="External"/><Relationship Id="rId61" Type="http://schemas.openxmlformats.org/officeDocument/2006/relationships/theme" Target="theme/theme1.xml"/><Relationship Id="rId19" Type="http://schemas.openxmlformats.org/officeDocument/2006/relationships/hyperlink" Target="https://research.wolterskluwer-online.de/document/3010ef56-98dd-4321-b736-ed15d7d230dd?sectionHighlight=true&amp;documentAnchor=randziffer36&amp;src=libra" TargetMode="External"/><Relationship Id="rId14" Type="http://schemas.openxmlformats.org/officeDocument/2006/relationships/hyperlink" Target="https://research.wolterskluwer-online.de/document/b93a33ef-82b1-426b-b206-d6a05fe0f02e?sectionHighlight=true&amp;documentAnchor=idd16163724e319&amp;src=libra" TargetMode="External"/><Relationship Id="rId22" Type="http://schemas.openxmlformats.org/officeDocument/2006/relationships/hyperlink" Target="https://research.wolterskluwer-online.de/document/bfc6f32e-7262-4d94-9002-c01ec883aee2?sectionHighlight=true&amp;documentAnchor=randziffer43&amp;src=libra" TargetMode="External"/><Relationship Id="rId27" Type="http://schemas.openxmlformats.org/officeDocument/2006/relationships/hyperlink" Target="https://research.wolterskluwer-online.de/document/cc89780f-2095-3393-bd10-c2c821b6906c?sectionHighlight=true&amp;documentAnchor=idd2227734e2155&amp;src=libra" TargetMode="External"/><Relationship Id="rId30" Type="http://schemas.openxmlformats.org/officeDocument/2006/relationships/hyperlink" Target="https://research.wolterskluwer-online.de/document/aaf95b24-f1d1-4bce-b756-c3a7ab6afa2b?sectionHighlight=true&amp;documentAnchor=randziffer55&amp;src=libra" TargetMode="External"/><Relationship Id="rId35" Type="http://schemas.openxmlformats.org/officeDocument/2006/relationships/hyperlink" Target="https://research.wolterskluwer-online.de/document/91d54fe6-8ef5-4729-96ca-114479d64315?sectionHighlight=true&amp;documentAnchor=randziffer23&amp;src=libra" TargetMode="External"/><Relationship Id="rId43" Type="http://schemas.openxmlformats.org/officeDocument/2006/relationships/hyperlink" Target="https://research.wolterskluwer-online.de/document/54b4ee95-b4e8-4781-b0c4-f5ae01aaa681?sectionHighlight=true&amp;documentAnchor=idd30102521e952&amp;src=libra" TargetMode="External"/><Relationship Id="rId48" Type="http://schemas.openxmlformats.org/officeDocument/2006/relationships/hyperlink" Target="https://research.wolterskluwer-online.de/document/95e042b5-dbaa-4d19-98e3-71b1e685b520?sectionHighlight=true&amp;documentAnchor=randziffer69&amp;src=libra" TargetMode="External"/><Relationship Id="rId56" Type="http://schemas.openxmlformats.org/officeDocument/2006/relationships/hyperlink" Target="https://research.wolterskluwer-online.de/document/6fcd5aac-af58-44f8-842e-8990e154e696?sectionHighlight=true&amp;documentAnchor=randziffer22&amp;src=libra" TargetMode="External"/><Relationship Id="rId8" Type="http://schemas.openxmlformats.org/officeDocument/2006/relationships/hyperlink" Target="https://research.wolterskluwer-online.de/document/b3a4d2d2-df9d-4669-81ac-c7dad9914007?sectionHighlight=true&amp;documentAnchor=randziffer4&amp;src=libra" TargetMode="External"/><Relationship Id="rId51" Type="http://schemas.openxmlformats.org/officeDocument/2006/relationships/hyperlink" Target="https://research.wolterskluwer-online.de/document/0bf1b596-690a-498b-adc7-5900ffe9ed0b?sectionHighlight=true&amp;documentAnchor=idd17678821e1042&amp;src=libra" TargetMode="External"/><Relationship Id="rId3" Type="http://schemas.openxmlformats.org/officeDocument/2006/relationships/settings" Target="settings.xml"/><Relationship Id="rId12" Type="http://schemas.openxmlformats.org/officeDocument/2006/relationships/hyperlink" Target="https://research.wolterskluwer-online.de/document/9d8ba492-bc54-4469-a0aa-437ce5e972ad?sectionHighlight=true&amp;documentAnchor=randziffer23&amp;src=libra" TargetMode="External"/><Relationship Id="rId17" Type="http://schemas.openxmlformats.org/officeDocument/2006/relationships/hyperlink" Target="https://research.wolterskluwer-online.de/document/e136149a-f3cc-4ef4-82fd-d0588e634479?sectionHighlight=true&amp;documentAnchor=wkde-case-headnote-official&amp;src=libra" TargetMode="External"/><Relationship Id="rId25" Type="http://schemas.openxmlformats.org/officeDocument/2006/relationships/hyperlink" Target="https://research.wolterskluwer-online.de/document/c19a4268-1c02-488b-b2a4-0157390d6e95?sectionHighlight=true&amp;documentAnchor=randziffer9&amp;src=libra" TargetMode="External"/><Relationship Id="rId33" Type="http://schemas.openxmlformats.org/officeDocument/2006/relationships/hyperlink" Target="https://research.wolterskluwer-online.de/document/c66f5c09-f7e5-3377-86a4-65bf8cedd9fd?sectionHighlight=true&amp;documentAnchor=wkde-case-headnote-official&amp;src=libra" TargetMode="External"/><Relationship Id="rId38" Type="http://schemas.openxmlformats.org/officeDocument/2006/relationships/hyperlink" Target="https://research.wolterskluwer-online.de/document/795076f3-8653-4db0-bfa9-0e752fa25ecd?sectionHighlight=true&amp;documentAnchor=randziffer27&amp;src=libra" TargetMode="External"/><Relationship Id="rId46" Type="http://schemas.openxmlformats.org/officeDocument/2006/relationships/hyperlink" Target="https://research.wolterskluwer-online.de/document/99b275dc-54a1-4c54-8dbb-c33bb799164c?sectionHighlight=true&amp;documentAnchor=randziffer24&amp;src=libra" TargetMode="External"/><Relationship Id="rId59" Type="http://schemas.openxmlformats.org/officeDocument/2006/relationships/hyperlink" Target="https://research.wolterskluwer-online.de/document/84345b27-09da-4d69-ad2f-0ea84992fb4f?sectionHighlight=true&amp;documentAnchor=randziffer9&amp;src=libra" TargetMode="External"/><Relationship Id="rId20" Type="http://schemas.openxmlformats.org/officeDocument/2006/relationships/hyperlink" Target="https://research.wolterskluwer-online.de/document/b1208c50-817c-4aa1-a2f7-e4f8319c5471?sectionHighlight=true&amp;documentAnchor=randziffer7&amp;src=libra" TargetMode="External"/><Relationship Id="rId41" Type="http://schemas.openxmlformats.org/officeDocument/2006/relationships/hyperlink" Target="https://research.wolterskluwer-online.de/document/03454391-44e0-43a1-bd2d-ce5332dd7258?sectionHighlight=true&amp;documentAnchor=idd16116888e823&amp;src=libra" TargetMode="External"/><Relationship Id="rId54" Type="http://schemas.openxmlformats.org/officeDocument/2006/relationships/hyperlink" Target="https://research.wolterskluwer-online.de/document/a735089e-f7b1-41ea-b220-109eecb3e133?sectionHighlight=true&amp;documentAnchor=randziffer14&amp;src=libra" TargetMode="External"/><Relationship Id="rId1" Type="http://schemas.openxmlformats.org/officeDocument/2006/relationships/numbering" Target="numbering.xml"/><Relationship Id="rId6" Type="http://schemas.openxmlformats.org/officeDocument/2006/relationships/hyperlink" Target="https://research.wolterskluwer-online.de/document/b3a4d2d2-df9d-4669-81ac-c7dad9914007?sectionHighlight=true&amp;documentAnchor=randziffer13&amp;src=libra" TargetMode="External"/><Relationship Id="rId15" Type="http://schemas.openxmlformats.org/officeDocument/2006/relationships/hyperlink" Target="https://research.wolterskluwer-online.de/document/91012f62-f4d2-41fc-a9ee-7b3e39a951b2?sectionHighlight=true&amp;documentAnchor=randziffer17&amp;src=libra" TargetMode="External"/><Relationship Id="rId23" Type="http://schemas.openxmlformats.org/officeDocument/2006/relationships/hyperlink" Target="https://research.wolterskluwer-online.de/document/0053f7ec-7a34-3c70-91c0-b52f8873dc3e?sectionHighlight=true&amp;documentAnchor=idd18691649e270&amp;src=libra" TargetMode="External"/><Relationship Id="rId28" Type="http://schemas.openxmlformats.org/officeDocument/2006/relationships/hyperlink" Target="https://research.wolterskluwer-online.de/document/f75aabee-b215-41a1-8949-52adba5ca1aa?sectionHighlight=true&amp;documentAnchor=randziffer12&amp;src=libra" TargetMode="External"/><Relationship Id="rId36" Type="http://schemas.openxmlformats.org/officeDocument/2006/relationships/hyperlink" Target="https://research.wolterskluwer-online.de/document/91d54fe6-8ef5-4729-96ca-114479d64315?sectionHighlight=true&amp;documentAnchor=wkde-case-headnote-official&amp;src=libra" TargetMode="External"/><Relationship Id="rId49" Type="http://schemas.openxmlformats.org/officeDocument/2006/relationships/hyperlink" Target="https://research.wolterskluwer-online.de/document/11ce8082-bcdd-4989-9433-ce19b6ab9d24?sectionHighlight=true&amp;documentAnchor=randziffer50&amp;src=libra" TargetMode="External"/><Relationship Id="rId57" Type="http://schemas.openxmlformats.org/officeDocument/2006/relationships/hyperlink" Target="https://research.wolterskluwer-online.de/document/97279ad2-e45a-42a3-8832-7afd79d69dcd?sectionHighlight=true&amp;documentAnchor=randziffer7&amp;src=libra" TargetMode="External"/><Relationship Id="rId10" Type="http://schemas.openxmlformats.org/officeDocument/2006/relationships/hyperlink" Target="https://research.wolterskluwer-online.de/document/ebf8ec92-4314-4aac-a887-44eabe205469?sectionHighlight=true&amp;documentAnchor=wkde-case-headnote-official&amp;src=libra" TargetMode="External"/><Relationship Id="rId31" Type="http://schemas.openxmlformats.org/officeDocument/2006/relationships/hyperlink" Target="https://research.wolterskluwer-online.de/document/db43d05a-2869-4036-a1df-7e8e7844ca01?sectionHighlight=true&amp;documentAnchor=randziffer11&amp;src=libra" TargetMode="External"/><Relationship Id="rId44" Type="http://schemas.openxmlformats.org/officeDocument/2006/relationships/hyperlink" Target="https://research.wolterskluwer-online.de/document/cc4b4d41-01cd-4f97-b29d-964a4c8b2f35?sectionHighlight=true&amp;documentAnchor=randziffer32&amp;src=libra" TargetMode="External"/><Relationship Id="rId52" Type="http://schemas.openxmlformats.org/officeDocument/2006/relationships/hyperlink" Target="https://research.wolterskluwer-online.de/document/498daee8-2603-4dec-8aaa-be6882efc6d7?sectionHighlight=true&amp;documentAnchor=randziffer57&amp;src=libra"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search.wolterskluwer-online.de/document/5851299f-ca09-4eef-b3f0-933e90dd95f4?sectionHighlight=true&amp;documentAnchor=randziffer21&amp;src=libra"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5726</Words>
  <Characters>39797</Characters>
  <Application>Microsoft Office Word</Application>
  <DocSecurity>0</DocSecurity>
  <Lines>641</Lines>
  <Paragraphs>143</Paragraphs>
  <ScaleCrop>false</ScaleCrop>
  <Company/>
  <LinksUpToDate>false</LinksUpToDate>
  <CharactersWithSpaces>45380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Otten</dc:creator>
  <cp:keywords/>
  <dc:description/>
  <cp:lastModifiedBy>Martin Otten</cp:lastModifiedBy>
  <cp:revision>1</cp:revision>
  <dcterms:created xsi:type="dcterms:W3CDTF">2026-06-28T18:32:00Z</dcterms:created>
  <dcterms:modified xsi:type="dcterms:W3CDTF">2026-06-28T18:34:00Z</dcterms:modified>
</cp:coreProperties>
</file>