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F2B57C" w14:textId="623CC5F4" w:rsidR="005D07EE" w:rsidRDefault="005D07EE">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140"/>
        <w:gridCol w:w="1950"/>
      </w:tblGrid>
      <w:tr w:rsidR="005D07EE" w14:paraId="427E4EA4" w14:textId="77777777">
        <w:tc>
          <w:tcPr>
            <w:tcW w:w="0" w:type="auto"/>
            <w:shd w:val="clear" w:color="auto" w:fill="F7F7F0"/>
            <w:tcMar>
              <w:top w:w="45" w:type="dxa"/>
              <w:left w:w="45" w:type="dxa"/>
              <w:bottom w:w="105" w:type="dxa"/>
              <w:right w:w="90" w:type="dxa"/>
            </w:tcMar>
            <w:hideMark/>
          </w:tcPr>
          <w:p w14:paraId="6A291788" w14:textId="77777777" w:rsidR="005D07EE" w:rsidRDefault="00000000">
            <w:r>
              <w:rPr>
                <w:rStyle w:val="any"/>
                <w:sz w:val="20"/>
              </w:rPr>
              <w:t>BGH: † Insolvenzanfechtung bei Erledigung des Eröffnungsantrags</w:t>
            </w:r>
          </w:p>
        </w:tc>
        <w:tc>
          <w:tcPr>
            <w:tcW w:w="0" w:type="auto"/>
            <w:shd w:val="clear" w:color="auto" w:fill="F7F7F0"/>
            <w:noWrap/>
            <w:tcMar>
              <w:top w:w="45" w:type="dxa"/>
              <w:left w:w="45" w:type="dxa"/>
              <w:bottom w:w="105" w:type="dxa"/>
              <w:right w:w="98" w:type="dxa"/>
            </w:tcMar>
            <w:hideMark/>
          </w:tcPr>
          <w:p w14:paraId="4578B32B" w14:textId="77777777" w:rsidR="005D07EE" w:rsidRDefault="00000000">
            <w:pPr>
              <w:pStyle w:val="printcontentdivdk2spancitation"/>
              <w:ind w:left="150"/>
              <w:jc w:val="right"/>
            </w:pPr>
            <w:r>
              <w:rPr>
                <w:sz w:val="20"/>
              </w:rPr>
              <w:t>NJW 2002, 515</w:t>
            </w:r>
          </w:p>
        </w:tc>
      </w:tr>
    </w:tbl>
    <w:p w14:paraId="029BB124" w14:textId="77777777" w:rsidR="005D07EE"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rStyle w:val="any"/>
          <w:color w:val="000000"/>
          <w:sz w:val="24"/>
          <w:szCs w:val="24"/>
        </w:rPr>
        <w:t>†</w:t>
      </w:r>
      <w:r>
        <w:rPr>
          <w:color w:val="000000"/>
          <w:sz w:val="24"/>
          <w:szCs w:val="24"/>
        </w:rPr>
        <w:t xml:space="preserve"> Insolvenzanfechtung bei Erledigung des Eröffnungsantrags</w:t>
      </w:r>
    </w:p>
    <w:p w14:paraId="29E7511A" w14:textId="77777777" w:rsidR="005D07EE" w:rsidRDefault="00000000">
      <w:pPr>
        <w:pStyle w:val="printcontentdivnotlawversion"/>
        <w:spacing w:line="360" w:lineRule="auto"/>
        <w:ind w:right="150"/>
      </w:pPr>
      <w:r>
        <w:rPr>
          <w:rStyle w:val="any"/>
          <w:color w:val="000000"/>
        </w:rPr>
        <w:t xml:space="preserve">InsO §§ </w:t>
      </w:r>
      <w:hyperlink r:id="rId6" w:history="1">
        <w:r>
          <w:rPr>
            <w:rStyle w:val="bocontentwrapperbocenteranotbeck-btn"/>
            <w:color w:val="000000"/>
            <w:u w:val="single" w:color="000000"/>
          </w:rPr>
          <w:t>13</w:t>
        </w:r>
      </w:hyperlink>
      <w:r>
        <w:rPr>
          <w:rStyle w:val="any"/>
          <w:color w:val="000000"/>
        </w:rPr>
        <w:t xml:space="preserve">, </w:t>
      </w:r>
      <w:hyperlink r:id="rId7" w:history="1">
        <w:r>
          <w:rPr>
            <w:rStyle w:val="bocontentwrapperbocenteranotbeck-btn"/>
            <w:color w:val="000000"/>
            <w:u w:val="single" w:color="000000"/>
          </w:rPr>
          <w:t>17</w:t>
        </w:r>
      </w:hyperlink>
      <w:r>
        <w:rPr>
          <w:rStyle w:val="any"/>
          <w:color w:val="000000"/>
        </w:rPr>
        <w:t xml:space="preserve"> </w:t>
      </w:r>
      <w:hyperlink r:id="rId8" w:history="1">
        <w:r>
          <w:rPr>
            <w:rStyle w:val="bocontentwrapperbocenteranotbeck-btn"/>
            <w:color w:val="000000"/>
            <w:u w:val="single" w:color="000000"/>
          </w:rPr>
          <w:t>II</w:t>
        </w:r>
      </w:hyperlink>
      <w:r>
        <w:rPr>
          <w:rStyle w:val="any"/>
          <w:color w:val="000000"/>
        </w:rPr>
        <w:t xml:space="preserve">, </w:t>
      </w:r>
      <w:hyperlink r:id="rId9" w:history="1">
        <w:r>
          <w:rPr>
            <w:rStyle w:val="bocontentwrapperbocenteranotbeck-btn"/>
            <w:color w:val="000000"/>
            <w:u w:val="single" w:color="000000"/>
          </w:rPr>
          <w:t>130</w:t>
        </w:r>
      </w:hyperlink>
      <w:r>
        <w:rPr>
          <w:rStyle w:val="any"/>
          <w:color w:val="000000"/>
        </w:rPr>
        <w:t xml:space="preserve"> </w:t>
      </w:r>
      <w:hyperlink r:id="rId10" w:history="1">
        <w:r>
          <w:rPr>
            <w:rStyle w:val="bocontentwrapperbocenteranotbeck-btn"/>
            <w:color w:val="000000"/>
            <w:u w:val="single" w:color="000000"/>
          </w:rPr>
          <w:t>I</w:t>
        </w:r>
      </w:hyperlink>
      <w:r>
        <w:rPr>
          <w:rStyle w:val="any"/>
          <w:color w:val="000000"/>
        </w:rPr>
        <w:t xml:space="preserve"> Nrn. 1, 2, </w:t>
      </w:r>
      <w:hyperlink r:id="rId11" w:history="1">
        <w:r>
          <w:rPr>
            <w:rStyle w:val="bocontentwrapperbocenteranotbeck-btn"/>
            <w:color w:val="000000"/>
            <w:u w:val="single" w:color="000000"/>
          </w:rPr>
          <w:t>II</w:t>
        </w:r>
      </w:hyperlink>
      <w:r>
        <w:rPr>
          <w:rStyle w:val="any"/>
          <w:color w:val="000000"/>
        </w:rPr>
        <w:t xml:space="preserve">, </w:t>
      </w:r>
      <w:hyperlink r:id="rId12" w:history="1">
        <w:r>
          <w:rPr>
            <w:rStyle w:val="bocontentwrapperbocenteranotbeck-btn"/>
            <w:color w:val="000000"/>
            <w:u w:val="single" w:color="000000"/>
          </w:rPr>
          <w:t>139</w:t>
        </w:r>
      </w:hyperlink>
      <w:r>
        <w:rPr>
          <w:rStyle w:val="any"/>
          <w:color w:val="000000"/>
        </w:rPr>
        <w:t xml:space="preserve"> </w:t>
      </w:r>
      <w:hyperlink r:id="rId13" w:history="1">
        <w:r>
          <w:rPr>
            <w:rStyle w:val="bocontentwrapperbocenteranotbeck-btn"/>
            <w:color w:val="000000"/>
            <w:u w:val="single" w:color="000000"/>
          </w:rPr>
          <w:t>II</w:t>
        </w:r>
      </w:hyperlink>
      <w:r>
        <w:rPr>
          <w:rStyle w:val="divbocontentwrapperbocenterp"/>
          <w:color w:val="000000"/>
        </w:rPr>
        <w:t xml:space="preserve">; </w:t>
      </w:r>
      <w:r>
        <w:rPr>
          <w:rStyle w:val="any"/>
          <w:color w:val="000000"/>
        </w:rPr>
        <w:t xml:space="preserve">ZPO § </w:t>
      </w:r>
      <w:hyperlink r:id="rId14" w:history="1">
        <w:r>
          <w:rPr>
            <w:rStyle w:val="bocontentwrapperbocenteranotbeck-btn"/>
            <w:color w:val="000000"/>
            <w:u w:val="single" w:color="000000"/>
          </w:rPr>
          <w:t>91a</w:t>
        </w:r>
      </w:hyperlink>
      <w:r>
        <w:rPr>
          <w:rStyle w:val="divbocontentwrapperbocenterp"/>
          <w:color w:val="000000"/>
        </w:rPr>
        <w:t xml:space="preserve">; </w:t>
      </w:r>
      <w:r>
        <w:rPr>
          <w:rStyle w:val="any"/>
          <w:color w:val="000000"/>
        </w:rPr>
        <w:t xml:space="preserve">StGB § </w:t>
      </w:r>
      <w:hyperlink r:id="rId15" w:history="1">
        <w:r>
          <w:rPr>
            <w:rStyle w:val="bocontentwrapperbocenteranotbeck-btn"/>
            <w:color w:val="000000"/>
            <w:u w:val="single" w:color="000000"/>
          </w:rPr>
          <w:t>266a</w:t>
        </w:r>
      </w:hyperlink>
    </w:p>
    <w:p w14:paraId="2A1F0D91" w14:textId="77777777" w:rsidR="005D07EE"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Ein rechtswirksam für erledigt erklärter Eröffnungsantrag, der nicht zu einer rechtskräftigen Insolvenzeröffnung geführt hat, ermöglicht keine Insolvenzanfechtung.</w:t>
      </w:r>
    </w:p>
    <w:p w14:paraId="04584A39" w14:textId="77777777" w:rsidR="005D07EE"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 xml:space="preserve">Eine einmal eingetretene Zahlungsunfähigkeit wird regelmäßig erst beseitigt, wenn die geschuldeten Zahlungen an die Gesamtheit der Gläubiger im Allgemeinen wieder aufgenommen werden können; dies hat grundsätzlich derjenige zu beweisen, der sich auf einen nachträglichen Wegfall der Zahlungsunfähigkeit beruft (im Anschluss an Senat, </w:t>
      </w:r>
      <w:r>
        <w:rPr>
          <w:rStyle w:val="any"/>
          <w:b/>
          <w:bCs/>
          <w:color w:val="000000"/>
        </w:rPr>
        <w:t xml:space="preserve">NJW 2002, </w:t>
      </w:r>
      <w:hyperlink r:id="rId16" w:history="1">
        <w:r>
          <w:rPr>
            <w:rStyle w:val="bocontentwrapperbocenteranotbeck-btn"/>
            <w:b/>
            <w:bCs/>
            <w:color w:val="000000"/>
            <w:u w:val="single" w:color="000000"/>
          </w:rPr>
          <w:t>512</w:t>
        </w:r>
      </w:hyperlink>
      <w:r>
        <w:rPr>
          <w:b/>
          <w:bCs/>
          <w:color w:val="000000"/>
        </w:rPr>
        <w:t xml:space="preserve"> [in diesem Heft] = </w:t>
      </w:r>
      <w:r>
        <w:rPr>
          <w:rStyle w:val="any"/>
          <w:b/>
          <w:bCs/>
          <w:color w:val="000000"/>
        </w:rPr>
        <w:t xml:space="preserve">NZI 2002, </w:t>
      </w:r>
      <w:hyperlink r:id="rId17" w:history="1">
        <w:r>
          <w:rPr>
            <w:rStyle w:val="bocontentwrapperbocenteranotbeck-btn"/>
            <w:b/>
            <w:bCs/>
            <w:color w:val="000000"/>
            <w:u w:val="single" w:color="000000"/>
          </w:rPr>
          <w:t>88</w:t>
        </w:r>
      </w:hyperlink>
      <w:r>
        <w:rPr>
          <w:b/>
          <w:bCs/>
          <w:color w:val="000000"/>
        </w:rPr>
        <w:t>, z. Veröff. best. in BGHZ).</w:t>
      </w:r>
    </w:p>
    <w:p w14:paraId="4A241851" w14:textId="77777777" w:rsidR="005D07EE"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 xml:space="preserve">Ein Gläubiger, der nach einem eigenen Eröffnungsantrag von dem betroffenen Schuldner Zahlungen erhält, darf deswegen allein grundsätzlich nicht davon ausgehen, dass auch die anderen nicht antragstellenden Gläubiger in vergleichbarer Weise Zahlungen erhalten (im Anschluss an Senat, </w:t>
      </w:r>
      <w:r>
        <w:rPr>
          <w:rStyle w:val="any"/>
          <w:b/>
          <w:bCs/>
          <w:color w:val="000000"/>
        </w:rPr>
        <w:t xml:space="preserve">NJW 2002, </w:t>
      </w:r>
      <w:hyperlink r:id="rId18" w:history="1">
        <w:r>
          <w:rPr>
            <w:rStyle w:val="bocontentwrapperbocenteranotbeck-btn"/>
            <w:b/>
            <w:bCs/>
            <w:color w:val="000000"/>
            <w:u w:val="single" w:color="000000"/>
          </w:rPr>
          <w:t>512</w:t>
        </w:r>
      </w:hyperlink>
      <w:r>
        <w:rPr>
          <w:b/>
          <w:bCs/>
          <w:color w:val="000000"/>
        </w:rPr>
        <w:t xml:space="preserve"> [in diesem Heft] = </w:t>
      </w:r>
      <w:r>
        <w:rPr>
          <w:rStyle w:val="any"/>
          <w:b/>
          <w:bCs/>
          <w:color w:val="000000"/>
        </w:rPr>
        <w:t xml:space="preserve">NZI 2002, </w:t>
      </w:r>
      <w:hyperlink r:id="rId19" w:history="1">
        <w:r>
          <w:rPr>
            <w:rStyle w:val="bocontentwrapperbocenteranotbeck-btn"/>
            <w:b/>
            <w:bCs/>
            <w:color w:val="000000"/>
            <w:u w:val="single" w:color="000000"/>
          </w:rPr>
          <w:t>88</w:t>
        </w:r>
      </w:hyperlink>
      <w:r>
        <w:rPr>
          <w:b/>
          <w:bCs/>
          <w:color w:val="000000"/>
        </w:rPr>
        <w:t>, z. Veröff. best. in BGHZ).</w:t>
      </w:r>
    </w:p>
    <w:p w14:paraId="65C5AA53" w14:textId="77777777" w:rsidR="005D07EE"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20. 11. 2001</w:t>
      </w:r>
      <w:r>
        <w:rPr>
          <w:color w:val="000000"/>
        </w:rPr>
        <w:t xml:space="preserve"> - </w:t>
      </w:r>
      <w:r>
        <w:rPr>
          <w:rStyle w:val="any"/>
          <w:color w:val="000000"/>
        </w:rPr>
        <w:t xml:space="preserve">IX ZR 48/01 (Dresden) </w:t>
      </w:r>
      <w:bookmarkStart w:id="0" w:name="Y-300-Z-NJW-B-2002-S-515-N-1-NAME-SACHVE"/>
      <w:bookmarkEnd w:id="0"/>
    </w:p>
    <w:p w14:paraId="6B241641" w14:textId="77777777" w:rsidR="005D07EE" w:rsidRDefault="00000000">
      <w:pPr>
        <w:pStyle w:val="printcontenth2"/>
        <w:spacing w:line="360" w:lineRule="auto"/>
        <w:ind w:right="150"/>
        <w:outlineLvl w:val="1"/>
        <w:rPr>
          <w:b/>
          <w:bCs/>
        </w:rPr>
      </w:pPr>
      <w:r>
        <w:rPr>
          <w:b/>
          <w:bCs/>
        </w:rPr>
        <w:t>Zum Sachverhalt:</w:t>
      </w:r>
    </w:p>
    <w:p w14:paraId="6276AF3A" w14:textId="77777777" w:rsidR="005D07EE" w:rsidRDefault="00000000">
      <w:pPr>
        <w:pStyle w:val="divbocontentwrapperbocenterpParagraph"/>
        <w:spacing w:after="120" w:line="360" w:lineRule="auto"/>
        <w:ind w:right="150"/>
        <w:rPr>
          <w:color w:val="000000"/>
        </w:rPr>
      </w:pPr>
      <w:r>
        <w:rPr>
          <w:color w:val="000000"/>
        </w:rPr>
        <w:t xml:space="preserve">Der Kl. ist Verwalter in dem am 11. 2. 2000 eröffneten Insolvenzverfahren über das Vermögen des </w:t>
      </w:r>
      <w:r>
        <w:rPr>
          <w:rStyle w:val="emitalicon"/>
          <w:color w:val="000000"/>
        </w:rPr>
        <w:t xml:space="preserve">H P S </w:t>
      </w:r>
      <w:r>
        <w:rPr>
          <w:color w:val="000000"/>
        </w:rPr>
        <w:t xml:space="preserve">(nachfolgend: Schuldner), eines Bauträgerunternehmers. Arbeitnehmer des Schuldners waren unter anderem bei der verklagten öffentlich-rechtlichen Krankenkasse pflichtversichert. Der Schuldner führte die fälligen Gesamtsozialversicherungsbeiträge für die Zeit vom 1. 4. bis 30. 6. 1999 in Höhe von rund 17000 DM nicht entsprechend ihrer Fälligkeit an die Bekl. ab. Am 26. 7. 1999 stellte die Bekl. beim </w:t>
      </w:r>
      <w:r>
        <w:rPr>
          <w:rStyle w:val="emitalicon"/>
          <w:color w:val="000000"/>
        </w:rPr>
        <w:t xml:space="preserve">AG </w:t>
      </w:r>
      <w:r>
        <w:rPr>
          <w:color w:val="000000"/>
        </w:rPr>
        <w:t>einen Antrag auf Eröffnung des Insolvenzverfahrens über das Vermögen des Schuldners, gestützt auf Zahlungsunfähigkeit. Am 29. 9. und 7. 10. 1999 übermittelte der Schuldner der Bekl. Schecks in Höhe von 10000 DM und von 10189,81 DM; damit war der seinerzeit bestehende Beitragsrückstand gegenüber der Bekl. ausgeglichen. Mit Schriftsatz vom 14. 10. 1999 an das Insolvenzgericht erklärte die Bekl. ihren Eröffnungsantrag für erledigt. Am 9. 11. 1999 stellte ein anderer Gläubiger einen Insolvenzantrag gegen den Schuldner, der zur Verfahrenseröffnung führte. Der Kl. forderte mit der Anfechtungsklage die Rückgewähr der beiden Scheckzahlungen des Schuldners in Höhe von zusammen 20189,81 DM.</w:t>
      </w:r>
    </w:p>
    <w:p w14:paraId="7E2D2865" w14:textId="77777777" w:rsidR="005D07EE" w:rsidRDefault="00000000">
      <w:pPr>
        <w:pStyle w:val="divbocontentwrapperbocenterpParagraph"/>
        <w:spacing w:after="120" w:line="360" w:lineRule="auto"/>
        <w:ind w:right="150"/>
        <w:rPr>
          <w:color w:val="000000"/>
        </w:rPr>
      </w:pPr>
      <w:r>
        <w:rPr>
          <w:color w:val="000000"/>
        </w:rPr>
        <w:lastRenderedPageBreak/>
        <w:t xml:space="preserve">Das </w:t>
      </w:r>
      <w:r>
        <w:rPr>
          <w:rStyle w:val="emitalicon"/>
          <w:color w:val="000000"/>
        </w:rPr>
        <w:t xml:space="preserve">LG </w:t>
      </w:r>
      <w:r>
        <w:rPr>
          <w:color w:val="000000"/>
        </w:rPr>
        <w:t xml:space="preserve">hat der Klage stattgegeben, das </w:t>
      </w:r>
      <w:r>
        <w:rPr>
          <w:rStyle w:val="emitalicon"/>
          <w:color w:val="000000"/>
        </w:rPr>
        <w:t xml:space="preserve">OLG </w:t>
      </w:r>
      <w:r>
        <w:rPr>
          <w:color w:val="000000"/>
        </w:rPr>
        <w:t xml:space="preserve">hat sie abgewiesen. Gegen das Berufungsurteil (abgedr. in </w:t>
      </w:r>
      <w:r>
        <w:rPr>
          <w:rStyle w:val="any"/>
          <w:color w:val="000000"/>
        </w:rPr>
        <w:t xml:space="preserve">ZIP 2001, </w:t>
      </w:r>
      <w:hyperlink r:id="rId20" w:history="1">
        <w:r>
          <w:rPr>
            <w:rStyle w:val="bocontentwrapperbocenteranotbeck-btn"/>
            <w:color w:val="000000"/>
            <w:u w:val="single" w:color="000000"/>
          </w:rPr>
          <w:t>621</w:t>
        </w:r>
      </w:hyperlink>
      <w:r>
        <w:rPr>
          <w:color w:val="000000"/>
        </w:rPr>
        <w:t>) richtete sich die zugelassene Revision des Kl. Das Rechtsmittel führte zur Aufhebung und Zurückverweisung.</w:t>
      </w:r>
      <w:bookmarkStart w:id="1" w:name="Y-300-Z-NJW-B-2002-S-515-N-1-NAME-GRUEND"/>
      <w:bookmarkEnd w:id="1"/>
    </w:p>
    <w:p w14:paraId="2573B336" w14:textId="77777777" w:rsidR="005D07EE" w:rsidRDefault="00000000">
      <w:pPr>
        <w:pStyle w:val="printcontenth2"/>
        <w:spacing w:line="360" w:lineRule="auto"/>
        <w:ind w:right="150"/>
        <w:outlineLvl w:val="1"/>
        <w:rPr>
          <w:b/>
          <w:bCs/>
        </w:rPr>
      </w:pPr>
      <w:r>
        <w:rPr>
          <w:b/>
          <w:bCs/>
        </w:rPr>
        <w:t>Aus den Gründen:</w:t>
      </w:r>
    </w:p>
    <w:p w14:paraId="62AEF682" w14:textId="77777777" w:rsidR="005D07EE" w:rsidRDefault="00000000">
      <w:pPr>
        <w:pStyle w:val="divbocontentwrapperbocenterpParagraph"/>
        <w:spacing w:after="120" w:line="360" w:lineRule="auto"/>
        <w:ind w:right="150"/>
        <w:rPr>
          <w:color w:val="000000"/>
        </w:rPr>
      </w:pPr>
      <w:r>
        <w:rPr>
          <w:rStyle w:val="emitalicon"/>
          <w:color w:val="000000"/>
        </w:rPr>
        <w:t>I. Anfechtung auf Grund des für erledigt erklärten Eröffnungsantrags</w:t>
      </w:r>
    </w:p>
    <w:p w14:paraId="6D33B589" w14:textId="77777777" w:rsidR="005D07EE" w:rsidRDefault="00000000">
      <w:pPr>
        <w:pStyle w:val="divbocontentwrapperbocenterpParagraph"/>
        <w:spacing w:after="120" w:line="360" w:lineRule="auto"/>
        <w:ind w:right="150"/>
        <w:rPr>
          <w:color w:val="000000"/>
        </w:rPr>
      </w:pPr>
      <w:r>
        <w:rPr>
          <w:color w:val="000000"/>
        </w:rPr>
        <w:t xml:space="preserve">1. Das BerGer. hat die Anfechtung unter anderem für unbegründet gehalten, soweit sie auf </w:t>
      </w:r>
      <w:r>
        <w:rPr>
          <w:rStyle w:val="any"/>
          <w:color w:val="000000"/>
        </w:rPr>
        <w:t xml:space="preserve">§ </w:t>
      </w:r>
      <w:hyperlink r:id="rId21" w:history="1">
        <w:r>
          <w:rPr>
            <w:rStyle w:val="bocontentwrapperbocenteranotbeck-btn"/>
            <w:color w:val="000000"/>
            <w:u w:val="single" w:color="000000"/>
          </w:rPr>
          <w:t>130</w:t>
        </w:r>
      </w:hyperlink>
      <w:r>
        <w:rPr>
          <w:rStyle w:val="any"/>
          <w:color w:val="000000"/>
        </w:rPr>
        <w:t xml:space="preserve"> </w:t>
      </w:r>
      <w:hyperlink r:id="rId22" w:history="1">
        <w:r>
          <w:rPr>
            <w:rStyle w:val="bocontentwrapperbocenteranotbeck-btn"/>
            <w:color w:val="000000"/>
            <w:u w:val="single" w:color="000000"/>
          </w:rPr>
          <w:t>I</w:t>
        </w:r>
      </w:hyperlink>
      <w:r>
        <w:rPr>
          <w:rStyle w:val="any"/>
          <w:color w:val="000000"/>
        </w:rPr>
        <w:t xml:space="preserve"> Nr. 2 InsO</w:t>
      </w:r>
      <w:r>
        <w:rPr>
          <w:color w:val="000000"/>
        </w:rPr>
        <w:t xml:space="preserve"> gestützt wird. Dazu hat es ausgeführt:</w:t>
      </w:r>
    </w:p>
    <w:p w14:paraId="73C84094" w14:textId="77777777" w:rsidR="005D07EE" w:rsidRDefault="00000000">
      <w:pPr>
        <w:pStyle w:val="divbocontentwrapperbocenterpParagraph"/>
        <w:spacing w:after="120" w:line="360" w:lineRule="auto"/>
        <w:ind w:right="150"/>
        <w:rPr>
          <w:color w:val="000000"/>
        </w:rPr>
      </w:pPr>
      <w:r>
        <w:rPr>
          <w:rStyle w:val="emsmall"/>
          <w:color w:val="000000"/>
          <w:sz w:val="22"/>
          <w:szCs w:val="22"/>
        </w:rPr>
        <w:t xml:space="preserve">Maßgeblich sei nicht der Eröffnungsantrag der Bekl. selbst vom 26. 7. 1999, sondern der Antrag eines anderen Gläubigers vom 9. 11. 1999, der nach den hier angefochtenen Rechtshandlungen liege. Seien mehrere Eröffnungsanträge gestellt worden, so sei zwar nach </w:t>
      </w:r>
      <w:r>
        <w:rPr>
          <w:rStyle w:val="any"/>
          <w:color w:val="000000"/>
        </w:rPr>
        <w:t xml:space="preserve">§ </w:t>
      </w:r>
      <w:hyperlink r:id="rId23" w:history="1">
        <w:r>
          <w:rPr>
            <w:rStyle w:val="bocontentwrapperbocenteranotbeck-btn"/>
            <w:color w:val="000000"/>
            <w:u w:val="single" w:color="000000"/>
          </w:rPr>
          <w:t>139</w:t>
        </w:r>
      </w:hyperlink>
      <w:r>
        <w:rPr>
          <w:rStyle w:val="any"/>
          <w:color w:val="000000"/>
        </w:rPr>
        <w:t xml:space="preserve"> </w:t>
      </w:r>
      <w:hyperlink r:id="rId24" w:history="1">
        <w:r>
          <w:rPr>
            <w:rStyle w:val="bocontentwrapperbocenteranotbeck-btn"/>
            <w:color w:val="000000"/>
            <w:u w:val="single" w:color="000000"/>
          </w:rPr>
          <w:t>II</w:t>
        </w:r>
      </w:hyperlink>
      <w:r>
        <w:rPr>
          <w:rStyle w:val="any"/>
          <w:color w:val="000000"/>
        </w:rPr>
        <w:t xml:space="preserve"> 1 InsO</w:t>
      </w:r>
      <w:r>
        <w:rPr>
          <w:rStyle w:val="emsmall"/>
          <w:color w:val="000000"/>
          <w:sz w:val="22"/>
          <w:szCs w:val="22"/>
        </w:rPr>
        <w:t xml:space="preserve"> der erste zulässige und begründete Antrag maßgeblich, auch wenn das Verfahren auf Grund eines späteren Antrags eröffnet worden sei. Mit der Befriedigung der Gläubigerforderung werde der ursprünglich zulässige Antrag jedoch unzulässig, weil </w:t>
      </w:r>
      <w:r>
        <w:rPr>
          <w:rStyle w:val="any"/>
          <w:color w:val="000000"/>
        </w:rPr>
        <w:t xml:space="preserve">§ </w:t>
      </w:r>
      <w:hyperlink r:id="rId25" w:history="1">
        <w:r>
          <w:rPr>
            <w:rStyle w:val="bocontentwrapperbocenteranotbeck-btn"/>
            <w:color w:val="000000"/>
            <w:u w:val="single" w:color="000000"/>
          </w:rPr>
          <w:t>14</w:t>
        </w:r>
      </w:hyperlink>
      <w:r>
        <w:rPr>
          <w:rStyle w:val="any"/>
          <w:color w:val="000000"/>
        </w:rPr>
        <w:t xml:space="preserve"> </w:t>
      </w:r>
      <w:hyperlink r:id="rId26" w:history="1">
        <w:r>
          <w:rPr>
            <w:rStyle w:val="bocontentwrapperbocenteranotbeck-btn"/>
            <w:color w:val="000000"/>
            <w:u w:val="single" w:color="000000"/>
          </w:rPr>
          <w:t>I</w:t>
        </w:r>
      </w:hyperlink>
      <w:r>
        <w:rPr>
          <w:rStyle w:val="any"/>
          <w:color w:val="000000"/>
        </w:rPr>
        <w:t xml:space="preserve"> InsO</w:t>
      </w:r>
      <w:r>
        <w:rPr>
          <w:rStyle w:val="emsmall"/>
          <w:color w:val="000000"/>
          <w:sz w:val="22"/>
          <w:szCs w:val="22"/>
        </w:rPr>
        <w:t xml:space="preserve"> neben dem rechtlichen Interesse an der Eröffnung des Insolvenzverfahrens und der Glaubhaftmachung des Eröffnungsgrundes auch diejenige der Forderung verlange. Nicht nur der bereits ursprünglich unzulässige, sondern auch der später unzulässig gewordene Antrag unterliege der Abweisung. Aus </w:t>
      </w:r>
      <w:r>
        <w:rPr>
          <w:rStyle w:val="any"/>
          <w:color w:val="000000"/>
        </w:rPr>
        <w:t xml:space="preserve">§ </w:t>
      </w:r>
      <w:hyperlink r:id="rId27" w:history="1">
        <w:r>
          <w:rPr>
            <w:rStyle w:val="bocontentwrapperbocenteranotbeck-btn"/>
            <w:color w:val="000000"/>
            <w:u w:val="single" w:color="000000"/>
          </w:rPr>
          <w:t>139</w:t>
        </w:r>
      </w:hyperlink>
      <w:r>
        <w:rPr>
          <w:rStyle w:val="any"/>
          <w:color w:val="000000"/>
        </w:rPr>
        <w:t xml:space="preserve"> </w:t>
      </w:r>
      <w:hyperlink r:id="rId28" w:history="1">
        <w:r>
          <w:rPr>
            <w:rStyle w:val="bocontentwrapperbocenteranotbeck-btn"/>
            <w:color w:val="000000"/>
            <w:u w:val="single" w:color="000000"/>
          </w:rPr>
          <w:t>II</w:t>
        </w:r>
      </w:hyperlink>
      <w:r>
        <w:rPr>
          <w:rStyle w:val="any"/>
          <w:color w:val="000000"/>
        </w:rPr>
        <w:t xml:space="preserve"> 2 InsO</w:t>
      </w:r>
      <w:r>
        <w:rPr>
          <w:rStyle w:val="emsmall"/>
          <w:color w:val="000000"/>
          <w:sz w:val="22"/>
          <w:szCs w:val="22"/>
        </w:rPr>
        <w:t xml:space="preserve"> lasse sich nicht ableiten, dass ursprünglich zulässige und begründete Anträge stets dann maßgeblich seien, wenn sie nicht rechtskräftig oder nur mangels Masse abgewiesen worden seien.</w:t>
      </w:r>
    </w:p>
    <w:p w14:paraId="646258B0" w14:textId="77777777" w:rsidR="005D07EE" w:rsidRDefault="00000000">
      <w:pPr>
        <w:pStyle w:val="divbocontentwrapperbocenterpParagraph"/>
        <w:spacing w:after="120" w:line="360" w:lineRule="auto"/>
        <w:ind w:right="150"/>
        <w:rPr>
          <w:color w:val="000000"/>
        </w:rPr>
      </w:pPr>
      <w:r>
        <w:rPr>
          <w:color w:val="000000"/>
        </w:rPr>
        <w:t>2. Das hält den Angriffen der Revision jedenfalls im Ergebnis stand. Ein rechtswirksam für erledigt erklärter Eröffnungsantrag, der nicht zu einer rechtskräftigen Insolvenzeröffnung geführt hat, ermöglicht keine Insolvenzanfechtung.</w:t>
      </w:r>
    </w:p>
    <w:p w14:paraId="2BF13992" w14:textId="77777777" w:rsidR="005D07EE" w:rsidRDefault="00000000">
      <w:pPr>
        <w:pStyle w:val="divbocontentwrapperbocenterpParagraph"/>
        <w:spacing w:after="120" w:line="360" w:lineRule="auto"/>
        <w:ind w:right="150"/>
        <w:rPr>
          <w:color w:val="000000"/>
        </w:rPr>
      </w:pPr>
      <w:r>
        <w:rPr>
          <w:color w:val="000000"/>
        </w:rPr>
        <w:t xml:space="preserve">a) </w:t>
      </w:r>
      <w:r>
        <w:rPr>
          <w:rStyle w:val="any"/>
          <w:color w:val="000000"/>
        </w:rPr>
        <w:t xml:space="preserve">§ </w:t>
      </w:r>
      <w:hyperlink r:id="rId29" w:history="1">
        <w:r>
          <w:rPr>
            <w:rStyle w:val="bocontentwrapperbocenteranotbeck-btn"/>
            <w:color w:val="000000"/>
            <w:u w:val="single" w:color="000000"/>
          </w:rPr>
          <w:t>130</w:t>
        </w:r>
      </w:hyperlink>
      <w:r>
        <w:rPr>
          <w:rStyle w:val="any"/>
          <w:color w:val="000000"/>
        </w:rPr>
        <w:t xml:space="preserve"> </w:t>
      </w:r>
      <w:hyperlink r:id="rId30" w:history="1">
        <w:r>
          <w:rPr>
            <w:rStyle w:val="bocontentwrapperbocenteranotbeck-btn"/>
            <w:color w:val="000000"/>
            <w:u w:val="single" w:color="000000"/>
          </w:rPr>
          <w:t>I</w:t>
        </w:r>
      </w:hyperlink>
      <w:r>
        <w:rPr>
          <w:rStyle w:val="any"/>
          <w:color w:val="000000"/>
        </w:rPr>
        <w:t xml:space="preserve"> Nr. 2 InsO</w:t>
      </w:r>
      <w:r>
        <w:rPr>
          <w:color w:val="000000"/>
        </w:rPr>
        <w:t xml:space="preserve"> gestattet die Anfechtung nur solcher Deckungshandlungen, die „nach dem Eröffnungsantrag” vorgenommen wurden. Dieser Wortlaut entspricht demjenigen des </w:t>
      </w:r>
      <w:r>
        <w:rPr>
          <w:rStyle w:val="any"/>
          <w:color w:val="000000"/>
        </w:rPr>
        <w:t xml:space="preserve">§ </w:t>
      </w:r>
      <w:hyperlink r:id="rId31" w:history="1">
        <w:r>
          <w:rPr>
            <w:rStyle w:val="bocontentwrapperbocenteranotbeck-btn"/>
            <w:color w:val="000000"/>
            <w:u w:val="single" w:color="000000"/>
          </w:rPr>
          <w:t>30</w:t>
        </w:r>
      </w:hyperlink>
      <w:r>
        <w:rPr>
          <w:rStyle w:val="any"/>
          <w:color w:val="000000"/>
        </w:rPr>
        <w:t xml:space="preserve"> KO</w:t>
      </w:r>
      <w:r>
        <w:rPr>
          <w:color w:val="000000"/>
        </w:rPr>
        <w:t xml:space="preserve"> und des </w:t>
      </w:r>
      <w:r>
        <w:rPr>
          <w:rStyle w:val="any"/>
          <w:color w:val="000000"/>
        </w:rPr>
        <w:t xml:space="preserve">§ </w:t>
      </w:r>
      <w:hyperlink r:id="rId32" w:history="1">
        <w:r>
          <w:rPr>
            <w:rStyle w:val="bocontentwrapperbocenteranotbeck-btn"/>
            <w:color w:val="000000"/>
            <w:u w:val="single" w:color="000000"/>
          </w:rPr>
          <w:t>10</w:t>
        </w:r>
      </w:hyperlink>
      <w:r>
        <w:rPr>
          <w:rStyle w:val="any"/>
          <w:color w:val="000000"/>
        </w:rPr>
        <w:t xml:space="preserve"> </w:t>
      </w:r>
      <w:hyperlink r:id="rId33" w:history="1">
        <w:r>
          <w:rPr>
            <w:rStyle w:val="bocontentwrapperbocenteranotbeck-btn"/>
            <w:color w:val="000000"/>
            <w:u w:val="single" w:color="000000"/>
          </w:rPr>
          <w:t>I</w:t>
        </w:r>
      </w:hyperlink>
      <w:r>
        <w:rPr>
          <w:rStyle w:val="any"/>
          <w:color w:val="000000"/>
        </w:rPr>
        <w:t xml:space="preserve"> Nr. 4 GesO</w:t>
      </w:r>
      <w:r>
        <w:rPr>
          <w:color w:val="000000"/>
        </w:rPr>
        <w:t>, die mit dem bestimmten Artikel „dem” allein auf denjenigen Eröffnungsantrag abstellten, der - sei es auch mit anderen - zur Verfahrenseröffnung führte (</w:t>
      </w:r>
      <w:r>
        <w:rPr>
          <w:rStyle w:val="emitalicon"/>
          <w:color w:val="000000"/>
        </w:rPr>
        <w:t>Jaeger/Henckel</w:t>
      </w:r>
      <w:r>
        <w:rPr>
          <w:color w:val="000000"/>
        </w:rPr>
        <w:t xml:space="preserve">, KO, 9. Aufl., § 30 Rdnr. 47; vgl. </w:t>
      </w:r>
      <w:r>
        <w:rPr>
          <w:rStyle w:val="emitalicon"/>
          <w:color w:val="000000"/>
        </w:rPr>
        <w:t>RGZ</w:t>
      </w:r>
      <w:r>
        <w:rPr>
          <w:color w:val="000000"/>
        </w:rPr>
        <w:t xml:space="preserve"> </w:t>
      </w:r>
      <w:r>
        <w:rPr>
          <w:rStyle w:val="any"/>
          <w:color w:val="000000"/>
        </w:rPr>
        <w:t xml:space="preserve">88, </w:t>
      </w:r>
      <w:hyperlink r:id="rId34" w:history="1">
        <w:r>
          <w:rPr>
            <w:rStyle w:val="bocontentwrapperbocenteranotbeck-btn"/>
            <w:color w:val="000000"/>
            <w:u w:val="single" w:color="000000"/>
          </w:rPr>
          <w:t>237</w:t>
        </w:r>
      </w:hyperlink>
      <w:r>
        <w:rPr>
          <w:color w:val="000000"/>
        </w:rPr>
        <w:t xml:space="preserve">). Zurückgewiesene (vgl. </w:t>
      </w:r>
      <w:r>
        <w:rPr>
          <w:rStyle w:val="emitalicon"/>
          <w:color w:val="000000"/>
        </w:rPr>
        <w:t>RG</w:t>
      </w:r>
      <w:r>
        <w:rPr>
          <w:color w:val="000000"/>
        </w:rPr>
        <w:t xml:space="preserve">, WarnR 1929 Nr. 81) oder zurückgenommene (vgl. </w:t>
      </w:r>
      <w:r>
        <w:rPr>
          <w:rStyle w:val="emitalicon"/>
          <w:color w:val="000000"/>
        </w:rPr>
        <w:t>Senat</w:t>
      </w:r>
      <w:r>
        <w:rPr>
          <w:color w:val="000000"/>
        </w:rPr>
        <w:t xml:space="preserve">, </w:t>
      </w:r>
      <w:r>
        <w:rPr>
          <w:rStyle w:val="any"/>
          <w:color w:val="000000"/>
        </w:rPr>
        <w:t xml:space="preserve">NJW 2000, </w:t>
      </w:r>
      <w:hyperlink r:id="rId35" w:history="1">
        <w:r>
          <w:rPr>
            <w:rStyle w:val="bocontentwrapperbocenteranotbeck-btn"/>
            <w:color w:val="000000"/>
            <w:u w:val="single" w:color="000000"/>
          </w:rPr>
          <w:t>211</w:t>
        </w:r>
      </w:hyperlink>
      <w:r>
        <w:rPr>
          <w:color w:val="000000"/>
        </w:rPr>
        <w:t xml:space="preserve"> = </w:t>
      </w:r>
      <w:r>
        <w:rPr>
          <w:rStyle w:val="any"/>
          <w:color w:val="000000"/>
        </w:rPr>
        <w:t xml:space="preserve">NZI 2000, </w:t>
      </w:r>
      <w:hyperlink r:id="rId36" w:history="1">
        <w:r>
          <w:rPr>
            <w:rStyle w:val="bocontentwrapperbocenteranotbeck-btn"/>
            <w:color w:val="000000"/>
            <w:u w:val="single" w:color="000000"/>
          </w:rPr>
          <w:t>19</w:t>
        </w:r>
      </w:hyperlink>
      <w:r>
        <w:rPr>
          <w:color w:val="000000"/>
        </w:rPr>
        <w:t xml:space="preserve"> = LM H. 4/2000 GesO Nr. 54 = </w:t>
      </w:r>
      <w:r>
        <w:rPr>
          <w:rStyle w:val="any"/>
          <w:color w:val="000000"/>
        </w:rPr>
        <w:t xml:space="preserve">ZIP 1999, </w:t>
      </w:r>
      <w:hyperlink r:id="rId37" w:history="1">
        <w:r>
          <w:rPr>
            <w:rStyle w:val="bocontentwrapperbocenteranotbeck-btn"/>
            <w:color w:val="000000"/>
            <w:u w:val="single" w:color="000000"/>
          </w:rPr>
          <w:t>1977</w:t>
        </w:r>
      </w:hyperlink>
      <w:r>
        <w:rPr>
          <w:color w:val="000000"/>
        </w:rPr>
        <w:t xml:space="preserve"> m.w. Nachw.) Eröffnungsanträge bleiben außer Betracht. Ein Wille, diese Anfechtungsvoraussetzung insoweit zu erweitern, lässt sich der Gesetzesbegründung zu </w:t>
      </w:r>
      <w:r>
        <w:rPr>
          <w:rStyle w:val="any"/>
          <w:color w:val="000000"/>
        </w:rPr>
        <w:t xml:space="preserve">§ </w:t>
      </w:r>
      <w:hyperlink r:id="rId38" w:history="1">
        <w:r>
          <w:rPr>
            <w:rStyle w:val="bocontentwrapperbocenteranotbeck-btn"/>
            <w:color w:val="000000"/>
            <w:u w:val="single" w:color="000000"/>
          </w:rPr>
          <w:t>130</w:t>
        </w:r>
      </w:hyperlink>
      <w:r>
        <w:rPr>
          <w:rStyle w:val="any"/>
          <w:color w:val="000000"/>
        </w:rPr>
        <w:t xml:space="preserve"> InsO</w:t>
      </w:r>
      <w:r>
        <w:rPr>
          <w:color w:val="000000"/>
        </w:rPr>
        <w:t xml:space="preserve"> nicht entnehmen (Amtl. Begr. der BReg. zu </w:t>
      </w:r>
      <w:r>
        <w:rPr>
          <w:rStyle w:val="any"/>
          <w:color w:val="000000"/>
        </w:rPr>
        <w:t>§ 145 InsO-E</w:t>
      </w:r>
      <w:r>
        <w:rPr>
          <w:color w:val="000000"/>
        </w:rPr>
        <w:t xml:space="preserve">, BT-Dr 12/2443, S. 157f.). Lediglich </w:t>
      </w:r>
      <w:r>
        <w:rPr>
          <w:rStyle w:val="any"/>
          <w:color w:val="000000"/>
        </w:rPr>
        <w:t xml:space="preserve">§ </w:t>
      </w:r>
      <w:hyperlink r:id="rId39" w:history="1">
        <w:r>
          <w:rPr>
            <w:rStyle w:val="bocontentwrapperbocenteranotbeck-btn"/>
            <w:color w:val="000000"/>
            <w:u w:val="single" w:color="000000"/>
          </w:rPr>
          <w:t>139</w:t>
        </w:r>
      </w:hyperlink>
      <w:r>
        <w:rPr>
          <w:rStyle w:val="any"/>
          <w:color w:val="000000"/>
        </w:rPr>
        <w:t xml:space="preserve"> </w:t>
      </w:r>
      <w:hyperlink r:id="rId40" w:history="1">
        <w:r>
          <w:rPr>
            <w:rStyle w:val="bocontentwrapperbocenteranotbeck-btn"/>
            <w:color w:val="000000"/>
            <w:u w:val="single" w:color="000000"/>
          </w:rPr>
          <w:t>II</w:t>
        </w:r>
      </w:hyperlink>
      <w:r>
        <w:rPr>
          <w:rStyle w:val="any"/>
          <w:color w:val="000000"/>
        </w:rPr>
        <w:t xml:space="preserve"> InsO</w:t>
      </w:r>
      <w:r>
        <w:rPr>
          <w:color w:val="000000"/>
        </w:rPr>
        <w:t xml:space="preserve"> bestimmt - für die Berechnung von Fristen </w:t>
      </w:r>
      <w:r>
        <w:rPr>
          <w:rStyle w:val="emitalicon"/>
          <w:color w:val="000000"/>
        </w:rPr>
        <w:t>vor</w:t>
      </w:r>
      <w:r>
        <w:rPr>
          <w:color w:val="000000"/>
        </w:rPr>
        <w:t xml:space="preserve"> einem Eröffnungsantrag -, dass von mehreren gestellten Eröffnungsanträgen der erste zulässige und begründete Antrag auch dann maßgeblich ist, wenn das Verfahren auf Grund eines späteren Antrags eröffnet worden ist; ein rechtskräftig abgewiesener Antrag wird - nur - berücksichtigt, wenn er mangels Masse </w:t>
      </w:r>
      <w:r>
        <w:rPr>
          <w:color w:val="000000"/>
        </w:rPr>
        <w:lastRenderedPageBreak/>
        <w:t xml:space="preserve">abgewiesen worden ist. Die Amtliche Begründung führt dazu aus (BT-Dr 12/2443, S. 163 [zu </w:t>
      </w:r>
      <w:r>
        <w:rPr>
          <w:rStyle w:val="any"/>
          <w:color w:val="000000"/>
        </w:rPr>
        <w:t>§ 156 InsO-E</w:t>
      </w:r>
      <w:r>
        <w:rPr>
          <w:color w:val="000000"/>
        </w:rPr>
        <w:t>]):</w:t>
      </w:r>
    </w:p>
    <w:p w14:paraId="603A6383" w14:textId="77777777" w:rsidR="005D07EE" w:rsidRDefault="00000000">
      <w:pPr>
        <w:pStyle w:val="divbocontentwrapperbocenterpParagraph"/>
        <w:spacing w:after="120" w:line="360" w:lineRule="auto"/>
        <w:ind w:right="150"/>
        <w:rPr>
          <w:color w:val="000000"/>
        </w:rPr>
      </w:pPr>
      <w:r>
        <w:rPr>
          <w:rStyle w:val="emsmall"/>
          <w:color w:val="000000"/>
          <w:sz w:val="22"/>
          <w:szCs w:val="22"/>
        </w:rPr>
        <w:t>„Für die Berechnung kommt es allein darauf an, dass der Antrag zur Verfahrenseröffnung geführt hätte, wenn er nicht mangels Masse … rechtskräftig abgewiesen oder das Verfahren nicht auf Grund eines späteren Antrags eröffnet worden wäre”.</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5D07EE" w14:paraId="00FC818B" w14:textId="77777777">
        <w:tc>
          <w:tcPr>
            <w:tcW w:w="4000" w:type="pct"/>
            <w:shd w:val="clear" w:color="auto" w:fill="F0F0F0"/>
            <w:tcMar>
              <w:top w:w="0" w:type="dxa"/>
              <w:left w:w="0" w:type="dxa"/>
              <w:bottom w:w="0" w:type="dxa"/>
              <w:right w:w="0" w:type="dxa"/>
            </w:tcMar>
            <w:vAlign w:val="center"/>
            <w:hideMark/>
          </w:tcPr>
          <w:p w14:paraId="3B0891C0" w14:textId="77777777" w:rsidR="005D07EE"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 Insolvenzanfechtung bei Erledigung des Eröffnungsantrags</w:t>
            </w:r>
            <w:r>
              <w:rPr>
                <w:rStyle w:val="citation"/>
                <w:color w:val="000000"/>
              </w:rPr>
              <w:t>(NJW 2002, 515)</w:t>
            </w:r>
          </w:p>
        </w:tc>
        <w:tc>
          <w:tcPr>
            <w:tcW w:w="1000" w:type="pct"/>
            <w:shd w:val="clear" w:color="auto" w:fill="F0F0F0"/>
            <w:tcMar>
              <w:top w:w="0" w:type="dxa"/>
              <w:left w:w="0" w:type="dxa"/>
              <w:bottom w:w="0" w:type="dxa"/>
              <w:right w:w="0" w:type="dxa"/>
            </w:tcMar>
            <w:vAlign w:val="center"/>
            <w:hideMark/>
          </w:tcPr>
          <w:p w14:paraId="52CC4193" w14:textId="77777777" w:rsidR="005D07E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516</w:t>
            </w:r>
          </w:p>
        </w:tc>
      </w:tr>
    </w:tbl>
    <w:p w14:paraId="72025C81" w14:textId="77777777" w:rsidR="005D07EE" w:rsidRDefault="00000000">
      <w:pPr>
        <w:pStyle w:val="divbocontentwrapperbocenterpParagraph"/>
        <w:spacing w:before="120" w:after="120" w:line="360" w:lineRule="auto"/>
        <w:ind w:right="150"/>
        <w:rPr>
          <w:color w:val="000000"/>
        </w:rPr>
      </w:pPr>
      <w:r>
        <w:rPr>
          <w:color w:val="000000"/>
        </w:rPr>
        <w:t xml:space="preserve">Es erscheint zwar gerechtfertigt, diese Bestimmung des maßgeblichen Antrags auch im Rahmen der </w:t>
      </w:r>
      <w:r>
        <w:rPr>
          <w:rStyle w:val="any"/>
          <w:color w:val="000000"/>
        </w:rPr>
        <w:t xml:space="preserve">§§ </w:t>
      </w:r>
      <w:hyperlink r:id="rId41" w:history="1">
        <w:r>
          <w:rPr>
            <w:rStyle w:val="bocontentwrapperbocenteranotbeck-btn"/>
            <w:color w:val="000000"/>
            <w:u w:val="single" w:color="000000"/>
          </w:rPr>
          <w:t>130</w:t>
        </w:r>
      </w:hyperlink>
      <w:r>
        <w:rPr>
          <w:rStyle w:val="any"/>
          <w:color w:val="000000"/>
        </w:rPr>
        <w:t xml:space="preserve"> bis </w:t>
      </w:r>
      <w:hyperlink r:id="rId42" w:history="1">
        <w:r>
          <w:rPr>
            <w:rStyle w:val="bocontentwrapperbocenteranotbeck-btn"/>
            <w:color w:val="000000"/>
            <w:u w:val="single" w:color="000000"/>
          </w:rPr>
          <w:t>133</w:t>
        </w:r>
      </w:hyperlink>
      <w:r>
        <w:rPr>
          <w:rStyle w:val="any"/>
          <w:color w:val="000000"/>
        </w:rPr>
        <w:t xml:space="preserve">, </w:t>
      </w:r>
      <w:hyperlink r:id="rId43" w:history="1">
        <w:r>
          <w:rPr>
            <w:rStyle w:val="bocontentwrapperbocenteranotbeck-btn"/>
            <w:color w:val="000000"/>
            <w:u w:val="single" w:color="000000"/>
          </w:rPr>
          <w:t>135</w:t>
        </w:r>
      </w:hyperlink>
      <w:r>
        <w:rPr>
          <w:rStyle w:val="any"/>
          <w:color w:val="000000"/>
        </w:rPr>
        <w:t xml:space="preserve"> und </w:t>
      </w:r>
      <w:hyperlink r:id="rId44" w:history="1">
        <w:r>
          <w:rPr>
            <w:rStyle w:val="bocontentwrapperbocenteranotbeck-btn"/>
            <w:color w:val="000000"/>
            <w:u w:val="single" w:color="000000"/>
          </w:rPr>
          <w:t>136</w:t>
        </w:r>
      </w:hyperlink>
      <w:r>
        <w:rPr>
          <w:rStyle w:val="any"/>
          <w:color w:val="000000"/>
        </w:rPr>
        <w:t xml:space="preserve"> InsO</w:t>
      </w:r>
      <w:r>
        <w:rPr>
          <w:color w:val="000000"/>
        </w:rPr>
        <w:t xml:space="preserve"> anzuwenden, soweit diese Bestimmungen auf die Vornahme von Rechtshandlungen </w:t>
      </w:r>
      <w:r>
        <w:rPr>
          <w:rStyle w:val="emitalicon"/>
          <w:color w:val="000000"/>
        </w:rPr>
        <w:t>nach</w:t>
      </w:r>
      <w:r>
        <w:rPr>
          <w:color w:val="000000"/>
        </w:rPr>
        <w:t xml:space="preserve"> einem Eröffnungsantrag abstellen. Dagegen lässt sich über diese Grenzen hinaus der Begriff „des Eröffnungsantrags” i.S. von </w:t>
      </w:r>
      <w:r>
        <w:rPr>
          <w:rStyle w:val="any"/>
          <w:color w:val="000000"/>
        </w:rPr>
        <w:t xml:space="preserve">§ </w:t>
      </w:r>
      <w:hyperlink r:id="rId45" w:history="1">
        <w:r>
          <w:rPr>
            <w:rStyle w:val="bocontentwrapperbocenteranotbeck-btn"/>
            <w:color w:val="000000"/>
            <w:u w:val="single" w:color="000000"/>
          </w:rPr>
          <w:t>130</w:t>
        </w:r>
      </w:hyperlink>
      <w:r>
        <w:rPr>
          <w:rStyle w:val="any"/>
          <w:color w:val="000000"/>
        </w:rPr>
        <w:t xml:space="preserve"> </w:t>
      </w:r>
      <w:hyperlink r:id="rId46" w:history="1">
        <w:r>
          <w:rPr>
            <w:rStyle w:val="bocontentwrapperbocenteranotbeck-btn"/>
            <w:color w:val="000000"/>
            <w:u w:val="single" w:color="000000"/>
          </w:rPr>
          <w:t>I</w:t>
        </w:r>
      </w:hyperlink>
      <w:r>
        <w:rPr>
          <w:rStyle w:val="any"/>
          <w:color w:val="000000"/>
        </w:rPr>
        <w:t xml:space="preserve"> Nr. 2 InsO</w:t>
      </w:r>
      <w:r>
        <w:rPr>
          <w:color w:val="000000"/>
        </w:rPr>
        <w:t xml:space="preserve"> - entgegen der Ansicht der Revisionsbegründung - nicht so weit auslegen, dass jeder derartige Antrag ohne weitere Qualifikation ausreichte.</w:t>
      </w:r>
    </w:p>
    <w:p w14:paraId="5FA3A4BE" w14:textId="77777777" w:rsidR="005D07EE" w:rsidRDefault="00000000">
      <w:pPr>
        <w:pStyle w:val="divbocontentwrapperbocenterpParagraph"/>
        <w:spacing w:after="120" w:line="360" w:lineRule="auto"/>
        <w:ind w:right="150"/>
        <w:rPr>
          <w:color w:val="000000"/>
        </w:rPr>
      </w:pPr>
      <w:r>
        <w:rPr>
          <w:color w:val="000000"/>
        </w:rPr>
        <w:t xml:space="preserve">b) Ein wirksam für erledigt erklärter Insolvenzantrag ist keine Grundlage für eine Anfechtung gem. </w:t>
      </w:r>
      <w:r>
        <w:rPr>
          <w:rStyle w:val="any"/>
          <w:color w:val="000000"/>
        </w:rPr>
        <w:t xml:space="preserve">§§ </w:t>
      </w:r>
      <w:hyperlink r:id="rId47" w:history="1">
        <w:r>
          <w:rPr>
            <w:rStyle w:val="bocontentwrapperbocenteranotbeck-btn"/>
            <w:color w:val="000000"/>
            <w:u w:val="single" w:color="000000"/>
          </w:rPr>
          <w:t>130</w:t>
        </w:r>
      </w:hyperlink>
      <w:r>
        <w:rPr>
          <w:rStyle w:val="any"/>
          <w:color w:val="000000"/>
        </w:rPr>
        <w:t xml:space="preserve"> bis </w:t>
      </w:r>
      <w:hyperlink r:id="rId48" w:history="1">
        <w:r>
          <w:rPr>
            <w:rStyle w:val="bocontentwrapperbocenteranotbeck-btn"/>
            <w:color w:val="000000"/>
            <w:u w:val="single" w:color="000000"/>
          </w:rPr>
          <w:t>136</w:t>
        </w:r>
      </w:hyperlink>
      <w:r>
        <w:rPr>
          <w:rStyle w:val="any"/>
          <w:color w:val="000000"/>
        </w:rPr>
        <w:t xml:space="preserve"> InsO</w:t>
      </w:r>
      <w:r>
        <w:rPr>
          <w:color w:val="000000"/>
        </w:rPr>
        <w:t xml:space="preserve"> (ebenso </w:t>
      </w:r>
      <w:r>
        <w:rPr>
          <w:rStyle w:val="emitalicon"/>
          <w:color w:val="000000"/>
        </w:rPr>
        <w:t>Paulus</w:t>
      </w:r>
      <w:r>
        <w:rPr>
          <w:color w:val="000000"/>
        </w:rPr>
        <w:t xml:space="preserve">, in: </w:t>
      </w:r>
      <w:r>
        <w:rPr>
          <w:rStyle w:val="emitalicon"/>
          <w:color w:val="000000"/>
        </w:rPr>
        <w:t>Kübler/Prütting</w:t>
      </w:r>
      <w:r>
        <w:rPr>
          <w:color w:val="000000"/>
        </w:rPr>
        <w:t xml:space="preserve">, InsO, § 139 Rdnr. 6; </w:t>
      </w:r>
      <w:r>
        <w:rPr>
          <w:rStyle w:val="emitalicon"/>
          <w:color w:val="000000"/>
        </w:rPr>
        <w:t>Zeuner</w:t>
      </w:r>
      <w:r>
        <w:rPr>
          <w:color w:val="000000"/>
        </w:rPr>
        <w:t xml:space="preserve">, Die Anfechtung in der Insolvenz, Rdnr. 102 zu </w:t>
      </w:r>
      <w:r>
        <w:rPr>
          <w:rStyle w:val="any"/>
          <w:color w:val="000000"/>
        </w:rPr>
        <w:t xml:space="preserve">§ </w:t>
      </w:r>
      <w:hyperlink r:id="rId49" w:history="1">
        <w:r>
          <w:rPr>
            <w:rStyle w:val="bocontentwrapperbocenteranotbeck-btn"/>
            <w:color w:val="000000"/>
            <w:u w:val="single" w:color="000000"/>
          </w:rPr>
          <w:t>30</w:t>
        </w:r>
      </w:hyperlink>
      <w:r>
        <w:rPr>
          <w:rStyle w:val="any"/>
          <w:color w:val="000000"/>
        </w:rPr>
        <w:t xml:space="preserve"> KO</w:t>
      </w:r>
      <w:r>
        <w:rPr>
          <w:color w:val="000000"/>
        </w:rPr>
        <w:t xml:space="preserve">; </w:t>
      </w:r>
      <w:r>
        <w:rPr>
          <w:rStyle w:val="emitalicon"/>
          <w:color w:val="000000"/>
        </w:rPr>
        <w:t>OLG Hamm</w:t>
      </w:r>
      <w:r>
        <w:rPr>
          <w:color w:val="000000"/>
        </w:rPr>
        <w:t xml:space="preserve">, </w:t>
      </w:r>
      <w:r>
        <w:rPr>
          <w:rStyle w:val="any"/>
          <w:color w:val="000000"/>
        </w:rPr>
        <w:t xml:space="preserve">NZI 2001, </w:t>
      </w:r>
      <w:hyperlink r:id="rId50" w:history="1">
        <w:r>
          <w:rPr>
            <w:rStyle w:val="bocontentwrapperbocenteranotbeck-btn"/>
            <w:color w:val="000000"/>
            <w:u w:val="single" w:color="000000"/>
          </w:rPr>
          <w:t>31</w:t>
        </w:r>
      </w:hyperlink>
      <w:r>
        <w:rPr>
          <w:color w:val="000000"/>
        </w:rPr>
        <w:t xml:space="preserve"> = </w:t>
      </w:r>
      <w:r>
        <w:rPr>
          <w:rStyle w:val="any"/>
          <w:color w:val="000000"/>
        </w:rPr>
        <w:t xml:space="preserve">ZIP 2000, </w:t>
      </w:r>
      <w:hyperlink r:id="rId51" w:history="1">
        <w:r>
          <w:rPr>
            <w:rStyle w:val="bocontentwrapperbocenteranotbeck-btn"/>
            <w:color w:val="000000"/>
            <w:u w:val="single" w:color="000000"/>
          </w:rPr>
          <w:t>2214</w:t>
        </w:r>
      </w:hyperlink>
      <w:r>
        <w:rPr>
          <w:rStyle w:val="any"/>
          <w:color w:val="000000"/>
        </w:rPr>
        <w:t xml:space="preserve"> [</w:t>
      </w:r>
      <w:hyperlink r:id="rId52" w:history="1">
        <w:r>
          <w:rPr>
            <w:rStyle w:val="bocontentwrapperbocenteranotbeck-btn"/>
            <w:color w:val="000000"/>
            <w:u w:val="single" w:color="000000"/>
          </w:rPr>
          <w:t>2215</w:t>
        </w:r>
      </w:hyperlink>
      <w:r>
        <w:rPr>
          <w:color w:val="000000"/>
        </w:rPr>
        <w:t>]). Denn er könnte von sich aus nicht zu einer Verfahrenseröffnung führen.</w:t>
      </w:r>
    </w:p>
    <w:p w14:paraId="23F3F733" w14:textId="77777777" w:rsidR="005D07EE" w:rsidRDefault="00000000">
      <w:pPr>
        <w:pStyle w:val="divbocontentwrapperbocenterpParagraph"/>
        <w:spacing w:after="120" w:line="360" w:lineRule="auto"/>
        <w:ind w:right="150"/>
        <w:rPr>
          <w:color w:val="000000"/>
        </w:rPr>
      </w:pPr>
      <w:r>
        <w:rPr>
          <w:color w:val="000000"/>
        </w:rPr>
        <w:t xml:space="preserve">aa) Erledigungserklärungen des Ast. können im Insolvenzverfahren entsprechend </w:t>
      </w:r>
      <w:r>
        <w:rPr>
          <w:rStyle w:val="any"/>
          <w:color w:val="000000"/>
        </w:rPr>
        <w:t xml:space="preserve">§ </w:t>
      </w:r>
      <w:hyperlink r:id="rId53" w:history="1">
        <w:r>
          <w:rPr>
            <w:rStyle w:val="bocontentwrapperbocenteranotbeck-btn"/>
            <w:color w:val="000000"/>
            <w:u w:val="single" w:color="000000"/>
          </w:rPr>
          <w:t>91a</w:t>
        </w:r>
      </w:hyperlink>
      <w:r>
        <w:rPr>
          <w:rStyle w:val="any"/>
          <w:color w:val="000000"/>
        </w:rPr>
        <w:t xml:space="preserve"> ZPO</w:t>
      </w:r>
      <w:r>
        <w:rPr>
          <w:color w:val="000000"/>
        </w:rPr>
        <w:t xml:space="preserve"> i.V. mit </w:t>
      </w:r>
      <w:r>
        <w:rPr>
          <w:rStyle w:val="any"/>
          <w:color w:val="000000"/>
        </w:rPr>
        <w:t xml:space="preserve">§ </w:t>
      </w:r>
      <w:hyperlink r:id="rId54" w:history="1">
        <w:r>
          <w:rPr>
            <w:rStyle w:val="bocontentwrapperbocenteranotbeck-btn"/>
            <w:color w:val="000000"/>
            <w:u w:val="single" w:color="000000"/>
          </w:rPr>
          <w:t>4</w:t>
        </w:r>
      </w:hyperlink>
      <w:r>
        <w:rPr>
          <w:rStyle w:val="any"/>
          <w:color w:val="000000"/>
        </w:rPr>
        <w:t xml:space="preserve"> InsO</w:t>
      </w:r>
      <w:r>
        <w:rPr>
          <w:color w:val="000000"/>
        </w:rPr>
        <w:t xml:space="preserve"> rechtswirksam sein, gleichgültig ob der Ag. zustimmt oder ob sie einseitig bleiben (vgl. </w:t>
      </w:r>
      <w:r>
        <w:rPr>
          <w:rStyle w:val="emitalicon"/>
          <w:color w:val="000000"/>
        </w:rPr>
        <w:t>OLG Celle</w:t>
      </w:r>
      <w:r>
        <w:rPr>
          <w:color w:val="000000"/>
        </w:rPr>
        <w:t xml:space="preserve">, </w:t>
      </w:r>
      <w:r>
        <w:rPr>
          <w:rStyle w:val="any"/>
          <w:color w:val="000000"/>
        </w:rPr>
        <w:t xml:space="preserve">NZI 2001, </w:t>
      </w:r>
      <w:hyperlink r:id="rId55" w:history="1">
        <w:r>
          <w:rPr>
            <w:rStyle w:val="bocontentwrapperbocenteranotbeck-btn"/>
            <w:color w:val="000000"/>
            <w:u w:val="single" w:color="000000"/>
          </w:rPr>
          <w:t>150</w:t>
        </w:r>
      </w:hyperlink>
      <w:r>
        <w:rPr>
          <w:color w:val="000000"/>
        </w:rPr>
        <w:t xml:space="preserve">; </w:t>
      </w:r>
      <w:r>
        <w:rPr>
          <w:rStyle w:val="emitalicon"/>
          <w:color w:val="000000"/>
        </w:rPr>
        <w:t>OLG Köln</w:t>
      </w:r>
      <w:r>
        <w:rPr>
          <w:color w:val="000000"/>
        </w:rPr>
        <w:t xml:space="preserve">, </w:t>
      </w:r>
      <w:r>
        <w:rPr>
          <w:rStyle w:val="any"/>
          <w:color w:val="000000"/>
        </w:rPr>
        <w:t xml:space="preserve">NZI 2001, </w:t>
      </w:r>
      <w:hyperlink r:id="rId56" w:history="1">
        <w:r>
          <w:rPr>
            <w:rStyle w:val="bocontentwrapperbocenteranotbeck-btn"/>
            <w:color w:val="000000"/>
            <w:u w:val="single" w:color="000000"/>
          </w:rPr>
          <w:t>318</w:t>
        </w:r>
      </w:hyperlink>
      <w:r>
        <w:rPr>
          <w:rStyle w:val="any"/>
          <w:color w:val="000000"/>
        </w:rPr>
        <w:t xml:space="preserve"> [</w:t>
      </w:r>
      <w:hyperlink r:id="rId57" w:history="1">
        <w:r>
          <w:rPr>
            <w:rStyle w:val="bocontentwrapperbocenteranotbeck-btn"/>
            <w:color w:val="000000"/>
            <w:u w:val="single" w:color="000000"/>
          </w:rPr>
          <w:t>319</w:t>
        </w:r>
      </w:hyperlink>
      <w:r>
        <w:rPr>
          <w:color w:val="000000"/>
        </w:rPr>
        <w:t xml:space="preserve">], jew. m.w. Nachw.; a.M. wohl </w:t>
      </w:r>
      <w:r>
        <w:rPr>
          <w:rStyle w:val="emitalicon"/>
          <w:color w:val="000000"/>
        </w:rPr>
        <w:t>Zöller/Vollkommer</w:t>
      </w:r>
      <w:r>
        <w:rPr>
          <w:color w:val="000000"/>
        </w:rPr>
        <w:t xml:space="preserve">, ZPO, 22. Aufl. § 91a Rdnr. 58, Stichw. „Insolvenzverfahren”). Dem steht - entgegen der Ansicht der Revisionsbegründung - nicht </w:t>
      </w:r>
      <w:r>
        <w:rPr>
          <w:rStyle w:val="any"/>
          <w:color w:val="000000"/>
        </w:rPr>
        <w:t xml:space="preserve">§ </w:t>
      </w:r>
      <w:hyperlink r:id="rId58" w:history="1">
        <w:r>
          <w:rPr>
            <w:rStyle w:val="bocontentwrapperbocenteranotbeck-btn"/>
            <w:color w:val="000000"/>
            <w:u w:val="single" w:color="000000"/>
          </w:rPr>
          <w:t>5</w:t>
        </w:r>
      </w:hyperlink>
      <w:r>
        <w:rPr>
          <w:rStyle w:val="any"/>
          <w:color w:val="000000"/>
        </w:rPr>
        <w:t xml:space="preserve"> </w:t>
      </w:r>
      <w:hyperlink r:id="rId59" w:history="1">
        <w:r>
          <w:rPr>
            <w:rStyle w:val="bocontentwrapperbocenteranotbeck-btn"/>
            <w:color w:val="000000"/>
            <w:u w:val="single" w:color="000000"/>
          </w:rPr>
          <w:t>I</w:t>
        </w:r>
      </w:hyperlink>
      <w:r>
        <w:rPr>
          <w:rStyle w:val="any"/>
          <w:color w:val="000000"/>
        </w:rPr>
        <w:t xml:space="preserve"> InsO</w:t>
      </w:r>
      <w:r>
        <w:rPr>
          <w:color w:val="000000"/>
        </w:rPr>
        <w:t xml:space="preserve"> entgegen. Denn nach </w:t>
      </w:r>
      <w:r>
        <w:rPr>
          <w:rStyle w:val="any"/>
          <w:color w:val="000000"/>
        </w:rPr>
        <w:t xml:space="preserve">§ </w:t>
      </w:r>
      <w:hyperlink r:id="rId60" w:history="1">
        <w:r>
          <w:rPr>
            <w:rStyle w:val="bocontentwrapperbocenteranotbeck-btn"/>
            <w:color w:val="000000"/>
            <w:u w:val="single" w:color="000000"/>
          </w:rPr>
          <w:t>13</w:t>
        </w:r>
      </w:hyperlink>
      <w:r>
        <w:rPr>
          <w:rStyle w:val="any"/>
          <w:color w:val="000000"/>
        </w:rPr>
        <w:t xml:space="preserve"> </w:t>
      </w:r>
      <w:hyperlink r:id="rId61" w:history="1">
        <w:r>
          <w:rPr>
            <w:rStyle w:val="bocontentwrapperbocenteranotbeck-btn"/>
            <w:color w:val="000000"/>
            <w:u w:val="single" w:color="000000"/>
          </w:rPr>
          <w:t>I</w:t>
        </w:r>
      </w:hyperlink>
      <w:r>
        <w:rPr>
          <w:rStyle w:val="any"/>
          <w:color w:val="000000"/>
        </w:rPr>
        <w:t xml:space="preserve"> InsO</w:t>
      </w:r>
      <w:r>
        <w:rPr>
          <w:color w:val="000000"/>
        </w:rPr>
        <w:t xml:space="preserve"> setzt die Insolvenzeröffnung einen - zulässigen und aufrechterhaltenen - Antrag voraus; das Eröffnungsverfahren wird - im Gegensatz zu dem eröffneten Verfahren - als Parteienstreit geführt (</w:t>
      </w:r>
      <w:r>
        <w:rPr>
          <w:rStyle w:val="emitalicon"/>
          <w:color w:val="000000"/>
        </w:rPr>
        <w:t>BGH</w:t>
      </w:r>
      <w:r>
        <w:rPr>
          <w:color w:val="000000"/>
        </w:rPr>
        <w:t xml:space="preserve">, </w:t>
      </w:r>
      <w:r>
        <w:rPr>
          <w:rStyle w:val="any"/>
          <w:color w:val="000000"/>
        </w:rPr>
        <w:t xml:space="preserve">NJW 1961, </w:t>
      </w:r>
      <w:hyperlink r:id="rId62" w:history="1">
        <w:r>
          <w:rPr>
            <w:rStyle w:val="bocontentwrapperbocenteranotbeck-btn"/>
            <w:color w:val="000000"/>
            <w:u w:val="single" w:color="000000"/>
          </w:rPr>
          <w:t>2016</w:t>
        </w:r>
      </w:hyperlink>
      <w:r>
        <w:rPr>
          <w:color w:val="000000"/>
        </w:rPr>
        <w:t xml:space="preserve"> = LM § 72 KO Nr. 1). Nur in dem durch diesen Antrag gesteckten Rahmen gilt die gerichtliche Amtsermittlungspflicht.</w:t>
      </w:r>
    </w:p>
    <w:p w14:paraId="615F21C3" w14:textId="77777777" w:rsidR="005D07EE" w:rsidRDefault="00000000">
      <w:pPr>
        <w:pStyle w:val="divbocontentwrapperbocenterpParagraph"/>
        <w:spacing w:after="120" w:line="360" w:lineRule="auto"/>
        <w:ind w:right="150"/>
        <w:rPr>
          <w:color w:val="000000"/>
        </w:rPr>
      </w:pPr>
      <w:r>
        <w:rPr>
          <w:color w:val="000000"/>
        </w:rPr>
        <w:t xml:space="preserve">bb) Die Erledigungserklärung bewirkt im Ergebnis, dass der betroffene Antrag nicht mehr zur Verfahrenseröffnung führen kann. Stimmt der Schuldner der Erledigung zu - darüber haben die Parteien hier nichts vorgetragen -, so ist damit das Eröffnungsbegehren bis auf den Kostenpunkt nicht mehr anhängig. Stimmt andererseits der Schuldner nicht zu, tritt zwar eine Bindungswirkung erst mit der gerichtlichen Entscheidung über den durch die Erledigungserklärung geänderten Eröffnungsantrag ein; darüber ist hier ebenfalls nichts dargetan. Jedoch ist ein für erledigt erklärter Antrag fortan nur noch auf den Ausspruch gerichtet, dass sich das frühere Eröffnungsbegehren durch ein nachträglich eingetretenes Ereignis erledigt habe. Eine Insolvenzeröffnung ermöglicht auch ein solcher Antrag, solange </w:t>
      </w:r>
      <w:r>
        <w:rPr>
          <w:color w:val="000000"/>
        </w:rPr>
        <w:lastRenderedPageBreak/>
        <w:t xml:space="preserve">er aufrechterhalten wird (vgl. dazu </w:t>
      </w:r>
      <w:r>
        <w:rPr>
          <w:rStyle w:val="emitalicon"/>
          <w:color w:val="000000"/>
        </w:rPr>
        <w:t>BGH</w:t>
      </w:r>
      <w:r>
        <w:rPr>
          <w:color w:val="000000"/>
        </w:rPr>
        <w:t xml:space="preserve">, </w:t>
      </w:r>
      <w:r>
        <w:rPr>
          <w:rStyle w:val="any"/>
          <w:color w:val="000000"/>
        </w:rPr>
        <w:t xml:space="preserve">NJW 2002, </w:t>
      </w:r>
      <w:hyperlink r:id="rId63" w:history="1">
        <w:r>
          <w:rPr>
            <w:rStyle w:val="bocontentwrapperbocenteranotbeck-btn"/>
            <w:color w:val="000000"/>
            <w:u w:val="single" w:color="000000"/>
          </w:rPr>
          <w:t>442</w:t>
        </w:r>
      </w:hyperlink>
      <w:r>
        <w:rPr>
          <w:color w:val="000000"/>
        </w:rPr>
        <w:t>), nicht. Daran ist das Insolvenzgericht gebunden.</w:t>
      </w:r>
    </w:p>
    <w:p w14:paraId="199F2590" w14:textId="77777777" w:rsidR="005D07EE" w:rsidRDefault="00000000">
      <w:pPr>
        <w:pStyle w:val="divbocontentwrapperbocenterpParagraph"/>
        <w:spacing w:after="120" w:line="360" w:lineRule="auto"/>
        <w:ind w:right="150"/>
        <w:rPr>
          <w:color w:val="000000"/>
        </w:rPr>
      </w:pPr>
      <w:r>
        <w:rPr>
          <w:color w:val="000000"/>
        </w:rPr>
        <w:t>cc) Demgegenüber greift die Erwägung der Revisionsbegründung nicht durch, dass der Gläubiger und der Schuldner mit einer gemeinsamen Erledigungserklärung den Anwendungsbereich der Anfechtungsvorschriften zu Lasten der übrigen Insolvenzgläubiger steuern könnten, wenn der für erledigt erklärte Antrag für die Frage der Anfechtung bedeutungslos wäre. Abgesehen davon, dass ein solches Ergebnis zweifelsfrei durch eine einseitig zulässige (</w:t>
      </w:r>
      <w:r>
        <w:rPr>
          <w:rStyle w:val="any"/>
          <w:color w:val="000000"/>
        </w:rPr>
        <w:t xml:space="preserve">§ </w:t>
      </w:r>
      <w:hyperlink r:id="rId64" w:history="1">
        <w:r>
          <w:rPr>
            <w:rStyle w:val="bocontentwrapperbocenteranotbeck-btn"/>
            <w:color w:val="000000"/>
            <w:u w:val="single" w:color="000000"/>
          </w:rPr>
          <w:t>13</w:t>
        </w:r>
      </w:hyperlink>
      <w:r>
        <w:rPr>
          <w:rStyle w:val="any"/>
          <w:color w:val="000000"/>
        </w:rPr>
        <w:t xml:space="preserve"> </w:t>
      </w:r>
      <w:hyperlink r:id="rId65" w:history="1">
        <w:r>
          <w:rPr>
            <w:rStyle w:val="bocontentwrapperbocenteranotbeck-btn"/>
            <w:color w:val="000000"/>
            <w:u w:val="single" w:color="000000"/>
          </w:rPr>
          <w:t>II</w:t>
        </w:r>
      </w:hyperlink>
      <w:r>
        <w:rPr>
          <w:rStyle w:val="any"/>
          <w:color w:val="000000"/>
        </w:rPr>
        <w:t xml:space="preserve"> InsO</w:t>
      </w:r>
      <w:r>
        <w:rPr>
          <w:color w:val="000000"/>
        </w:rPr>
        <w:t xml:space="preserve">) Rücknahme des Insolvenzantrags des Gläubigers - möglicherweise unter Kostenerstattungsvereinbarung mit dem Schuldner - erreicht werden könnte, rechtfertigen allgemeine Missbrauchsmöglichkeiten es nicht, eindeutige gesetzliche Regeln generell zu erweitern. Falls derartige Absprachen in Einzelfällen festzustellen wären, könnte ihnen auch auf der Grundlage des </w:t>
      </w:r>
      <w:r>
        <w:rPr>
          <w:rStyle w:val="any"/>
          <w:color w:val="000000"/>
        </w:rPr>
        <w:t xml:space="preserve">§ </w:t>
      </w:r>
      <w:hyperlink r:id="rId66" w:history="1">
        <w:r>
          <w:rPr>
            <w:rStyle w:val="bocontentwrapperbocenteranotbeck-btn"/>
            <w:color w:val="000000"/>
            <w:u w:val="single" w:color="000000"/>
          </w:rPr>
          <w:t>130</w:t>
        </w:r>
      </w:hyperlink>
      <w:r>
        <w:rPr>
          <w:rStyle w:val="any"/>
          <w:color w:val="000000"/>
        </w:rPr>
        <w:t xml:space="preserve"> </w:t>
      </w:r>
      <w:hyperlink r:id="rId67" w:history="1">
        <w:r>
          <w:rPr>
            <w:rStyle w:val="bocontentwrapperbocenteranotbeck-btn"/>
            <w:color w:val="000000"/>
            <w:u w:val="single" w:color="000000"/>
          </w:rPr>
          <w:t>I</w:t>
        </w:r>
      </w:hyperlink>
      <w:r>
        <w:rPr>
          <w:rStyle w:val="any"/>
          <w:color w:val="000000"/>
        </w:rPr>
        <w:t xml:space="preserve"> Nr. 1 InsO</w:t>
      </w:r>
      <w:r>
        <w:rPr>
          <w:color w:val="000000"/>
        </w:rPr>
        <w:t xml:space="preserve">, des </w:t>
      </w:r>
      <w:r>
        <w:rPr>
          <w:rStyle w:val="any"/>
          <w:color w:val="000000"/>
        </w:rPr>
        <w:t xml:space="preserve">§ </w:t>
      </w:r>
      <w:hyperlink r:id="rId68" w:history="1">
        <w:r>
          <w:rPr>
            <w:rStyle w:val="bocontentwrapperbocenteranotbeck-btn"/>
            <w:color w:val="000000"/>
            <w:u w:val="single" w:color="000000"/>
          </w:rPr>
          <w:t>133</w:t>
        </w:r>
      </w:hyperlink>
      <w:r>
        <w:rPr>
          <w:rStyle w:val="any"/>
          <w:color w:val="000000"/>
        </w:rPr>
        <w:t xml:space="preserve"> InsO</w:t>
      </w:r>
      <w:r>
        <w:rPr>
          <w:color w:val="000000"/>
        </w:rPr>
        <w:t xml:space="preserve"> oder des </w:t>
      </w:r>
      <w:r>
        <w:rPr>
          <w:rStyle w:val="any"/>
          <w:color w:val="000000"/>
        </w:rPr>
        <w:t xml:space="preserve">§ </w:t>
      </w:r>
      <w:hyperlink r:id="rId69" w:history="1">
        <w:r>
          <w:rPr>
            <w:rStyle w:val="bocontentwrapperbocenteranotbeck-btn"/>
            <w:color w:val="000000"/>
            <w:u w:val="single" w:color="000000"/>
          </w:rPr>
          <w:t>826</w:t>
        </w:r>
      </w:hyperlink>
      <w:r>
        <w:rPr>
          <w:rStyle w:val="any"/>
          <w:color w:val="000000"/>
        </w:rPr>
        <w:t xml:space="preserve"> BGB</w:t>
      </w:r>
      <w:r>
        <w:rPr>
          <w:color w:val="000000"/>
        </w:rPr>
        <w:t xml:space="preserve"> begegnet werden.</w:t>
      </w:r>
    </w:p>
    <w:p w14:paraId="0970B220" w14:textId="77777777" w:rsidR="005D07EE" w:rsidRDefault="00000000">
      <w:pPr>
        <w:pStyle w:val="divbocontentwrapperbocenterpParagraph"/>
        <w:spacing w:after="120" w:line="360" w:lineRule="auto"/>
        <w:ind w:right="150"/>
        <w:rPr>
          <w:color w:val="000000"/>
        </w:rPr>
      </w:pPr>
      <w:r>
        <w:rPr>
          <w:rStyle w:val="emsmall"/>
          <w:color w:val="000000"/>
          <w:sz w:val="22"/>
          <w:szCs w:val="22"/>
        </w:rPr>
        <w:t>dd) Danach braucht nicht entschieden zu werden, unter welchen Umständen die nachträgliche Erfüllung der Forderung des einzigen Ast. dessen Eröffnungsantrag unzulässig oder unbegründet macht und somit eine Eröffnungsentscheidung auch ohne Erledigungserklärung ausschließt, wenn alsbald neue Forderungen fällig werden.</w:t>
      </w:r>
    </w:p>
    <w:p w14:paraId="436E1A91" w14:textId="77777777" w:rsidR="005D07EE" w:rsidRDefault="00000000">
      <w:pPr>
        <w:pStyle w:val="divbocontentwrapperbocenterpParagraph"/>
        <w:spacing w:after="120" w:line="360" w:lineRule="auto"/>
        <w:ind w:right="150"/>
        <w:rPr>
          <w:color w:val="000000"/>
        </w:rPr>
      </w:pPr>
      <w:r>
        <w:rPr>
          <w:rStyle w:val="emitalicon"/>
          <w:color w:val="000000"/>
        </w:rPr>
        <w:t>II. Anfechtung wegen Zahlungsunfähigkeit</w:t>
      </w:r>
    </w:p>
    <w:p w14:paraId="71FDF534" w14:textId="77777777" w:rsidR="005D07EE" w:rsidRDefault="00000000">
      <w:pPr>
        <w:pStyle w:val="divbocontentwrapperbocenterpParagraph"/>
        <w:spacing w:after="120" w:line="360" w:lineRule="auto"/>
        <w:ind w:right="150"/>
        <w:rPr>
          <w:color w:val="000000"/>
        </w:rPr>
      </w:pPr>
      <w:r>
        <w:rPr>
          <w:color w:val="000000"/>
        </w:rPr>
        <w:t xml:space="preserve">1. Das BerGer. hat weiter ausgeführt: </w:t>
      </w:r>
      <w:r>
        <w:rPr>
          <w:rStyle w:val="any"/>
          <w:color w:val="000000"/>
        </w:rPr>
        <w:t xml:space="preserve">§ </w:t>
      </w:r>
      <w:hyperlink r:id="rId70" w:history="1">
        <w:r>
          <w:rPr>
            <w:rStyle w:val="bocontentwrapperbocenteranotbeck-btn"/>
            <w:color w:val="000000"/>
            <w:u w:val="single" w:color="000000"/>
          </w:rPr>
          <w:t>130</w:t>
        </w:r>
      </w:hyperlink>
      <w:r>
        <w:rPr>
          <w:rStyle w:val="any"/>
          <w:color w:val="000000"/>
        </w:rPr>
        <w:t xml:space="preserve"> </w:t>
      </w:r>
      <w:hyperlink r:id="rId71" w:history="1">
        <w:r>
          <w:rPr>
            <w:rStyle w:val="bocontentwrapperbocenteranotbeck-btn"/>
            <w:color w:val="000000"/>
            <w:u w:val="single" w:color="000000"/>
          </w:rPr>
          <w:t>I</w:t>
        </w:r>
      </w:hyperlink>
      <w:r>
        <w:rPr>
          <w:rStyle w:val="any"/>
          <w:color w:val="000000"/>
        </w:rPr>
        <w:t xml:space="preserve"> Nr. 1 InsO</w:t>
      </w:r>
      <w:r>
        <w:rPr>
          <w:color w:val="000000"/>
        </w:rPr>
        <w:t xml:space="preserve"> scheide als Anfechtungsgrundlage aus. Zwar hätten die beiden Scheckzahlungen in den letzten drei Monaten vor dem Eröffnungsantrag vom 9. 11. 1999 die Insolvenzgläubiger benachteiligt. Im Zeitpunkt der Scheckhingabe sei der Schuldner auch zahlungsunfähig gewesen. Denn dem Finanzamt und anderen öffentlich-rechtlichen Krankenkassen hätte er zu dieser Zeit ebenfalls mehr als 35000 DM geschuldet. Die Bekl. habe aber diese Zahlungsunfähigkeit nicht gekannt. Sie habe nur von ihrer eigenen Forderung in Höhe von rund 20000 DM gewusst und deshalb davon ausgehen können, mit deren Tilgung sei die Zahlungsunfähigkeit beseitigt. Auf Grund des </w:t>
      </w:r>
      <w:r>
        <w:rPr>
          <w:rStyle w:val="any"/>
          <w:color w:val="000000"/>
        </w:rPr>
        <w:t xml:space="preserve">§ </w:t>
      </w:r>
      <w:hyperlink r:id="rId72" w:history="1">
        <w:r>
          <w:rPr>
            <w:rStyle w:val="bocontentwrapperbocenteranotbeck-btn"/>
            <w:color w:val="000000"/>
            <w:u w:val="single" w:color="000000"/>
          </w:rPr>
          <w:t>130</w:t>
        </w:r>
      </w:hyperlink>
      <w:r>
        <w:rPr>
          <w:rStyle w:val="any"/>
          <w:color w:val="000000"/>
        </w:rPr>
        <w:t xml:space="preserve"> </w:t>
      </w:r>
      <w:hyperlink r:id="rId73" w:history="1">
        <w:r>
          <w:rPr>
            <w:rStyle w:val="bocontentwrapperbocenteranotbeck-btn"/>
            <w:color w:val="000000"/>
            <w:u w:val="single" w:color="000000"/>
          </w:rPr>
          <w:t>II</w:t>
        </w:r>
      </w:hyperlink>
      <w:r>
        <w:rPr>
          <w:rStyle w:val="any"/>
          <w:color w:val="000000"/>
        </w:rPr>
        <w:t xml:space="preserve"> InsO</w:t>
      </w:r>
      <w:r>
        <w:rPr>
          <w:color w:val="000000"/>
        </w:rPr>
        <w:t xml:space="preserve"> schade allenfalls eine grob fahrlässige Unkenntnis der Zahlungsunfähigkeit. Davon sei hier ebenfalls nicht auszugehen. Der Erfahrungssatz, dass Schuldner in der Krise wegen der Strafandrohung Sozialversicherungsträger vorrangig bedienten, besage nicht, dass ein Schuldner, der mit Beiträgen bei einem Sozialversicherungsträger einige Monate in Rückstand komme, zwangsläufig seine übrigen Gläubiger nicht befriedige, solange er nicht die rückständigen Beiträge ausgeglichen habe. Zwar habe die Bekl. den Schuldner mit Schreiben vom 14. 10. 1999 auch zur schriftlichen Bestätigung aufgefordert, dass ein Insolvenzgrund nicht vorliege, sondern lediglich vorübergehende Zahlungsstockungen eingetreten seien. Wenn die Bekl. danach möglicherweise letzte Zweifel an der Zahlungsfähigkeit des Schuldners nicht verloren gehabt habe, reiche das für eine Anwendung des </w:t>
      </w:r>
      <w:r>
        <w:rPr>
          <w:rStyle w:val="any"/>
          <w:color w:val="000000"/>
        </w:rPr>
        <w:t xml:space="preserve">§ </w:t>
      </w:r>
      <w:hyperlink r:id="rId74" w:history="1">
        <w:r>
          <w:rPr>
            <w:rStyle w:val="bocontentwrapperbocenteranotbeck-btn"/>
            <w:color w:val="000000"/>
            <w:u w:val="single" w:color="000000"/>
          </w:rPr>
          <w:t>130</w:t>
        </w:r>
      </w:hyperlink>
      <w:r>
        <w:rPr>
          <w:rStyle w:val="any"/>
          <w:color w:val="000000"/>
        </w:rPr>
        <w:t xml:space="preserve"> </w:t>
      </w:r>
      <w:hyperlink r:id="rId75" w:history="1">
        <w:r>
          <w:rPr>
            <w:rStyle w:val="bocontentwrapperbocenteranotbeck-btn"/>
            <w:color w:val="000000"/>
            <w:u w:val="single" w:color="000000"/>
          </w:rPr>
          <w:t>II</w:t>
        </w:r>
      </w:hyperlink>
      <w:r>
        <w:rPr>
          <w:rStyle w:val="any"/>
          <w:color w:val="000000"/>
        </w:rPr>
        <w:t xml:space="preserve"> InsO</w:t>
      </w:r>
      <w:r>
        <w:rPr>
          <w:color w:val="000000"/>
        </w:rPr>
        <w:t xml:space="preserve"> nicht aus.</w:t>
      </w:r>
    </w:p>
    <w:p w14:paraId="36B4C580" w14:textId="77777777" w:rsidR="005D07EE" w:rsidRDefault="00000000">
      <w:pPr>
        <w:pStyle w:val="divbocontentwrapperbocenterpParagraph"/>
        <w:spacing w:after="120" w:line="360" w:lineRule="auto"/>
        <w:ind w:right="150"/>
        <w:rPr>
          <w:color w:val="000000"/>
        </w:rPr>
      </w:pPr>
      <w:r>
        <w:rPr>
          <w:color w:val="000000"/>
        </w:rPr>
        <w:lastRenderedPageBreak/>
        <w:t>2. Demgegenüber rügt die Revision: Die von der Bekl. erlangte Deckung sei sogar inkongruent, weil sie auf Grund eines Insolvenzantrags erreicht worden sei, der trotz objektiv bestehender Krise des Schuldners nicht zu der die Gläubigergleichbehandlung gewährleistenden Eröffnung des Insolvenzverfahrens geführt habe.</w:t>
      </w:r>
    </w:p>
    <w:p w14:paraId="500991D8" w14:textId="77777777" w:rsidR="005D07EE" w:rsidRDefault="00000000">
      <w:pPr>
        <w:pStyle w:val="divbocontentwrapperbocenterpParagraph"/>
        <w:spacing w:after="120" w:line="360" w:lineRule="auto"/>
        <w:ind w:right="150"/>
        <w:rPr>
          <w:color w:val="000000"/>
        </w:rPr>
      </w:pPr>
      <w:r>
        <w:rPr>
          <w:color w:val="000000"/>
        </w:rPr>
        <w:t xml:space="preserve">Im Übrigen wäre es lebensfremd, wenn der Gläubiger, der durch die Stellung des Insolvenzantrags besonderen Druck auf den Schuldner ausgeübt hat, der Anwendung der Anfechtungsbestimmungen mit der bloßen Behauptung entgehen könnte, er sei davon ausgegangen, dass der Schuldner seine gesamten fälligen Verbindlichkeiten habe befriedigen können, weil er die Forderungen befriedigt habe, die zur Stellung des Insolvenzantrags geführt hätten. Dass die Bekl. ernsthaft mit der Möglichkeit des Fortbestands der Zahlungsunfähigkeit des Schuldners gerechnet habe, zeige ihre Aufforderung vom 14. 10. 1999 an den Schuldner, seine Zahlungsfähigkeit schriftlich zu bestätigen. Hätte die Bekl. - was nahe gelegen hätte - den unmittelbar bevorstehenden 15. 10. 1999 abgewartet und hätte der Schuldner die zu diesem Zeitpunkt fälligen Sozialversicherungsbeiträge für September 1999 wiederum nicht beglichen, so hätte die Bekl. ihren Insolvenzantrag mit der Folge aufrechterhalten müssen, dass die beiden fraglichen Scheckzahlungen anfechtbar gewesen wären. Im Übrigen habe die Bekl. bei einem Schuldner, der trotz der Strafdrohung des </w:t>
      </w:r>
      <w:r>
        <w:rPr>
          <w:rStyle w:val="any"/>
          <w:color w:val="000000"/>
        </w:rPr>
        <w:t xml:space="preserve">§ </w:t>
      </w:r>
      <w:hyperlink r:id="rId76" w:history="1">
        <w:r>
          <w:rPr>
            <w:rStyle w:val="bocontentwrapperbocenteranotbeck-btn"/>
            <w:color w:val="000000"/>
            <w:u w:val="single" w:color="000000"/>
          </w:rPr>
          <w:t>266a</w:t>
        </w:r>
      </w:hyperlink>
      <w:r>
        <w:rPr>
          <w:rStyle w:val="any"/>
          <w:color w:val="000000"/>
        </w:rPr>
        <w:t xml:space="preserve"> StGB</w:t>
      </w:r>
      <w:r>
        <w:rPr>
          <w:color w:val="000000"/>
        </w:rPr>
        <w:t xml:space="preserve"> monatelang mit Beitragszahlungen in Rückstand geraten sei, nicht davon ausgehen können, der Schuldner sei zur Befriedigung anderer Gläubiger imstande gewesen.</w:t>
      </w:r>
    </w:p>
    <w:p w14:paraId="1A2CFD36" w14:textId="77777777" w:rsidR="005D07EE" w:rsidRDefault="00000000">
      <w:pPr>
        <w:pStyle w:val="divbocontentwrapperbocenterpParagraph"/>
        <w:spacing w:after="120" w:line="360" w:lineRule="auto"/>
        <w:ind w:right="150"/>
        <w:rPr>
          <w:color w:val="000000"/>
        </w:rPr>
      </w:pPr>
      <w:r>
        <w:rPr>
          <w:color w:val="000000"/>
        </w:rPr>
        <w:t xml:space="preserve">3. In objektiver Hinsicht macht sich damit die Revision die Feststellung des BerGer. zu eigen, dass der Schuldner im Zeitpunkt der beiden angefochtenen Scheckbegebungen objektiv zahlungsunfähig war. Hierbei hat es auf aufgeschlüsselte Forderungsaufstellungen des Finanzamts L., der </w:t>
      </w:r>
      <w:r>
        <w:rPr>
          <w:rStyle w:val="emitalicon"/>
          <w:color w:val="000000"/>
        </w:rPr>
        <w:t>B</w:t>
      </w:r>
      <w:r>
        <w:rPr>
          <w:color w:val="000000"/>
        </w:rPr>
        <w:t xml:space="preserve">-Ersatzkasse und der </w:t>
      </w:r>
      <w:r>
        <w:rPr>
          <w:rStyle w:val="emitalicon"/>
          <w:color w:val="000000"/>
        </w:rPr>
        <w:t>A</w:t>
      </w:r>
      <w:r>
        <w:rPr>
          <w:color w:val="000000"/>
        </w:rPr>
        <w:t>-Sachsen Bezug genommen. Soweit die Bekl. diese Aufstellungen pauschal „mit Nichtwissen” bestritten hatte, hat das BerGer. ein solches Bestreiten für unerheblich gehalten.</w:t>
      </w:r>
    </w:p>
    <w:p w14:paraId="4AFAD01E" w14:textId="77777777" w:rsidR="005D07EE" w:rsidRDefault="00000000">
      <w:pPr>
        <w:pStyle w:val="divbocontentwrapperbocenterpParagraph"/>
        <w:spacing w:after="120" w:line="360" w:lineRule="auto"/>
        <w:ind w:right="150"/>
        <w:rPr>
          <w:color w:val="000000"/>
        </w:rPr>
      </w:pPr>
      <w:r>
        <w:rPr>
          <w:color w:val="000000"/>
        </w:rPr>
        <w:t xml:space="preserve">Gegen die Ausführung des BerGer., dass aus der Nichterfüllung so festgestellter Forderungen objektiv eine Zahlungsunfähigkeit i.S. von </w:t>
      </w:r>
      <w:r>
        <w:rPr>
          <w:rStyle w:val="any"/>
          <w:color w:val="000000"/>
        </w:rPr>
        <w:t xml:space="preserve">§ </w:t>
      </w:r>
      <w:hyperlink r:id="rId77" w:history="1">
        <w:r>
          <w:rPr>
            <w:rStyle w:val="bocontentwrapperbocenteranotbeck-btn"/>
            <w:color w:val="000000"/>
            <w:u w:val="single" w:color="000000"/>
          </w:rPr>
          <w:t>130</w:t>
        </w:r>
      </w:hyperlink>
      <w:r>
        <w:rPr>
          <w:rStyle w:val="any"/>
          <w:color w:val="000000"/>
        </w:rPr>
        <w:t xml:space="preserve"> </w:t>
      </w:r>
      <w:hyperlink r:id="rId78" w:history="1">
        <w:r>
          <w:rPr>
            <w:rStyle w:val="bocontentwrapperbocenteranotbeck-btn"/>
            <w:color w:val="000000"/>
            <w:u w:val="single" w:color="000000"/>
          </w:rPr>
          <w:t>I</w:t>
        </w:r>
      </w:hyperlink>
      <w:r>
        <w:rPr>
          <w:rStyle w:val="any"/>
          <w:color w:val="000000"/>
        </w:rPr>
        <w:t xml:space="preserve"> Nr. 1 i.V. mit § </w:t>
      </w:r>
      <w:hyperlink r:id="rId79" w:history="1">
        <w:r>
          <w:rPr>
            <w:rStyle w:val="bocontentwrapperbocenteranotbeck-btn"/>
            <w:color w:val="000000"/>
            <w:u w:val="single" w:color="000000"/>
          </w:rPr>
          <w:t>17</w:t>
        </w:r>
      </w:hyperlink>
      <w:r>
        <w:rPr>
          <w:rStyle w:val="any"/>
          <w:color w:val="000000"/>
        </w:rPr>
        <w:t xml:space="preserve"> </w:t>
      </w:r>
      <w:hyperlink r:id="rId80" w:history="1">
        <w:r>
          <w:rPr>
            <w:rStyle w:val="bocontentwrapperbocenteranotbeck-btn"/>
            <w:color w:val="000000"/>
            <w:u w:val="single" w:color="000000"/>
          </w:rPr>
          <w:t>II</w:t>
        </w:r>
      </w:hyperlink>
      <w:r>
        <w:rPr>
          <w:rStyle w:val="any"/>
          <w:color w:val="000000"/>
        </w:rPr>
        <w:t xml:space="preserve"> InsO</w:t>
      </w:r>
      <w:r>
        <w:rPr>
          <w:color w:val="000000"/>
        </w:rPr>
        <w:t xml:space="preserve"> abzuleiten wäre, bestehen aus rechtlicher Sicht keine Bedenken. Bei seiner Wertung ist das BerGer. ersichtlich von </w:t>
      </w:r>
      <w:r>
        <w:rPr>
          <w:rStyle w:val="any"/>
          <w:color w:val="000000"/>
        </w:rPr>
        <w:t xml:space="preserve">§ </w:t>
      </w:r>
      <w:hyperlink r:id="rId81" w:history="1">
        <w:r>
          <w:rPr>
            <w:rStyle w:val="bocontentwrapperbocenteranotbeck-btn"/>
            <w:color w:val="000000"/>
            <w:u w:val="single" w:color="000000"/>
          </w:rPr>
          <w:t>17</w:t>
        </w:r>
      </w:hyperlink>
      <w:r>
        <w:rPr>
          <w:rStyle w:val="any"/>
          <w:color w:val="000000"/>
        </w:rPr>
        <w:t xml:space="preserve"> </w:t>
      </w:r>
      <w:hyperlink r:id="rId82" w:history="1">
        <w:r>
          <w:rPr>
            <w:rStyle w:val="bocontentwrapperbocenteranotbeck-btn"/>
            <w:color w:val="000000"/>
            <w:u w:val="single" w:color="000000"/>
          </w:rPr>
          <w:t>II</w:t>
        </w:r>
      </w:hyperlink>
      <w:r>
        <w:rPr>
          <w:rStyle w:val="any"/>
          <w:color w:val="000000"/>
        </w:rPr>
        <w:t xml:space="preserve"> 2 InsO</w:t>
      </w:r>
      <w:r>
        <w:rPr>
          <w:color w:val="000000"/>
        </w:rPr>
        <w:t xml:space="preserve"> ausgegangen, demzufolge Zahlungsunfähigkeit in der Regel anzunehmen ist, wenn der Schuldner seine Zahlungen eingestellt hat. Diese Vermutung gilt auch im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5D07EE" w14:paraId="0B0AABE8" w14:textId="77777777">
        <w:tc>
          <w:tcPr>
            <w:tcW w:w="4000" w:type="pct"/>
            <w:shd w:val="clear" w:color="auto" w:fill="F0F0F0"/>
            <w:tcMar>
              <w:top w:w="0" w:type="dxa"/>
              <w:left w:w="0" w:type="dxa"/>
              <w:bottom w:w="0" w:type="dxa"/>
              <w:right w:w="0" w:type="dxa"/>
            </w:tcMar>
            <w:vAlign w:val="center"/>
            <w:hideMark/>
          </w:tcPr>
          <w:p w14:paraId="130EDE07" w14:textId="77777777" w:rsidR="005D07EE"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 Insolvenzanfechtung bei Erledigung des Eröffnungsantrags</w:t>
            </w:r>
            <w:r>
              <w:rPr>
                <w:rStyle w:val="citation"/>
                <w:color w:val="000000"/>
              </w:rPr>
              <w:t>(NJW 2002, 515)</w:t>
            </w:r>
          </w:p>
        </w:tc>
        <w:tc>
          <w:tcPr>
            <w:tcW w:w="1000" w:type="pct"/>
            <w:shd w:val="clear" w:color="auto" w:fill="F0F0F0"/>
            <w:tcMar>
              <w:top w:w="0" w:type="dxa"/>
              <w:left w:w="0" w:type="dxa"/>
              <w:bottom w:w="0" w:type="dxa"/>
              <w:right w:w="0" w:type="dxa"/>
            </w:tcMar>
            <w:vAlign w:val="center"/>
            <w:hideMark/>
          </w:tcPr>
          <w:p w14:paraId="3C685ED3" w14:textId="77777777" w:rsidR="005D07E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517</w:t>
            </w:r>
          </w:p>
        </w:tc>
      </w:tr>
    </w:tbl>
    <w:p w14:paraId="3371A24C" w14:textId="77777777" w:rsidR="005D07EE" w:rsidRDefault="00000000">
      <w:pPr>
        <w:pStyle w:val="divbocontentwrapperbocenterpParagraph"/>
        <w:spacing w:after="120" w:line="360" w:lineRule="auto"/>
        <w:ind w:right="150"/>
        <w:rPr>
          <w:color w:val="000000"/>
        </w:rPr>
      </w:pPr>
      <w:r>
        <w:rPr>
          <w:color w:val="000000"/>
        </w:rPr>
        <w:t xml:space="preserve">Rahmen des </w:t>
      </w:r>
      <w:r>
        <w:rPr>
          <w:rStyle w:val="any"/>
          <w:color w:val="000000"/>
        </w:rPr>
        <w:t xml:space="preserve">§ </w:t>
      </w:r>
      <w:hyperlink r:id="rId83" w:history="1">
        <w:r>
          <w:rPr>
            <w:rStyle w:val="bocontentwrapperbocenteranotbeck-btn"/>
            <w:color w:val="000000"/>
            <w:u w:val="single" w:color="000000"/>
          </w:rPr>
          <w:t>130</w:t>
        </w:r>
      </w:hyperlink>
      <w:r>
        <w:rPr>
          <w:rStyle w:val="any"/>
          <w:color w:val="000000"/>
        </w:rPr>
        <w:t xml:space="preserve"> </w:t>
      </w:r>
      <w:hyperlink r:id="rId84" w:history="1">
        <w:r>
          <w:rPr>
            <w:rStyle w:val="bocontentwrapperbocenteranotbeck-btn"/>
            <w:color w:val="000000"/>
            <w:u w:val="single" w:color="000000"/>
          </w:rPr>
          <w:t>I</w:t>
        </w:r>
      </w:hyperlink>
      <w:r>
        <w:rPr>
          <w:rStyle w:val="any"/>
          <w:color w:val="000000"/>
        </w:rPr>
        <w:t xml:space="preserve"> Nr. 1 InsO</w:t>
      </w:r>
      <w:r>
        <w:rPr>
          <w:color w:val="000000"/>
        </w:rPr>
        <w:t xml:space="preserve"> (</w:t>
      </w:r>
      <w:r>
        <w:rPr>
          <w:rStyle w:val="emitalicon"/>
          <w:color w:val="000000"/>
        </w:rPr>
        <w:t>Kreft</w:t>
      </w:r>
      <w:r>
        <w:rPr>
          <w:color w:val="000000"/>
        </w:rPr>
        <w:t xml:space="preserve">, in: Heidelberger Komm. z. InsO, 2. Aufl., § 130 Rdnr. 13). Zahlungseinstellung ist dasjenige nach außen hervortretende Verhalten des Schuldners, in dem sich typischerweise ausdrückt, dass er nicht in der Lage ist, seine </w:t>
      </w:r>
      <w:r>
        <w:rPr>
          <w:color w:val="000000"/>
        </w:rPr>
        <w:lastRenderedPageBreak/>
        <w:t xml:space="preserve">fälligen Zahlungspflichten zu erfüllen. Die Nichtzahlung gegenüber einem einzigen Gläubiger kann ausreichen, wenn dessen Forderung von insgesamt nicht unerheblicher Höhe ist (vgl. </w:t>
      </w:r>
      <w:r>
        <w:rPr>
          <w:rStyle w:val="emitalicon"/>
          <w:color w:val="000000"/>
        </w:rPr>
        <w:t>BGH</w:t>
      </w:r>
      <w:r>
        <w:rPr>
          <w:color w:val="000000"/>
        </w:rPr>
        <w:t xml:space="preserve">, </w:t>
      </w:r>
      <w:r>
        <w:rPr>
          <w:rStyle w:val="any"/>
          <w:color w:val="000000"/>
        </w:rPr>
        <w:t xml:space="preserve">NJW 1995, </w:t>
      </w:r>
      <w:hyperlink r:id="rId85" w:history="1">
        <w:r>
          <w:rPr>
            <w:rStyle w:val="bocontentwrapperbocenteranotbeck-btn"/>
            <w:color w:val="000000"/>
            <w:u w:val="single" w:color="000000"/>
          </w:rPr>
          <w:t>2103</w:t>
        </w:r>
      </w:hyperlink>
      <w:r>
        <w:rPr>
          <w:color w:val="000000"/>
        </w:rPr>
        <w:t xml:space="preserve"> = LM H. 9/1995 § 30 KO Nr. 58 = </w:t>
      </w:r>
      <w:r>
        <w:rPr>
          <w:rStyle w:val="any"/>
          <w:color w:val="000000"/>
        </w:rPr>
        <w:t xml:space="preserve">ZIP 1995, </w:t>
      </w:r>
      <w:hyperlink r:id="rId86" w:history="1">
        <w:r>
          <w:rPr>
            <w:rStyle w:val="bocontentwrapperbocenteranotbeck-btn"/>
            <w:color w:val="000000"/>
            <w:u w:val="single" w:color="000000"/>
          </w:rPr>
          <w:t>929</w:t>
        </w:r>
      </w:hyperlink>
      <w:r>
        <w:rPr>
          <w:rStyle w:val="any"/>
          <w:color w:val="000000"/>
        </w:rPr>
        <w:t xml:space="preserve"> [</w:t>
      </w:r>
      <w:hyperlink r:id="rId87" w:history="1">
        <w:r>
          <w:rPr>
            <w:rStyle w:val="bocontentwrapperbocenteranotbeck-btn"/>
            <w:color w:val="000000"/>
            <w:u w:val="single" w:color="000000"/>
          </w:rPr>
          <w:t>930</w:t>
        </w:r>
      </w:hyperlink>
      <w:r>
        <w:rPr>
          <w:color w:val="000000"/>
        </w:rPr>
        <w:t>]). Daran gemessen, ist die Feststellung des BerGer. revisionsrechtlich nicht zu beanstanden.</w:t>
      </w:r>
    </w:p>
    <w:p w14:paraId="296C0E3C" w14:textId="77777777" w:rsidR="005D07EE" w:rsidRDefault="00000000">
      <w:pPr>
        <w:pStyle w:val="divbocontentwrapperbocenterpParagraph"/>
        <w:spacing w:after="120" w:line="360" w:lineRule="auto"/>
        <w:ind w:right="150"/>
        <w:rPr>
          <w:color w:val="000000"/>
        </w:rPr>
      </w:pPr>
      <w:r>
        <w:rPr>
          <w:color w:val="000000"/>
        </w:rPr>
        <w:t xml:space="preserve">4. Die Begründung, mit der das BerGer. die Kenntnis der Bekl. von einer Zahlungsunfähigkeit i.S. des </w:t>
      </w:r>
      <w:r>
        <w:rPr>
          <w:rStyle w:val="any"/>
          <w:color w:val="000000"/>
        </w:rPr>
        <w:t xml:space="preserve">§ </w:t>
      </w:r>
      <w:hyperlink r:id="rId88" w:history="1">
        <w:r>
          <w:rPr>
            <w:rStyle w:val="bocontentwrapperbocenteranotbeck-btn"/>
            <w:color w:val="000000"/>
            <w:u w:val="single" w:color="000000"/>
          </w:rPr>
          <w:t>130</w:t>
        </w:r>
      </w:hyperlink>
      <w:r>
        <w:rPr>
          <w:rStyle w:val="any"/>
          <w:color w:val="000000"/>
        </w:rPr>
        <w:t xml:space="preserve"> </w:t>
      </w:r>
      <w:hyperlink r:id="rId89" w:history="1">
        <w:r>
          <w:rPr>
            <w:rStyle w:val="bocontentwrapperbocenteranotbeck-btn"/>
            <w:color w:val="000000"/>
            <w:u w:val="single" w:color="000000"/>
          </w:rPr>
          <w:t>I</w:t>
        </w:r>
      </w:hyperlink>
      <w:r>
        <w:rPr>
          <w:rStyle w:val="any"/>
          <w:color w:val="000000"/>
        </w:rPr>
        <w:t xml:space="preserve"> Nr. 1 i.V. mit Abs. </w:t>
      </w:r>
      <w:hyperlink r:id="rId90" w:history="1">
        <w:r>
          <w:rPr>
            <w:rStyle w:val="bocontentwrapperbocenteranotbeck-btn"/>
            <w:color w:val="000000"/>
            <w:u w:val="single" w:color="000000"/>
          </w:rPr>
          <w:t>2</w:t>
        </w:r>
      </w:hyperlink>
      <w:r>
        <w:rPr>
          <w:color w:val="000000"/>
        </w:rPr>
        <w:t xml:space="preserve"> abgelehnt hat, beruht dagegen auf Rechtsfehlern. Insbesondere hat das BerGer. nicht die Beweislastverteilung beachtet.</w:t>
      </w:r>
    </w:p>
    <w:p w14:paraId="316AD85C" w14:textId="77777777" w:rsidR="005D07EE" w:rsidRDefault="00000000">
      <w:pPr>
        <w:pStyle w:val="divbocontentwrapperbocenterpParagraph"/>
        <w:spacing w:after="120" w:line="360" w:lineRule="auto"/>
        <w:ind w:right="150"/>
        <w:rPr>
          <w:color w:val="000000"/>
        </w:rPr>
      </w:pPr>
      <w:r>
        <w:rPr>
          <w:color w:val="000000"/>
        </w:rPr>
        <w:t xml:space="preserve">a) Die Bekl. hat selbst zugestanden, dass sie den Eröffnungsantrag vom 26. 7. 1999 gestellt hat, weil sie von der Zahlungsunfähigkeit des Schuldners ausgegangen sei. Diese Einschätzung traf objektiv zu. Sie stand auch mindestens einer Kenntnis im Rechtssinne gem. </w:t>
      </w:r>
      <w:r>
        <w:rPr>
          <w:rStyle w:val="any"/>
          <w:color w:val="000000"/>
        </w:rPr>
        <w:t xml:space="preserve">§ </w:t>
      </w:r>
      <w:hyperlink r:id="rId91" w:history="1">
        <w:r>
          <w:rPr>
            <w:rStyle w:val="bocontentwrapperbocenteranotbeck-btn"/>
            <w:color w:val="000000"/>
            <w:u w:val="single" w:color="000000"/>
          </w:rPr>
          <w:t>130</w:t>
        </w:r>
      </w:hyperlink>
      <w:r>
        <w:rPr>
          <w:rStyle w:val="any"/>
          <w:color w:val="000000"/>
        </w:rPr>
        <w:t xml:space="preserve"> </w:t>
      </w:r>
      <w:hyperlink r:id="rId92" w:history="1">
        <w:r>
          <w:rPr>
            <w:rStyle w:val="bocontentwrapperbocenteranotbeck-btn"/>
            <w:color w:val="000000"/>
            <w:u w:val="single" w:color="000000"/>
          </w:rPr>
          <w:t>II</w:t>
        </w:r>
      </w:hyperlink>
      <w:r>
        <w:rPr>
          <w:rStyle w:val="any"/>
          <w:color w:val="000000"/>
        </w:rPr>
        <w:t xml:space="preserve"> InsO</w:t>
      </w:r>
      <w:r>
        <w:rPr>
          <w:color w:val="000000"/>
        </w:rPr>
        <w:t xml:space="preserve"> gleich.</w:t>
      </w:r>
    </w:p>
    <w:p w14:paraId="6AFAFC9D" w14:textId="77777777" w:rsidR="005D07EE" w:rsidRDefault="00000000">
      <w:pPr>
        <w:pStyle w:val="divbocontentwrapperbocenterpParagraph"/>
        <w:spacing w:after="120" w:line="360" w:lineRule="auto"/>
        <w:ind w:right="150"/>
        <w:rPr>
          <w:color w:val="000000"/>
        </w:rPr>
      </w:pPr>
      <w:r>
        <w:rPr>
          <w:color w:val="000000"/>
        </w:rPr>
        <w:t xml:space="preserve">aa) Nach dieser Vorschrift steht der Kenntnis der Zahlungsunfähigkeit selbst die Kenntnis solcher Umstände gleich, die zwingend auf die Zahlungsunfähigkeit schließen lassen. Zum Verständnis dieses Begriffs lässt die Begründung des Rechtsausschusses des Bundestags nur erkennen, dass ein strengerer Maßstab angelegt werden soll als jener der - von der Bundesregierung vorgeschlagenen - grob fahrlässigen Unkenntnis (Beschl.-Empf. und Bericht des RAusschusses des BT zu </w:t>
      </w:r>
      <w:r>
        <w:rPr>
          <w:rStyle w:val="any"/>
          <w:color w:val="000000"/>
        </w:rPr>
        <w:t>§ 145 I 2 InsO-E</w:t>
      </w:r>
      <w:r>
        <w:rPr>
          <w:color w:val="000000"/>
        </w:rPr>
        <w:t>, BT-Dr 12/7302, S. 173). Vorausgesetzt wird demgemäß, dass der Insolvenzgläubiger die tatsächlichen Umstände kennt, aus denen bei zutreffender rechtlicher Bewertung die Zahlungsunfähigkeit zweifelsfrei folgt. Dann vermag er sich nicht mit Erfolg darauf zu berufen, dass er den an sich zwingenden Schluss von den Tatsachen auf die Rechtsfolge selbst nicht gezogen habe (</w:t>
      </w:r>
      <w:r>
        <w:rPr>
          <w:rStyle w:val="emitalicon"/>
          <w:color w:val="000000"/>
        </w:rPr>
        <w:t>Huber</w:t>
      </w:r>
      <w:r>
        <w:rPr>
          <w:color w:val="000000"/>
        </w:rPr>
        <w:t xml:space="preserve">, in: </w:t>
      </w:r>
      <w:r>
        <w:rPr>
          <w:rStyle w:val="emitalicon"/>
          <w:color w:val="000000"/>
        </w:rPr>
        <w:t>Gottwald</w:t>
      </w:r>
      <w:r>
        <w:rPr>
          <w:color w:val="000000"/>
        </w:rPr>
        <w:t xml:space="preserve">, InsolvenzR-Hdb., 2. Aufl., § 47 Rdnr. 26; </w:t>
      </w:r>
      <w:r>
        <w:rPr>
          <w:rStyle w:val="emitalicon"/>
          <w:color w:val="000000"/>
        </w:rPr>
        <w:t>Wagner</w:t>
      </w:r>
      <w:r>
        <w:rPr>
          <w:color w:val="000000"/>
        </w:rPr>
        <w:t xml:space="preserve">, InsO, § 130 Rdnr. 6; </w:t>
      </w:r>
      <w:r>
        <w:rPr>
          <w:rStyle w:val="emitalicon"/>
          <w:color w:val="000000"/>
        </w:rPr>
        <w:t>Kirchhof</w:t>
      </w:r>
      <w:r>
        <w:rPr>
          <w:color w:val="000000"/>
        </w:rPr>
        <w:t xml:space="preserve">, Leitfaden zum InsolvenzR, 2. Aufl., Rdnr. 279; vgl. </w:t>
      </w:r>
      <w:r>
        <w:rPr>
          <w:rStyle w:val="emitalicon"/>
          <w:color w:val="000000"/>
        </w:rPr>
        <w:t>Henckel</w:t>
      </w:r>
      <w:r>
        <w:rPr>
          <w:color w:val="000000"/>
        </w:rPr>
        <w:t xml:space="preserve">, in: Kölner Schrift z. InsO, 2. Aufl., S. 813 [825f.]; </w:t>
      </w:r>
      <w:r>
        <w:rPr>
          <w:rStyle w:val="emitalicon"/>
          <w:color w:val="000000"/>
        </w:rPr>
        <w:t>Kreft</w:t>
      </w:r>
      <w:r>
        <w:rPr>
          <w:color w:val="000000"/>
        </w:rPr>
        <w:t>, in: Heidelberger Komm. z. InsO, § 130 Rdnr. 26).</w:t>
      </w:r>
    </w:p>
    <w:p w14:paraId="39B9FFE8" w14:textId="77777777" w:rsidR="005D07EE" w:rsidRDefault="00000000">
      <w:pPr>
        <w:pStyle w:val="divbocontentwrapperbocenterpParagraph"/>
        <w:spacing w:after="120" w:line="360" w:lineRule="auto"/>
        <w:ind w:right="150"/>
        <w:rPr>
          <w:color w:val="000000"/>
        </w:rPr>
      </w:pPr>
      <w:r>
        <w:rPr>
          <w:color w:val="000000"/>
        </w:rPr>
        <w:t xml:space="preserve">bb) Die Bekl. kannte die Höhe ihrer eigenen Forderung. Sie wusste im Zeitpunkt ihres Eröffnungsantrags vom 26. 7. 1999, dass der Schuldner für die Zeit seit 1. 4. - fällig ab 15. 5. - 1999 keinerlei Beitragszahlungen an sie erbracht hatte. Am 27. 4. 1999 hatte sie einen Vollstreckungsauftrag erteilt. Nach ihrer eigenen Darstellung (Klagebeantwortung vom 9. 6. 2000) wandte sich der Schuldner im Mai 1999 wegen sich abzeichnender angeblicher Zahlungsstockungen an die Sachbearbeiterin der Bekl. und erklärte dieser, dass er eine Grundschuldeintragung zu Gunsten seiner Bank erwirken wolle und daher kurzfristig über die erforderlichen finanziellen Mittel verfügen könne. Dennoch erhielt die Bekl. in der Folgezeit keine Zahlungen, so dass sie deswegen am 26. 7. 1999 den Eröffnungsantrag stellte. In der Zwischenzeit - am 22. 6. 1999 - war auch ihr Pfändungsversuch fruchtlos ausgefallen. Den am 26. 7. 1999 aufgelaufenen Rückstand für vier Arbeitnehmer des Schuldners berechnete die Bekl. auf 17034,07 DM. Den Schuldner unterrichtete sie zeitgleich von dem Eröffnungsantrag. Wenige Tage danach - am 3. 8. 1999 - teilte der </w:t>
      </w:r>
      <w:r>
        <w:rPr>
          <w:color w:val="000000"/>
        </w:rPr>
        <w:lastRenderedPageBreak/>
        <w:t>Schuldner der Bekl. nach deren Behauptung mit, dass er kurzfristig in der Lage sei, die Forderungen der Bekl. auszugleichen. Statt dessen wurden am 15. 8. 1999 zusätzlich die Beitragszahlungen des Schuldners für den Monat Juli 1999 in Höhe von 4805,18 DM zuzüglich Säumniszuschlägen in Höhe von 160 DM fällig. Darauf zahlte der Schuldner zehn Tage später die Beitragsschuld ohne Säumniszuschläge; sein gesamter Zahlungsrückstand stieg weiter an. Dieser erhöhte sich zudem am 15. 9. 1999 um den Beitrag für August 1999 in Höhe von 3888,23 DM zuzüglich Säumniszuschlägen.</w:t>
      </w:r>
    </w:p>
    <w:p w14:paraId="2F9B3E46" w14:textId="77777777" w:rsidR="005D07EE" w:rsidRDefault="00000000">
      <w:pPr>
        <w:pStyle w:val="divbocontentwrapperbocenterpParagraph"/>
        <w:spacing w:after="120" w:line="360" w:lineRule="auto"/>
        <w:ind w:right="150"/>
        <w:rPr>
          <w:color w:val="000000"/>
        </w:rPr>
      </w:pPr>
      <w:r>
        <w:rPr>
          <w:color w:val="000000"/>
        </w:rPr>
        <w:t>cc) Auf Grund dieses Verhaltens hatte der Schuldner bis zur ersten Scheckzahlung am 29. 9. 1999 auch aus Sicht der Bekl. zweifelsfrei seine Zahlungen eingestellt (</w:t>
      </w:r>
      <w:r>
        <w:rPr>
          <w:rStyle w:val="any"/>
          <w:color w:val="000000"/>
        </w:rPr>
        <w:t xml:space="preserve">§ </w:t>
      </w:r>
      <w:hyperlink r:id="rId93" w:history="1">
        <w:r>
          <w:rPr>
            <w:rStyle w:val="bocontentwrapperbocenteranotbeck-btn"/>
            <w:color w:val="000000"/>
            <w:u w:val="single" w:color="000000"/>
          </w:rPr>
          <w:t>17</w:t>
        </w:r>
      </w:hyperlink>
      <w:r>
        <w:rPr>
          <w:rStyle w:val="any"/>
          <w:color w:val="000000"/>
        </w:rPr>
        <w:t xml:space="preserve"> </w:t>
      </w:r>
      <w:hyperlink r:id="rId94" w:history="1">
        <w:r>
          <w:rPr>
            <w:rStyle w:val="bocontentwrapperbocenteranotbeck-btn"/>
            <w:color w:val="000000"/>
            <w:u w:val="single" w:color="000000"/>
          </w:rPr>
          <w:t>II</w:t>
        </w:r>
      </w:hyperlink>
      <w:r>
        <w:rPr>
          <w:rStyle w:val="any"/>
          <w:color w:val="000000"/>
        </w:rPr>
        <w:t xml:space="preserve"> 2 InsO</w:t>
      </w:r>
      <w:r>
        <w:rPr>
          <w:color w:val="000000"/>
        </w:rPr>
        <w:t>). Eine bloß vorübergehende Zahlungsstockung schied aus. Die Grenze von der Zahlungsstockung zur Zahlungseinstellung wurde schon nach der Rechtslage der Konkursordnung und der Gesamtvollstreckungsordnung überschritten, wenn die fälligen Schulden nicht im Wesentlichen binnen etwa einem Monat bezahlt werden konnten (</w:t>
      </w:r>
      <w:r>
        <w:rPr>
          <w:rStyle w:val="emitalicon"/>
          <w:color w:val="000000"/>
        </w:rPr>
        <w:t>Senat</w:t>
      </w:r>
      <w:r>
        <w:rPr>
          <w:color w:val="000000"/>
        </w:rPr>
        <w:t xml:space="preserve">, </w:t>
      </w:r>
      <w:r>
        <w:rPr>
          <w:rStyle w:val="any"/>
          <w:color w:val="000000"/>
        </w:rPr>
        <w:t xml:space="preserve">NJW 1999, </w:t>
      </w:r>
      <w:hyperlink r:id="rId95" w:history="1">
        <w:r>
          <w:rPr>
            <w:rStyle w:val="bocontentwrapperbocenteranotbeck-btn"/>
            <w:color w:val="000000"/>
            <w:u w:val="single" w:color="000000"/>
          </w:rPr>
          <w:t>645</w:t>
        </w:r>
      </w:hyperlink>
      <w:r>
        <w:rPr>
          <w:color w:val="000000"/>
        </w:rPr>
        <w:t xml:space="preserve"> = </w:t>
      </w:r>
      <w:r>
        <w:rPr>
          <w:rStyle w:val="any"/>
          <w:color w:val="000000"/>
        </w:rPr>
        <w:t xml:space="preserve">NZI 1999, </w:t>
      </w:r>
      <w:hyperlink r:id="rId96" w:history="1">
        <w:r>
          <w:rPr>
            <w:rStyle w:val="bocontentwrapperbocenteranotbeck-btn"/>
            <w:color w:val="000000"/>
            <w:u w:val="single" w:color="000000"/>
          </w:rPr>
          <w:t>70</w:t>
        </w:r>
      </w:hyperlink>
      <w:r>
        <w:rPr>
          <w:color w:val="000000"/>
        </w:rPr>
        <w:t xml:space="preserve"> = LM H. 5/1999 GesO Nrn. 45/46 = </w:t>
      </w:r>
      <w:r>
        <w:rPr>
          <w:rStyle w:val="any"/>
          <w:color w:val="000000"/>
        </w:rPr>
        <w:t xml:space="preserve">ZIP 1999, </w:t>
      </w:r>
      <w:hyperlink r:id="rId97" w:history="1">
        <w:r>
          <w:rPr>
            <w:rStyle w:val="bocontentwrapperbocenteranotbeck-btn"/>
            <w:color w:val="000000"/>
            <w:u w:val="single" w:color="000000"/>
          </w:rPr>
          <w:t>76</w:t>
        </w:r>
      </w:hyperlink>
      <w:r>
        <w:rPr>
          <w:rStyle w:val="any"/>
          <w:color w:val="000000"/>
        </w:rPr>
        <w:t xml:space="preserve"> [</w:t>
      </w:r>
      <w:hyperlink r:id="rId98" w:history="1">
        <w:r>
          <w:rPr>
            <w:rStyle w:val="bocontentwrapperbocenteranotbeck-btn"/>
            <w:color w:val="000000"/>
            <w:u w:val="single" w:color="000000"/>
          </w:rPr>
          <w:t>78</w:t>
        </w:r>
      </w:hyperlink>
      <w:r>
        <w:rPr>
          <w:color w:val="000000"/>
        </w:rPr>
        <w:t xml:space="preserve">] m.w. Nachw.; </w:t>
      </w:r>
      <w:r>
        <w:rPr>
          <w:rStyle w:val="any"/>
          <w:color w:val="000000"/>
        </w:rPr>
        <w:t xml:space="preserve">NJW 2002, </w:t>
      </w:r>
      <w:hyperlink r:id="rId99" w:history="1">
        <w:r>
          <w:rPr>
            <w:rStyle w:val="bocontentwrapperbocenteranotbeck-btn"/>
            <w:color w:val="000000"/>
            <w:u w:val="single" w:color="000000"/>
          </w:rPr>
          <w:t>512</w:t>
        </w:r>
      </w:hyperlink>
      <w:r>
        <w:rPr>
          <w:color w:val="000000"/>
        </w:rPr>
        <w:t xml:space="preserve"> [in diesem Heft] = </w:t>
      </w:r>
      <w:r>
        <w:rPr>
          <w:rStyle w:val="any"/>
          <w:color w:val="000000"/>
        </w:rPr>
        <w:t xml:space="preserve">NZI 2002, </w:t>
      </w:r>
      <w:hyperlink r:id="rId100" w:history="1">
        <w:r>
          <w:rPr>
            <w:rStyle w:val="bocontentwrapperbocenteranotbeck-btn"/>
            <w:color w:val="000000"/>
            <w:u w:val="single" w:color="000000"/>
          </w:rPr>
          <w:t>88</w:t>
        </w:r>
      </w:hyperlink>
      <w:r>
        <w:rPr>
          <w:color w:val="000000"/>
        </w:rPr>
        <w:t xml:space="preserve">, z. Veröff. best. in </w:t>
      </w:r>
      <w:r>
        <w:rPr>
          <w:rStyle w:val="emitalicon"/>
          <w:color w:val="000000"/>
        </w:rPr>
        <w:t>BGHZ</w:t>
      </w:r>
      <w:r>
        <w:rPr>
          <w:color w:val="000000"/>
        </w:rPr>
        <w:t xml:space="preserve">). Im vorliegenden Fall war es dem Schuldner in den zwei Monaten seit dem Eröffnungsantrag nicht nur nicht gelungen, seine Schulden zurückzuführen; vielmehr waren sie sogar gegenüber der antragstellenden Bekl. noch angestiegen. Es kommt hier deshalb nicht entscheidend darauf an, dass die höchstmögliche Dauer für eine noch unschädliche Zahlungsstockung durch </w:t>
      </w:r>
      <w:r>
        <w:rPr>
          <w:rStyle w:val="any"/>
          <w:color w:val="000000"/>
        </w:rPr>
        <w:t xml:space="preserve">§ </w:t>
      </w:r>
      <w:hyperlink r:id="rId101" w:history="1">
        <w:r>
          <w:rPr>
            <w:rStyle w:val="bocontentwrapperbocenteranotbeck-btn"/>
            <w:color w:val="000000"/>
            <w:u w:val="single" w:color="000000"/>
          </w:rPr>
          <w:t>17</w:t>
        </w:r>
      </w:hyperlink>
      <w:r>
        <w:rPr>
          <w:rStyle w:val="any"/>
          <w:color w:val="000000"/>
        </w:rPr>
        <w:t xml:space="preserve"> </w:t>
      </w:r>
      <w:hyperlink r:id="rId102" w:history="1">
        <w:r>
          <w:rPr>
            <w:rStyle w:val="bocontentwrapperbocenteranotbeck-btn"/>
            <w:color w:val="000000"/>
            <w:u w:val="single" w:color="000000"/>
          </w:rPr>
          <w:t>II</w:t>
        </w:r>
      </w:hyperlink>
      <w:r>
        <w:rPr>
          <w:rStyle w:val="any"/>
          <w:color w:val="000000"/>
        </w:rPr>
        <w:t xml:space="preserve"> 1 InsO</w:t>
      </w:r>
      <w:r>
        <w:rPr>
          <w:color w:val="000000"/>
        </w:rPr>
        <w:t xml:space="preserve"> sogar verkürzt werden sollte (Begr. zu </w:t>
      </w:r>
      <w:r>
        <w:rPr>
          <w:rStyle w:val="any"/>
          <w:color w:val="000000"/>
        </w:rPr>
        <w:t>§§ 20 u. 21 InsO-E</w:t>
      </w:r>
      <w:r>
        <w:rPr>
          <w:color w:val="000000"/>
        </w:rPr>
        <w:t>, BT-Dr 12/2443, S. 114): Danach soll eine „über Wochen … fortbestehende Illiquidität” keinesfalls unerheblich sein.</w:t>
      </w:r>
    </w:p>
    <w:p w14:paraId="71B0D8D8" w14:textId="77777777" w:rsidR="005D07EE" w:rsidRDefault="00000000">
      <w:pPr>
        <w:pStyle w:val="divbocontentwrapperbocenterpParagraph"/>
        <w:spacing w:after="120" w:line="360" w:lineRule="auto"/>
        <w:ind w:right="150"/>
        <w:rPr>
          <w:color w:val="000000"/>
        </w:rPr>
      </w:pPr>
      <w:r>
        <w:rPr>
          <w:color w:val="000000"/>
        </w:rPr>
        <w:t xml:space="preserve">Zwar bleiben auch auf der Grundlage des </w:t>
      </w:r>
      <w:r>
        <w:rPr>
          <w:rStyle w:val="any"/>
          <w:color w:val="000000"/>
        </w:rPr>
        <w:t xml:space="preserve">§ </w:t>
      </w:r>
      <w:hyperlink r:id="rId103" w:history="1">
        <w:r>
          <w:rPr>
            <w:rStyle w:val="bocontentwrapperbocenteranotbeck-btn"/>
            <w:color w:val="000000"/>
            <w:u w:val="single" w:color="000000"/>
          </w:rPr>
          <w:t>17</w:t>
        </w:r>
      </w:hyperlink>
      <w:r>
        <w:rPr>
          <w:rStyle w:val="any"/>
          <w:color w:val="000000"/>
        </w:rPr>
        <w:t xml:space="preserve"> </w:t>
      </w:r>
      <w:hyperlink r:id="rId104" w:history="1">
        <w:r>
          <w:rPr>
            <w:rStyle w:val="bocontentwrapperbocenteranotbeck-btn"/>
            <w:color w:val="000000"/>
            <w:u w:val="single" w:color="000000"/>
          </w:rPr>
          <w:t>II</w:t>
        </w:r>
      </w:hyperlink>
      <w:r>
        <w:rPr>
          <w:rStyle w:val="any"/>
          <w:color w:val="000000"/>
        </w:rPr>
        <w:t xml:space="preserve"> 1 InsO</w:t>
      </w:r>
      <w:r>
        <w:rPr>
          <w:color w:val="000000"/>
        </w:rPr>
        <w:t xml:space="preserve"> „ganz geringfügige Liquiditätslücken außer Betracht”, ohne dass auf „einen bestimmten Bruchteil” der Gesamtverbindlichkeiten des Schuldners abgestellt werden soll (Begr. zu </w:t>
      </w:r>
      <w:r>
        <w:rPr>
          <w:rStyle w:val="any"/>
          <w:color w:val="000000"/>
        </w:rPr>
        <w:t>§§ 20 u. 21 InsO-E</w:t>
      </w:r>
      <w:r>
        <w:rPr>
          <w:color w:val="000000"/>
        </w:rPr>
        <w:t xml:space="preserve">, BT-Dr 12/2443, S. 114). Sogar der hier schon der Bekl. erkennbare Zahlungsrückstand war nicht unwesentlich im Sinne dieser Ausnahmeregelung: Er entsprach Ende September 1999 mehr als vier vollen Monatsbeiträgen an Sozialversicherungsbeiträgen allein bei der Bekl. Ein Schuldner lässt es - nicht zuletzt wegen der Strafvorschrift des </w:t>
      </w:r>
      <w:r>
        <w:rPr>
          <w:rStyle w:val="any"/>
          <w:color w:val="000000"/>
        </w:rPr>
        <w:t xml:space="preserve">§ </w:t>
      </w:r>
      <w:hyperlink r:id="rId105" w:history="1">
        <w:r>
          <w:rPr>
            <w:rStyle w:val="bocontentwrapperbocenteranotbeck-btn"/>
            <w:color w:val="000000"/>
            <w:u w:val="single" w:color="000000"/>
          </w:rPr>
          <w:t>266a</w:t>
        </w:r>
      </w:hyperlink>
      <w:r>
        <w:rPr>
          <w:rStyle w:val="any"/>
          <w:color w:val="000000"/>
        </w:rPr>
        <w:t xml:space="preserve"> StGB</w:t>
      </w:r>
      <w:r>
        <w:rPr>
          <w:color w:val="000000"/>
        </w:rPr>
        <w:t xml:space="preserve"> - erfahrungsgemäß zu solchen Zahlungsrückständen auch nur bei einem einzigen Sozialversicherungsträger nicht kommen, wenn er dies unschwer vermeiden könnte. Ein derartiges Verhalten lässt im Allgemeinen den Schluss zu, dass die geschuldeten Beträge für den betroffenen Unternehmer wesentlich sind. Dementsprechend wird angenommen, dass eine halbjährige Nichtabführung von Sozialversicherungsbeiträgen ohne weiteres eine Zahlungsunfähigkeit umfassend glaubhaft macht (</w:t>
      </w:r>
      <w:r>
        <w:rPr>
          <w:rStyle w:val="emitalicon"/>
          <w:color w:val="000000"/>
        </w:rPr>
        <w:t>OLG Celle</w:t>
      </w:r>
      <w:r>
        <w:rPr>
          <w:color w:val="000000"/>
        </w:rPr>
        <w:t xml:space="preserve">, </w:t>
      </w:r>
      <w:r>
        <w:rPr>
          <w:rStyle w:val="any"/>
          <w:color w:val="000000"/>
        </w:rPr>
        <w:t xml:space="preserve">NJW-RR 2001, </w:t>
      </w:r>
      <w:hyperlink r:id="rId106" w:history="1">
        <w:r>
          <w:rPr>
            <w:rStyle w:val="bocontentwrapperbocenteranotbeck-btn"/>
            <w:color w:val="000000"/>
            <w:u w:val="single" w:color="000000"/>
          </w:rPr>
          <w:t>702</w:t>
        </w:r>
      </w:hyperlink>
      <w:r>
        <w:rPr>
          <w:color w:val="000000"/>
        </w:rPr>
        <w:t xml:space="preserve"> = </w:t>
      </w:r>
      <w:r>
        <w:rPr>
          <w:rStyle w:val="any"/>
          <w:color w:val="000000"/>
        </w:rPr>
        <w:t xml:space="preserve">NZI 2000, </w:t>
      </w:r>
      <w:hyperlink r:id="rId107" w:history="1">
        <w:r>
          <w:rPr>
            <w:rStyle w:val="bocontentwrapperbocenteranotbeck-btn"/>
            <w:color w:val="000000"/>
            <w:u w:val="single" w:color="000000"/>
          </w:rPr>
          <w:t>214</w:t>
        </w:r>
      </w:hyperlink>
      <w:r>
        <w:rPr>
          <w:rStyle w:val="any"/>
          <w:color w:val="000000"/>
        </w:rPr>
        <w:t xml:space="preserve"> [</w:t>
      </w:r>
      <w:hyperlink r:id="rId108" w:history="1">
        <w:r>
          <w:rPr>
            <w:rStyle w:val="bocontentwrapperbocenteranotbeck-btn"/>
            <w:color w:val="000000"/>
            <w:u w:val="single" w:color="000000"/>
          </w:rPr>
          <w:t>216</w:t>
        </w:r>
      </w:hyperlink>
      <w:r>
        <w:rPr>
          <w:color w:val="000000"/>
        </w:rPr>
        <w:t xml:space="preserve">]; </w:t>
      </w:r>
      <w:r>
        <w:rPr>
          <w:rStyle w:val="emitalicon"/>
          <w:color w:val="000000"/>
        </w:rPr>
        <w:t>OLG Dresden</w:t>
      </w:r>
      <w:r>
        <w:rPr>
          <w:color w:val="000000"/>
        </w:rPr>
        <w:t xml:space="preserve">, </w:t>
      </w:r>
      <w:r>
        <w:rPr>
          <w:rStyle w:val="any"/>
          <w:color w:val="000000"/>
        </w:rPr>
        <w:t xml:space="preserve">NZI 2001, </w:t>
      </w:r>
      <w:hyperlink r:id="rId109" w:history="1">
        <w:r>
          <w:rPr>
            <w:rStyle w:val="bocontentwrapperbocenteranotbeck-btn"/>
            <w:color w:val="000000"/>
            <w:u w:val="single" w:color="000000"/>
          </w:rPr>
          <w:t>261</w:t>
        </w:r>
      </w:hyperlink>
      <w:r>
        <w:rPr>
          <w:color w:val="000000"/>
        </w:rPr>
        <w:t xml:space="preserve"> = ZInsO 2000, 560 [561f.]; vgl. </w:t>
      </w:r>
      <w:r>
        <w:rPr>
          <w:rStyle w:val="emitalicon"/>
          <w:color w:val="000000"/>
        </w:rPr>
        <w:t>OLG Naumburg</w:t>
      </w:r>
      <w:r>
        <w:rPr>
          <w:color w:val="000000"/>
        </w:rPr>
        <w:t xml:space="preserve">, </w:t>
      </w:r>
      <w:r>
        <w:rPr>
          <w:rStyle w:val="any"/>
          <w:color w:val="000000"/>
        </w:rPr>
        <w:t xml:space="preserve">KTS 2000, </w:t>
      </w:r>
      <w:hyperlink r:id="rId110" w:history="1">
        <w:r>
          <w:rPr>
            <w:rStyle w:val="bocontentwrapperbocenteranotbeck-btn"/>
            <w:color w:val="000000"/>
            <w:u w:val="single" w:color="000000"/>
          </w:rPr>
          <w:t>440</w:t>
        </w:r>
      </w:hyperlink>
      <w:r>
        <w:rPr>
          <w:rStyle w:val="any"/>
          <w:color w:val="000000"/>
        </w:rPr>
        <w:t xml:space="preserve"> [</w:t>
      </w:r>
      <w:hyperlink r:id="rId111" w:history="1">
        <w:r>
          <w:rPr>
            <w:rStyle w:val="bocontentwrapperbocenteranotbeck-btn"/>
            <w:color w:val="000000"/>
            <w:u w:val="single" w:color="000000"/>
          </w:rPr>
          <w:t>441</w:t>
        </w:r>
      </w:hyperlink>
      <w:r>
        <w:rPr>
          <w:color w:val="000000"/>
        </w:rPr>
        <w:t xml:space="preserve">f.]). Im vorliegenden Fall betrug der Beitragsrückstand zwar erst vier </w:t>
      </w:r>
      <w:r>
        <w:rPr>
          <w:color w:val="000000"/>
        </w:rPr>
        <w:lastRenderedPageBreak/>
        <w:t>Monate. Er war aber trotz des bereits gestellten Insolvenzantrags weiter angewachsen. Zudem sprach das dargestellte „vertröstende” Verhalten des Schuldners vor dem Insolvenzantrag zusätzlich für dessen Zahlungsunfähigkeit.</w:t>
      </w:r>
    </w:p>
    <w:p w14:paraId="287BD95F" w14:textId="77777777" w:rsidR="005D07EE" w:rsidRDefault="00000000">
      <w:pPr>
        <w:pStyle w:val="divbocontentwrapperbocenterpParagraph"/>
        <w:spacing w:after="120" w:line="360" w:lineRule="auto"/>
        <w:ind w:right="150"/>
        <w:rPr>
          <w:color w:val="000000"/>
        </w:rPr>
      </w:pPr>
      <w:r>
        <w:rPr>
          <w:color w:val="000000"/>
        </w:rPr>
        <w:t xml:space="preserve">dd) Danach ist die Schlussfolgerung auf Zahlungsunfähigkeit i.S. von </w:t>
      </w:r>
      <w:r>
        <w:rPr>
          <w:rStyle w:val="any"/>
          <w:color w:val="000000"/>
        </w:rPr>
        <w:t xml:space="preserve">§ </w:t>
      </w:r>
      <w:hyperlink r:id="rId112" w:history="1">
        <w:r>
          <w:rPr>
            <w:rStyle w:val="bocontentwrapperbocenteranotbeck-btn"/>
            <w:color w:val="000000"/>
            <w:u w:val="single" w:color="000000"/>
          </w:rPr>
          <w:t>130</w:t>
        </w:r>
      </w:hyperlink>
      <w:r>
        <w:rPr>
          <w:rStyle w:val="any"/>
          <w:color w:val="000000"/>
        </w:rPr>
        <w:t xml:space="preserve"> </w:t>
      </w:r>
      <w:hyperlink r:id="rId113" w:history="1">
        <w:r>
          <w:rPr>
            <w:rStyle w:val="bocontentwrapperbocenteranotbeck-btn"/>
            <w:color w:val="000000"/>
            <w:u w:val="single" w:color="000000"/>
          </w:rPr>
          <w:t>II</w:t>
        </w:r>
      </w:hyperlink>
      <w:r>
        <w:rPr>
          <w:rStyle w:val="any"/>
          <w:color w:val="000000"/>
        </w:rPr>
        <w:t xml:space="preserve"> InsO</w:t>
      </w:r>
      <w:r>
        <w:rPr>
          <w:color w:val="000000"/>
        </w:rPr>
        <w:t xml:space="preserve"> auch zwingend. Sie beruht auf der insoweit eindeutigen gesetzlichen Neudefinition des Begriffs der Zahlungsunfähigkeit (</w:t>
      </w:r>
      <w:r>
        <w:rPr>
          <w:rStyle w:val="any"/>
          <w:color w:val="000000"/>
        </w:rPr>
        <w:t xml:space="preserve">§ </w:t>
      </w:r>
      <w:hyperlink r:id="rId114" w:history="1">
        <w:r>
          <w:rPr>
            <w:rStyle w:val="bocontentwrapperbocenteranotbeck-btn"/>
            <w:color w:val="000000"/>
            <w:u w:val="single" w:color="000000"/>
          </w:rPr>
          <w:t>17</w:t>
        </w:r>
      </w:hyperlink>
      <w:r>
        <w:rPr>
          <w:rStyle w:val="any"/>
          <w:color w:val="000000"/>
        </w:rPr>
        <w:t xml:space="preserve"> </w:t>
      </w:r>
      <w:hyperlink r:id="rId115" w:history="1">
        <w:r>
          <w:rPr>
            <w:rStyle w:val="bocontentwrapperbocenteranotbeck-btn"/>
            <w:color w:val="000000"/>
            <w:u w:val="single" w:color="000000"/>
          </w:rPr>
          <w:t>II</w:t>
        </w:r>
      </w:hyperlink>
      <w:r>
        <w:rPr>
          <w:rStyle w:val="any"/>
          <w:color w:val="000000"/>
        </w:rPr>
        <w:t xml:space="preserve"> InsO</w:t>
      </w:r>
      <w:r>
        <w:rPr>
          <w:color w:val="000000"/>
        </w:rPr>
        <w:t>) und allgemein anerkannten Erfahrungswerten.</w:t>
      </w:r>
    </w:p>
    <w:p w14:paraId="324ED194" w14:textId="77777777" w:rsidR="005D07EE" w:rsidRDefault="00000000">
      <w:pPr>
        <w:pStyle w:val="divbocontentwrapperbocenterpParagraph"/>
        <w:spacing w:after="120" w:line="360" w:lineRule="auto"/>
        <w:ind w:right="150"/>
        <w:rPr>
          <w:color w:val="000000"/>
        </w:rPr>
      </w:pPr>
      <w:r>
        <w:rPr>
          <w:color w:val="000000"/>
        </w:rPr>
        <w:t>b) Auf Grund der beiden hier angefochtenen Zahlungen von insgesamt 20189,81 DM am 29. 9. und 7. 10. 1999 hatte der Schuldner eine zuvor verlorene Zahlungsfähigkeit nicht wiedergewonnen. Eine einmal eingetretene Zahlungseinstellung (</w:t>
      </w:r>
      <w:r>
        <w:rPr>
          <w:rStyle w:val="any"/>
          <w:color w:val="000000"/>
        </w:rPr>
        <w:t xml:space="preserve">§ </w:t>
      </w:r>
      <w:hyperlink r:id="rId116" w:history="1">
        <w:r>
          <w:rPr>
            <w:rStyle w:val="bocontentwrapperbocenteranotbeck-btn"/>
            <w:color w:val="000000"/>
            <w:u w:val="single" w:color="000000"/>
          </w:rPr>
          <w:t>17</w:t>
        </w:r>
      </w:hyperlink>
      <w:r>
        <w:rPr>
          <w:rStyle w:val="any"/>
          <w:color w:val="000000"/>
        </w:rPr>
        <w:t xml:space="preserve"> </w:t>
      </w:r>
      <w:hyperlink r:id="rId117" w:history="1">
        <w:r>
          <w:rPr>
            <w:rStyle w:val="bocontentwrapperbocenteranotbeck-btn"/>
            <w:color w:val="000000"/>
            <w:u w:val="single" w:color="000000"/>
          </w:rPr>
          <w:t>II</w:t>
        </w:r>
      </w:hyperlink>
      <w:r>
        <w:rPr>
          <w:rStyle w:val="any"/>
          <w:color w:val="000000"/>
        </w:rPr>
        <w:t xml:space="preserve"> 2 i.V. mit § </w:t>
      </w:r>
      <w:hyperlink r:id="rId118" w:history="1">
        <w:r>
          <w:rPr>
            <w:rStyle w:val="bocontentwrapperbocenteranotbeck-btn"/>
            <w:color w:val="000000"/>
            <w:u w:val="single" w:color="000000"/>
          </w:rPr>
          <w:t>130</w:t>
        </w:r>
      </w:hyperlink>
      <w:r>
        <w:rPr>
          <w:rStyle w:val="any"/>
          <w:color w:val="000000"/>
        </w:rPr>
        <w:t xml:space="preserve"> </w:t>
      </w:r>
      <w:hyperlink r:id="rId119" w:history="1">
        <w:r>
          <w:rPr>
            <w:rStyle w:val="bocontentwrapperbocenteranotbeck-btn"/>
            <w:color w:val="000000"/>
            <w:u w:val="single" w:color="000000"/>
          </w:rPr>
          <w:t>I</w:t>
        </w:r>
      </w:hyperlink>
      <w:r>
        <w:rPr>
          <w:rStyle w:val="any"/>
          <w:color w:val="000000"/>
        </w:rPr>
        <w:t xml:space="preserve"> Nr. 1 InsO</w:t>
      </w:r>
      <w:r>
        <w:rPr>
          <w:color w:val="000000"/>
        </w:rPr>
        <w:t xml:space="preserve">) wirkt grundsätzlich fort. Sie kann nur dadurch wieder beseitigt werden, dass die Zahlungen </w:t>
      </w:r>
      <w:r>
        <w:rPr>
          <w:rStyle w:val="emitalicon"/>
          <w:color w:val="000000"/>
        </w:rPr>
        <w:t>im Allgemeinen</w:t>
      </w:r>
      <w:r>
        <w:rPr>
          <w:color w:val="000000"/>
        </w:rPr>
        <w:t xml:space="preserve"> wieder aufgenommen werden (</w:t>
      </w:r>
      <w:r>
        <w:rPr>
          <w:rStyle w:val="emitalicon"/>
          <w:color w:val="000000"/>
        </w:rPr>
        <w:t>BGH</w:t>
      </w:r>
      <w:r>
        <w:rPr>
          <w:color w:val="000000"/>
        </w:rPr>
        <w:t xml:space="preserve">, </w:t>
      </w:r>
      <w:r>
        <w:rPr>
          <w:rStyle w:val="any"/>
          <w:color w:val="000000"/>
        </w:rPr>
        <w:t xml:space="preserve">NJW 2002, </w:t>
      </w:r>
      <w:hyperlink r:id="rId120" w:history="1">
        <w:r>
          <w:rPr>
            <w:rStyle w:val="bocontentwrapperbocenteranotbeck-btn"/>
            <w:color w:val="000000"/>
            <w:u w:val="single" w:color="000000"/>
          </w:rPr>
          <w:t>512</w:t>
        </w:r>
      </w:hyperlink>
      <w:r>
        <w:rPr>
          <w:color w:val="000000"/>
        </w:rPr>
        <w:t xml:space="preserve"> [in diesem Heft] = </w:t>
      </w:r>
      <w:r>
        <w:rPr>
          <w:rStyle w:val="any"/>
          <w:color w:val="000000"/>
        </w:rPr>
        <w:t xml:space="preserve">NZI 2002, </w:t>
      </w:r>
      <w:hyperlink r:id="rId121" w:history="1">
        <w:r>
          <w:rPr>
            <w:rStyle w:val="bocontentwrapperbocenteranotbeck-btn"/>
            <w:color w:val="000000"/>
            <w:u w:val="single" w:color="000000"/>
          </w:rPr>
          <w:t>88</w:t>
        </w:r>
      </w:hyperlink>
      <w:r>
        <w:rPr>
          <w:color w:val="000000"/>
        </w:rPr>
        <w:t xml:space="preserve">, z. Veröff. best. in </w:t>
      </w:r>
      <w:r>
        <w:rPr>
          <w:rStyle w:val="emitalicon"/>
          <w:color w:val="000000"/>
        </w:rPr>
        <w:t>BGHZ</w:t>
      </w:r>
      <w:r>
        <w:rPr>
          <w:color w:val="000000"/>
        </w:rPr>
        <w:t xml:space="preserve">, m.w. Nachw.; vgl. auch </w:t>
      </w:r>
      <w:r>
        <w:rPr>
          <w:rStyle w:val="emitalicon"/>
          <w:color w:val="000000"/>
        </w:rPr>
        <w:t>BGH</w:t>
      </w:r>
      <w:r>
        <w:rPr>
          <w:color w:val="000000"/>
        </w:rPr>
        <w:t>, LM § 30 KO Nr. 1). Die allgemeine Aufnahme der Zahlungen hat grundsätzlich derjenige zu beweisen, der sich auf den nachträglichen Wegfall einer zuvor eingetretenen Zahlungseinstellung beruft. Denn wenn der anfechtende Insolvenzverwalter für einen bestimmten Zeitpunkt den ihm obliegenden Beweis der Zahlungsunfähigkeit des Schuldners geführt hat, ist es Sache des Anfechtungsgegners, seine Behauptung zu beweisen, dass diese Voraussetzung zwischenzeitlich wieder entfallen ist (</w:t>
      </w:r>
      <w:r>
        <w:rPr>
          <w:rStyle w:val="emitalicon"/>
          <w:color w:val="000000"/>
        </w:rPr>
        <w:t>BGH</w:t>
      </w:r>
      <w:r>
        <w:rPr>
          <w:color w:val="000000"/>
        </w:rPr>
        <w:t xml:space="preserve">, </w:t>
      </w:r>
      <w:r>
        <w:rPr>
          <w:rStyle w:val="any"/>
          <w:color w:val="000000"/>
        </w:rPr>
        <w:t xml:space="preserve">NJW 2002,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5D07EE" w14:paraId="3E385E9B" w14:textId="77777777">
        <w:tc>
          <w:tcPr>
            <w:tcW w:w="4000" w:type="pct"/>
            <w:shd w:val="clear" w:color="auto" w:fill="F0F0F0"/>
            <w:tcMar>
              <w:top w:w="0" w:type="dxa"/>
              <w:left w:w="0" w:type="dxa"/>
              <w:bottom w:w="0" w:type="dxa"/>
              <w:right w:w="0" w:type="dxa"/>
            </w:tcMar>
            <w:vAlign w:val="center"/>
            <w:hideMark/>
          </w:tcPr>
          <w:p w14:paraId="14CAD9DC" w14:textId="77777777" w:rsidR="005D07EE"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 Insolvenzanfechtung bei Erledigung des Eröffnungsantrags</w:t>
            </w:r>
            <w:r>
              <w:rPr>
                <w:rStyle w:val="citation"/>
                <w:color w:val="000000"/>
              </w:rPr>
              <w:t>(NJW 2002, 515)</w:t>
            </w:r>
          </w:p>
        </w:tc>
        <w:tc>
          <w:tcPr>
            <w:tcW w:w="1000" w:type="pct"/>
            <w:shd w:val="clear" w:color="auto" w:fill="F0F0F0"/>
            <w:tcMar>
              <w:top w:w="0" w:type="dxa"/>
              <w:left w:w="0" w:type="dxa"/>
              <w:bottom w:w="0" w:type="dxa"/>
              <w:right w:w="0" w:type="dxa"/>
            </w:tcMar>
            <w:vAlign w:val="center"/>
            <w:hideMark/>
          </w:tcPr>
          <w:p w14:paraId="45147E26" w14:textId="77777777" w:rsidR="005D07E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518</w:t>
            </w:r>
          </w:p>
        </w:tc>
      </w:tr>
    </w:tbl>
    <w:p w14:paraId="1392423E" w14:textId="77777777" w:rsidR="005D07EE" w:rsidRDefault="00000000">
      <w:pPr>
        <w:pStyle w:val="divbocontentwrapperbocenterpParagraph"/>
        <w:spacing w:after="120" w:line="360" w:lineRule="auto"/>
        <w:ind w:right="150"/>
        <w:rPr>
          <w:color w:val="000000"/>
        </w:rPr>
      </w:pPr>
      <w:hyperlink r:id="rId122" w:history="1">
        <w:r>
          <w:rPr>
            <w:rStyle w:val="bocontentwrapperbocenteranotbeck-btn"/>
            <w:color w:val="000000"/>
            <w:u w:val="single" w:color="000000"/>
          </w:rPr>
          <w:t>512</w:t>
        </w:r>
      </w:hyperlink>
      <w:r>
        <w:rPr>
          <w:color w:val="000000"/>
        </w:rPr>
        <w:t xml:space="preserve"> [in diesem Heft] = </w:t>
      </w:r>
      <w:r>
        <w:rPr>
          <w:rStyle w:val="any"/>
          <w:color w:val="000000"/>
        </w:rPr>
        <w:t xml:space="preserve">NZI 2002, </w:t>
      </w:r>
      <w:hyperlink r:id="rId123" w:history="1">
        <w:r>
          <w:rPr>
            <w:rStyle w:val="bocontentwrapperbocenteranotbeck-btn"/>
            <w:color w:val="000000"/>
            <w:u w:val="single" w:color="000000"/>
          </w:rPr>
          <w:t>88</w:t>
        </w:r>
      </w:hyperlink>
      <w:r>
        <w:rPr>
          <w:color w:val="000000"/>
        </w:rPr>
        <w:t xml:space="preserve">, z. Veröff. best. in </w:t>
      </w:r>
      <w:r>
        <w:rPr>
          <w:rStyle w:val="emitalicon"/>
          <w:color w:val="000000"/>
        </w:rPr>
        <w:t>BGHZ</w:t>
      </w:r>
      <w:r>
        <w:rPr>
          <w:color w:val="000000"/>
        </w:rPr>
        <w:t>). Das gilt uneingeschränkt jedenfalls dann, wenn zwischen den angefochtenen Zahlungen und dem Eingang des erneuten, erfolgreichen Eröffnungsantrags nur ein kurzer Zeitraum - hier: weniger als sechs Wochen - liegt.</w:t>
      </w:r>
    </w:p>
    <w:p w14:paraId="6D040782" w14:textId="77777777" w:rsidR="005D07EE" w:rsidRDefault="00000000">
      <w:pPr>
        <w:pStyle w:val="divbocontentwrapperbocenterpParagraph"/>
        <w:spacing w:after="120" w:line="360" w:lineRule="auto"/>
        <w:ind w:right="150"/>
        <w:rPr>
          <w:color w:val="000000"/>
        </w:rPr>
      </w:pPr>
      <w:r>
        <w:rPr>
          <w:rStyle w:val="emsmall"/>
          <w:color w:val="000000"/>
          <w:sz w:val="22"/>
          <w:szCs w:val="22"/>
        </w:rPr>
        <w:t>Die Bezahlung allein der offen stehenden Beitragsforderungen der Bekl. in zwei Raten am 29. 9. und 7. 10. 1999 genügte objektiv nicht, um die Zahlungsunfähigkeit des Schuldners zu beseitigen. Dessen übrige festgestellte Verbindlichkeiten gegenüber weiteren Gläubigern (s. oben 3) wurden nicht getilgt. Allgemein schließt es eine Zahlungsunfähigkeit des Schuldners nicht aus, dass er noch einzelne - sogar beträchtliche - Zahlungen erbringt (</w:t>
      </w:r>
      <w:r>
        <w:rPr>
          <w:rStyle w:val="emitalicon"/>
          <w:color w:val="000000"/>
        </w:rPr>
        <w:t>BGH</w:t>
      </w:r>
      <w:r>
        <w:rPr>
          <w:rStyle w:val="emsmall"/>
          <w:color w:val="000000"/>
          <w:sz w:val="22"/>
          <w:szCs w:val="22"/>
        </w:rPr>
        <w:t xml:space="preserve">, </w:t>
      </w:r>
      <w:r>
        <w:rPr>
          <w:rStyle w:val="any"/>
          <w:color w:val="000000"/>
        </w:rPr>
        <w:t xml:space="preserve">NJW-RR 2001, </w:t>
      </w:r>
      <w:hyperlink r:id="rId124" w:history="1">
        <w:r>
          <w:rPr>
            <w:rStyle w:val="bocontentwrapperbocenteranotbeck-btn"/>
            <w:color w:val="000000"/>
            <w:u w:val="single" w:color="000000"/>
          </w:rPr>
          <w:t>1204</w:t>
        </w:r>
      </w:hyperlink>
      <w:r>
        <w:rPr>
          <w:rStyle w:val="emsmall"/>
          <w:color w:val="000000"/>
          <w:sz w:val="22"/>
          <w:szCs w:val="22"/>
        </w:rPr>
        <w:t xml:space="preserve"> = </w:t>
      </w:r>
      <w:r>
        <w:rPr>
          <w:rStyle w:val="any"/>
          <w:color w:val="000000"/>
        </w:rPr>
        <w:t xml:space="preserve">NZI 2001, </w:t>
      </w:r>
      <w:hyperlink r:id="rId125" w:history="1">
        <w:r>
          <w:rPr>
            <w:rStyle w:val="bocontentwrapperbocenteranotbeck-btn"/>
            <w:color w:val="000000"/>
            <w:u w:val="single" w:color="000000"/>
          </w:rPr>
          <w:t>417</w:t>
        </w:r>
      </w:hyperlink>
      <w:r>
        <w:rPr>
          <w:rStyle w:val="emsmall"/>
          <w:color w:val="000000"/>
          <w:sz w:val="22"/>
          <w:szCs w:val="22"/>
        </w:rPr>
        <w:t xml:space="preserve"> = </w:t>
      </w:r>
      <w:r>
        <w:rPr>
          <w:rStyle w:val="any"/>
          <w:color w:val="000000"/>
        </w:rPr>
        <w:t xml:space="preserve">ZIP 2001, </w:t>
      </w:r>
      <w:hyperlink r:id="rId126" w:history="1">
        <w:r>
          <w:rPr>
            <w:rStyle w:val="bocontentwrapperbocenteranotbeck-btn"/>
            <w:color w:val="000000"/>
            <w:u w:val="single" w:color="000000"/>
          </w:rPr>
          <w:t>1155</w:t>
        </w:r>
      </w:hyperlink>
      <w:r>
        <w:rPr>
          <w:rStyle w:val="emsmall"/>
          <w:color w:val="000000"/>
          <w:sz w:val="22"/>
          <w:szCs w:val="22"/>
        </w:rPr>
        <w:t xml:space="preserve"> m.w. Nachw.; </w:t>
      </w:r>
      <w:r>
        <w:rPr>
          <w:rStyle w:val="any"/>
          <w:color w:val="000000"/>
        </w:rPr>
        <w:t xml:space="preserve">NZI 2002, </w:t>
      </w:r>
      <w:hyperlink r:id="rId127" w:history="1">
        <w:r>
          <w:rPr>
            <w:rStyle w:val="bocontentwrapperbocenteranotbeck-btn"/>
            <w:color w:val="000000"/>
            <w:u w:val="single" w:color="000000"/>
          </w:rPr>
          <w:t>34</w:t>
        </w:r>
      </w:hyperlink>
      <w:r>
        <w:rPr>
          <w:rStyle w:val="emsmall"/>
          <w:color w:val="000000"/>
          <w:sz w:val="22"/>
          <w:szCs w:val="22"/>
        </w:rPr>
        <w:t xml:space="preserve"> = </w:t>
      </w:r>
      <w:r>
        <w:rPr>
          <w:rStyle w:val="any"/>
          <w:color w:val="000000"/>
        </w:rPr>
        <w:t xml:space="preserve">WM 2001, </w:t>
      </w:r>
      <w:hyperlink r:id="rId128" w:history="1">
        <w:r>
          <w:rPr>
            <w:rStyle w:val="bocontentwrapperbocenteranotbeck-btn"/>
            <w:color w:val="000000"/>
            <w:u w:val="single" w:color="000000"/>
          </w:rPr>
          <w:t>2181</w:t>
        </w:r>
      </w:hyperlink>
      <w:r>
        <w:rPr>
          <w:rStyle w:val="any"/>
          <w:color w:val="000000"/>
        </w:rPr>
        <w:t xml:space="preserve"> [</w:t>
      </w:r>
      <w:hyperlink r:id="rId129" w:history="1">
        <w:r>
          <w:rPr>
            <w:rStyle w:val="bocontentwrapperbocenteranotbeck-btn"/>
            <w:color w:val="000000"/>
            <w:u w:val="single" w:color="000000"/>
          </w:rPr>
          <w:t>2182</w:t>
        </w:r>
      </w:hyperlink>
      <w:r>
        <w:rPr>
          <w:rStyle w:val="emsmall"/>
          <w:color w:val="000000"/>
          <w:sz w:val="22"/>
          <w:szCs w:val="22"/>
        </w:rPr>
        <w:t xml:space="preserve">]). Weitere Schuldtilgungen behauptet die Bekl. selbst nicht. Ohne bestimmte, erhebliche Behauptungen des Anfechtungsgegners obliegt es dem Insolvenzverwalter regelmäßig nicht, auf Grund der ihm verfügbaren Unterlagen des Schuldners durch ein substanziiertes Bestreiten zur Aufklärung des Sachverhalts beizutragen. Im Übrigen hat der Kl. hier die Wiederherstellung der Zahlungsfähigkeit des Schuldners eingehend bestritten. In seinem Gutachten vom 9. 2. 2000 im Rahmen des zweiten Insolvenzeröffnungsverfahrens hat er festgestellt, dass die Insolvenzmasse nur ein </w:t>
      </w:r>
      <w:r>
        <w:rPr>
          <w:rStyle w:val="emsmall"/>
          <w:color w:val="000000"/>
          <w:sz w:val="22"/>
          <w:szCs w:val="22"/>
        </w:rPr>
        <w:lastRenderedPageBreak/>
        <w:t>freies Bankguthaben in Höhe von 9868,50 DM auswies. Ihm standen nach der Behauptung des Kl. im November 1999 offene Forderungen auf Grund nicht gezahlter Löhne und Gehälter in Höhe von 35000 DM, rückständige Zahlungen gegenüber Sozialversicherungsträgern von 65078,25 DM, Verbindlichkeiten aus Lieferungen und Leistungen in Höhe von 700000 DM und sonstige Verbindlichkeiten aus ungesicherten Darlehen von 189614,91 DM gegenüber. Nach dieser Behauptung hat der Schuldner seit Juni 1999 weder Löhne und Gehälter noch Steuern abgeführt (Schriftsatz v. 7. 7. 2000). Dem hat die Bekl. keine abweichenden Angaben entgegengehalten. Mit einem pauschalen Bestreiten vermag sie ihre eigene Darlegungslast nicht zu erfüllen. Im Übrigen ergibt sich aus ihrer eigenen Anmeldung vom 21. 12. 1999 gegenüber dem Kl., dass der Schuldner allein ihr gegenüber bis Ende November 1999 schon wieder mit Beiträgen in Höhe von 12759,90 DM in Rückstand geraten war.</w:t>
      </w:r>
    </w:p>
    <w:p w14:paraId="4EA0EEE7" w14:textId="77777777" w:rsidR="005D07EE" w:rsidRDefault="00000000">
      <w:pPr>
        <w:pStyle w:val="divbocontentwrapperbocenterpParagraph"/>
        <w:spacing w:after="120" w:line="360" w:lineRule="auto"/>
        <w:ind w:right="150"/>
        <w:rPr>
          <w:color w:val="000000"/>
        </w:rPr>
      </w:pPr>
      <w:r>
        <w:rPr>
          <w:color w:val="000000"/>
        </w:rPr>
        <w:t>c) Die Behauptung der Bekl., ihre Vertreter seien jedenfalls subjektiv davon ausgegangen, dass der Schuldner auf Grund der beiden Zahlungen an sie seine Zahlungsfähigkeit wiedergewonnen habe, ist aus Rechtsgründen unerheblich.</w:t>
      </w:r>
    </w:p>
    <w:p w14:paraId="0EF9E452" w14:textId="77777777" w:rsidR="005D07EE" w:rsidRDefault="00000000">
      <w:pPr>
        <w:pStyle w:val="divbocontentwrapperbocenterpParagraph"/>
        <w:spacing w:after="120" w:line="360" w:lineRule="auto"/>
        <w:ind w:right="150"/>
        <w:rPr>
          <w:color w:val="000000"/>
        </w:rPr>
      </w:pPr>
      <w:r>
        <w:rPr>
          <w:color w:val="000000"/>
        </w:rPr>
        <w:t>aa) Im Anwendungsbereich der Konkursordnung wurde angenommen, dass es dem Gläubiger - der die Zahlungsunfähigkeit einmal erkannt hat - allgemein nichts helfe, wenn er irrtümlich glaube, sie sei nachträglich wieder behoben worden (</w:t>
      </w:r>
      <w:r>
        <w:rPr>
          <w:rStyle w:val="emitalicon"/>
          <w:color w:val="000000"/>
        </w:rPr>
        <w:t>RG</w:t>
      </w:r>
      <w:r>
        <w:rPr>
          <w:color w:val="000000"/>
        </w:rPr>
        <w:t xml:space="preserve">, </w:t>
      </w:r>
      <w:r>
        <w:rPr>
          <w:rStyle w:val="any"/>
          <w:color w:val="000000"/>
        </w:rPr>
        <w:t xml:space="preserve">JW 1916, </w:t>
      </w:r>
      <w:hyperlink r:id="rId130" w:history="1">
        <w:r>
          <w:rPr>
            <w:rStyle w:val="bocontentwrapperbocenteranotbeck-btn"/>
            <w:color w:val="000000"/>
            <w:u w:val="single" w:color="000000"/>
          </w:rPr>
          <w:t>1118</w:t>
        </w:r>
      </w:hyperlink>
      <w:r>
        <w:rPr>
          <w:color w:val="000000"/>
        </w:rPr>
        <w:t xml:space="preserve"> Nr. 8; </w:t>
      </w:r>
      <w:r>
        <w:rPr>
          <w:rStyle w:val="emitalicon"/>
          <w:color w:val="000000"/>
        </w:rPr>
        <w:t>OLG Colmar</w:t>
      </w:r>
      <w:r>
        <w:rPr>
          <w:color w:val="000000"/>
        </w:rPr>
        <w:t xml:space="preserve">, OLGR 15, 230; </w:t>
      </w:r>
      <w:r>
        <w:rPr>
          <w:rStyle w:val="emitalicon"/>
          <w:color w:val="000000"/>
        </w:rPr>
        <w:t>Jaeger</w:t>
      </w:r>
      <w:r>
        <w:rPr>
          <w:color w:val="000000"/>
        </w:rPr>
        <w:t xml:space="preserve">, </w:t>
      </w:r>
      <w:r>
        <w:rPr>
          <w:rStyle w:val="any"/>
          <w:color w:val="000000"/>
        </w:rPr>
        <w:t xml:space="preserve">LZ 1914, </w:t>
      </w:r>
      <w:hyperlink r:id="rId131" w:history="1">
        <w:r>
          <w:rPr>
            <w:rStyle w:val="bocontentwrapperbocenteranotbeck-btn"/>
            <w:color w:val="000000"/>
            <w:u w:val="single" w:color="000000"/>
          </w:rPr>
          <w:t>741</w:t>
        </w:r>
      </w:hyperlink>
      <w:r>
        <w:rPr>
          <w:color w:val="000000"/>
        </w:rPr>
        <w:t xml:space="preserve">; </w:t>
      </w:r>
      <w:r>
        <w:rPr>
          <w:rStyle w:val="emitalicon"/>
          <w:color w:val="000000"/>
        </w:rPr>
        <w:t>ders.</w:t>
      </w:r>
      <w:r>
        <w:rPr>
          <w:color w:val="000000"/>
        </w:rPr>
        <w:t xml:space="preserve">, </w:t>
      </w:r>
      <w:r>
        <w:rPr>
          <w:rStyle w:val="any"/>
          <w:color w:val="000000"/>
        </w:rPr>
        <w:t xml:space="preserve">LZ 1914, </w:t>
      </w:r>
      <w:hyperlink r:id="rId132" w:history="1">
        <w:r>
          <w:rPr>
            <w:rStyle w:val="bocontentwrapperbocenteranotbeck-btn"/>
            <w:color w:val="000000"/>
            <w:u w:val="single" w:color="000000"/>
          </w:rPr>
          <w:t>1344</w:t>
        </w:r>
      </w:hyperlink>
      <w:r>
        <w:rPr>
          <w:color w:val="000000"/>
        </w:rPr>
        <w:t xml:space="preserve"> m.w. Nachw.; </w:t>
      </w:r>
      <w:r>
        <w:rPr>
          <w:rStyle w:val="emitalicon"/>
          <w:color w:val="000000"/>
        </w:rPr>
        <w:t>Jaeger/Henckel</w:t>
      </w:r>
      <w:r>
        <w:rPr>
          <w:color w:val="000000"/>
        </w:rPr>
        <w:t xml:space="preserve">, KO, 9. Aufl., § 30 Rdnrn. 32 u. 50 jew. a.E.). Ob dies ohne weiteres auf </w:t>
      </w:r>
      <w:r>
        <w:rPr>
          <w:rStyle w:val="any"/>
          <w:color w:val="000000"/>
        </w:rPr>
        <w:t xml:space="preserve">§ </w:t>
      </w:r>
      <w:hyperlink r:id="rId133" w:history="1">
        <w:r>
          <w:rPr>
            <w:rStyle w:val="bocontentwrapperbocenteranotbeck-btn"/>
            <w:color w:val="000000"/>
            <w:u w:val="single" w:color="000000"/>
          </w:rPr>
          <w:t>130</w:t>
        </w:r>
      </w:hyperlink>
      <w:r>
        <w:rPr>
          <w:rStyle w:val="any"/>
          <w:color w:val="000000"/>
        </w:rPr>
        <w:t xml:space="preserve"> </w:t>
      </w:r>
      <w:hyperlink r:id="rId134" w:history="1">
        <w:r>
          <w:rPr>
            <w:rStyle w:val="bocontentwrapperbocenteranotbeck-btn"/>
            <w:color w:val="000000"/>
            <w:u w:val="single" w:color="000000"/>
          </w:rPr>
          <w:t>II</w:t>
        </w:r>
      </w:hyperlink>
      <w:r>
        <w:rPr>
          <w:rStyle w:val="any"/>
          <w:color w:val="000000"/>
        </w:rPr>
        <w:t xml:space="preserve"> InsO</w:t>
      </w:r>
      <w:r>
        <w:rPr>
          <w:color w:val="000000"/>
        </w:rPr>
        <w:t xml:space="preserve"> übertragen werden kann, braucht hier nicht entscheiden zu werden (vgl. auch </w:t>
      </w:r>
      <w:r>
        <w:rPr>
          <w:rStyle w:val="emitalicon"/>
          <w:color w:val="000000"/>
        </w:rPr>
        <w:t>Senat</w:t>
      </w:r>
      <w:r>
        <w:rPr>
          <w:color w:val="000000"/>
        </w:rPr>
        <w:t xml:space="preserve">, </w:t>
      </w:r>
      <w:r>
        <w:rPr>
          <w:rStyle w:val="any"/>
          <w:color w:val="000000"/>
        </w:rPr>
        <w:t xml:space="preserve">NJW 2002, </w:t>
      </w:r>
      <w:hyperlink r:id="rId135" w:history="1">
        <w:r>
          <w:rPr>
            <w:rStyle w:val="bocontentwrapperbocenteranotbeck-btn"/>
            <w:color w:val="000000"/>
            <w:u w:val="single" w:color="000000"/>
          </w:rPr>
          <w:t>512</w:t>
        </w:r>
      </w:hyperlink>
      <w:r>
        <w:rPr>
          <w:color w:val="000000"/>
        </w:rPr>
        <w:t xml:space="preserve"> [in diesem Heft] = </w:t>
      </w:r>
      <w:r>
        <w:rPr>
          <w:rStyle w:val="any"/>
          <w:color w:val="000000"/>
        </w:rPr>
        <w:t xml:space="preserve">NZI 2002, </w:t>
      </w:r>
      <w:hyperlink r:id="rId136" w:history="1">
        <w:r>
          <w:rPr>
            <w:rStyle w:val="bocontentwrapperbocenteranotbeck-btn"/>
            <w:color w:val="000000"/>
            <w:u w:val="single" w:color="000000"/>
          </w:rPr>
          <w:t>88</w:t>
        </w:r>
      </w:hyperlink>
      <w:r>
        <w:rPr>
          <w:color w:val="000000"/>
        </w:rPr>
        <w:t xml:space="preserve">, z. Veröff. best. in </w:t>
      </w:r>
      <w:r>
        <w:rPr>
          <w:rStyle w:val="emitalicon"/>
          <w:color w:val="000000"/>
        </w:rPr>
        <w:t>BGHZ</w:t>
      </w:r>
      <w:r>
        <w:rPr>
          <w:color w:val="000000"/>
        </w:rPr>
        <w:t>). Denn mindestens müsste der betroffene Insolvenzgläubiger einen Sachverhalt darlegen, der bei zutreffender rechtlicher Sicht (</w:t>
      </w:r>
      <w:r>
        <w:rPr>
          <w:rStyle w:val="any"/>
          <w:color w:val="000000"/>
        </w:rPr>
        <w:t xml:space="preserve">§ </w:t>
      </w:r>
      <w:hyperlink r:id="rId137" w:history="1">
        <w:r>
          <w:rPr>
            <w:rStyle w:val="bocontentwrapperbocenteranotbeck-btn"/>
            <w:color w:val="000000"/>
            <w:u w:val="single" w:color="000000"/>
          </w:rPr>
          <w:t>130</w:t>
        </w:r>
      </w:hyperlink>
      <w:r>
        <w:rPr>
          <w:rStyle w:val="any"/>
          <w:color w:val="000000"/>
        </w:rPr>
        <w:t xml:space="preserve"> </w:t>
      </w:r>
      <w:hyperlink r:id="rId138" w:history="1">
        <w:r>
          <w:rPr>
            <w:rStyle w:val="bocontentwrapperbocenteranotbeck-btn"/>
            <w:color w:val="000000"/>
            <w:u w:val="single" w:color="000000"/>
          </w:rPr>
          <w:t>II</w:t>
        </w:r>
      </w:hyperlink>
      <w:r>
        <w:rPr>
          <w:rStyle w:val="any"/>
          <w:color w:val="000000"/>
        </w:rPr>
        <w:t xml:space="preserve"> InsO</w:t>
      </w:r>
      <w:r>
        <w:rPr>
          <w:color w:val="000000"/>
        </w:rPr>
        <w:t>) einen Wegfall des Eröffnungsgrundes ergäbe.</w:t>
      </w:r>
    </w:p>
    <w:p w14:paraId="23B8CD72" w14:textId="77777777" w:rsidR="005D07EE" w:rsidRDefault="00000000">
      <w:pPr>
        <w:pStyle w:val="divbocontentwrapperbocenterpParagraph"/>
        <w:spacing w:after="120" w:line="360" w:lineRule="auto"/>
        <w:ind w:right="150"/>
        <w:rPr>
          <w:color w:val="000000"/>
        </w:rPr>
      </w:pPr>
      <w:r>
        <w:rPr>
          <w:color w:val="000000"/>
        </w:rPr>
        <w:t xml:space="preserve">bb) Daran fehlt es hier. Allein die Tilgung der eigenen Forderungen der antragstellenden Bekl. genügt auch dann regelmäßig nicht, wenn ihre Vertreter nur diese Forderungen positiv kennen. Da der Schuldner im vorliegenden Fall ein gewerbliches Bauträgerunternehmen betrieb, war es für die Bekl. offensichtlich, dass außer ihr weitere Gläubiger vorhanden waren; vier Arbeitnehmer waren bei ihr selbst versichert. Ein Gläubiger, der nach einem Insolvenzantrag mit dem Schuldner eine Zahlungsvereinbarung schließt, darf grundsätzlich nicht davon ausgehen, dass die Forderungen der anderen, zurückhaltenden Gläubiger in vergleichbarer Weise bedient werden wie seine eigenen. Vielmehr entspricht es einer allgemeinen Lebenserfahrung, dass Schuldner - um ihr wirtschaftliches Überleben zu sichern - unter dem Druck eines Insolvenzantrags Zahlungen bevorzugt an den antragstellenden Gläubiger leisten, um ihn zum Stillhalten zu bewegen. Bei einem Schuldner, der nicht alle seine Gläubiger voll zu befriedigen vermag, gehen solche Zahlungen an den am meisten drängenden Gläubiger typischerweise zu Lasten der anderen, </w:t>
      </w:r>
      <w:r>
        <w:rPr>
          <w:color w:val="000000"/>
        </w:rPr>
        <w:lastRenderedPageBreak/>
        <w:t xml:space="preserve">abwartenden: Diese erhalten auf ihre Forderungen letztlich entsprechend weniger oder zeitgerecht gar nichts. Dies führt dazu, dass mit mehr oder minder großer Verzögerung oft einige der zu kurz gekommenen Gläubiger letztlich erneut Insolvenzanträge stellen, die dann zur Verfahrenseröffnung oder sogar zur Abweisung mangels Masse führen, weil das früher schon insgesamt unzureichende Vermögen des Schuldners inzwischen ganz aufgebraucht ist. Diese Erfahrungswerte verbieten einen Schluss des antragstellenden Gläubigers dahin, dass - nur weil er selbst Zahlungen erhalten hat - der Schuldner seine Zahlungen auch im Allgemeinen wieder aufgenommen habe (vgl. </w:t>
      </w:r>
      <w:r>
        <w:rPr>
          <w:rStyle w:val="emitalicon"/>
          <w:color w:val="000000"/>
        </w:rPr>
        <w:t>Senat</w:t>
      </w:r>
      <w:r>
        <w:rPr>
          <w:color w:val="000000"/>
        </w:rPr>
        <w:t xml:space="preserve">, </w:t>
      </w:r>
      <w:r>
        <w:rPr>
          <w:rStyle w:val="any"/>
          <w:color w:val="000000"/>
        </w:rPr>
        <w:t xml:space="preserve">NJW 2000, </w:t>
      </w:r>
      <w:hyperlink r:id="rId139" w:history="1">
        <w:r>
          <w:rPr>
            <w:rStyle w:val="bocontentwrapperbocenteranotbeck-btn"/>
            <w:color w:val="000000"/>
            <w:u w:val="single" w:color="000000"/>
          </w:rPr>
          <w:t>211</w:t>
        </w:r>
      </w:hyperlink>
      <w:r>
        <w:rPr>
          <w:rStyle w:val="any"/>
          <w:color w:val="000000"/>
        </w:rPr>
        <w:t xml:space="preserve"> [</w:t>
      </w:r>
      <w:hyperlink r:id="rId140" w:history="1">
        <w:r>
          <w:rPr>
            <w:rStyle w:val="bocontentwrapperbocenteranotbeck-btn"/>
            <w:color w:val="000000"/>
            <w:u w:val="single" w:color="000000"/>
          </w:rPr>
          <w:t>212</w:t>
        </w:r>
      </w:hyperlink>
      <w:r>
        <w:rPr>
          <w:color w:val="000000"/>
        </w:rPr>
        <w:t xml:space="preserve">f.] = </w:t>
      </w:r>
      <w:r>
        <w:rPr>
          <w:rStyle w:val="any"/>
          <w:color w:val="000000"/>
        </w:rPr>
        <w:t xml:space="preserve">NZI 2000, </w:t>
      </w:r>
      <w:hyperlink r:id="rId141" w:history="1">
        <w:r>
          <w:rPr>
            <w:rStyle w:val="bocontentwrapperbocenteranotbeck-btn"/>
            <w:color w:val="000000"/>
            <w:u w:val="single" w:color="000000"/>
          </w:rPr>
          <w:t>19</w:t>
        </w:r>
      </w:hyperlink>
      <w:r>
        <w:rPr>
          <w:color w:val="000000"/>
        </w:rPr>
        <w:t xml:space="preserve"> = LM H. 4/2000 GesO Nr. 54; </w:t>
      </w:r>
      <w:r>
        <w:rPr>
          <w:rStyle w:val="any"/>
          <w:color w:val="000000"/>
        </w:rPr>
        <w:t xml:space="preserve">NJW 2002, </w:t>
      </w:r>
      <w:hyperlink r:id="rId142" w:history="1">
        <w:r>
          <w:rPr>
            <w:rStyle w:val="bocontentwrapperbocenteranotbeck-btn"/>
            <w:color w:val="000000"/>
            <w:u w:val="single" w:color="000000"/>
          </w:rPr>
          <w:t>512</w:t>
        </w:r>
      </w:hyperlink>
      <w:r>
        <w:rPr>
          <w:color w:val="000000"/>
        </w:rPr>
        <w:t xml:space="preserve"> [in diesem Heft] = </w:t>
      </w:r>
      <w:r>
        <w:rPr>
          <w:rStyle w:val="any"/>
          <w:color w:val="000000"/>
        </w:rPr>
        <w:t xml:space="preserve">NZI 2002, </w:t>
      </w:r>
      <w:hyperlink r:id="rId143" w:history="1">
        <w:r>
          <w:rPr>
            <w:rStyle w:val="bocontentwrapperbocenteranotbeck-btn"/>
            <w:color w:val="000000"/>
            <w:u w:val="single" w:color="000000"/>
          </w:rPr>
          <w:t>88</w:t>
        </w:r>
      </w:hyperlink>
      <w:r>
        <w:rPr>
          <w:color w:val="000000"/>
        </w:rPr>
        <w:t xml:space="preserve">, z. Veröff. best. in </w:t>
      </w:r>
      <w:r>
        <w:rPr>
          <w:rStyle w:val="emitalicon"/>
          <w:color w:val="000000"/>
        </w:rPr>
        <w:t>BGHZ</w:t>
      </w:r>
      <w:r>
        <w:rPr>
          <w:color w:val="000000"/>
        </w:rPr>
        <w:t xml:space="preserve">; ZInsO 1998, 141; </w:t>
      </w:r>
      <w:r>
        <w:rPr>
          <w:rStyle w:val="emitalicon"/>
          <w:color w:val="000000"/>
        </w:rPr>
        <w:t>OLG Dresden</w:t>
      </w:r>
      <w:r>
        <w:rPr>
          <w:color w:val="000000"/>
        </w:rPr>
        <w:t xml:space="preserve">, </w:t>
      </w:r>
      <w:r>
        <w:rPr>
          <w:rStyle w:val="any"/>
          <w:color w:val="000000"/>
        </w:rPr>
        <w:t xml:space="preserve">ZIP 1997, </w:t>
      </w:r>
      <w:hyperlink r:id="rId144" w:history="1">
        <w:r>
          <w:rPr>
            <w:rStyle w:val="bocontentwrapperbocenteranotbeck-btn"/>
            <w:color w:val="000000"/>
            <w:u w:val="single" w:color="000000"/>
          </w:rPr>
          <w:t>1036</w:t>
        </w:r>
      </w:hyperlink>
      <w:r>
        <w:rPr>
          <w:color w:val="000000"/>
        </w:rPr>
        <w:t xml:space="preserve">; </w:t>
      </w:r>
      <w:r>
        <w:rPr>
          <w:rStyle w:val="emitalicon"/>
          <w:color w:val="000000"/>
        </w:rPr>
        <w:t>OLG Hamm</w:t>
      </w:r>
      <w:r>
        <w:rPr>
          <w:color w:val="000000"/>
        </w:rPr>
        <w:t xml:space="preserve">, </w:t>
      </w:r>
      <w:r>
        <w:rPr>
          <w:rStyle w:val="any"/>
          <w:color w:val="000000"/>
        </w:rPr>
        <w:t xml:space="preserve">ZIP 1996, </w:t>
      </w:r>
      <w:hyperlink r:id="rId145" w:history="1">
        <w:r>
          <w:rPr>
            <w:rStyle w:val="bocontentwrapperbocenteranotbeck-btn"/>
            <w:color w:val="000000"/>
            <w:u w:val="single" w:color="000000"/>
          </w:rPr>
          <w:t>469</w:t>
        </w:r>
      </w:hyperlink>
      <w:r>
        <w:rPr>
          <w:color w:val="000000"/>
        </w:rPr>
        <w:t xml:space="preserve">; </w:t>
      </w:r>
      <w:r>
        <w:rPr>
          <w:rStyle w:val="emitalicon"/>
          <w:color w:val="000000"/>
        </w:rPr>
        <w:t>LG Magdeburg</w:t>
      </w:r>
      <w:r>
        <w:rPr>
          <w:color w:val="000000"/>
        </w:rPr>
        <w:t>, DZWir 1999, 472 [473f.]).</w:t>
      </w:r>
    </w:p>
    <w:p w14:paraId="03AE55F9" w14:textId="77777777" w:rsidR="005D07EE" w:rsidRDefault="00000000">
      <w:pPr>
        <w:pStyle w:val="divbocontentwrapperbocenterpParagraph"/>
        <w:spacing w:after="120" w:line="360" w:lineRule="auto"/>
        <w:ind w:right="150"/>
        <w:rPr>
          <w:color w:val="000000"/>
        </w:rPr>
      </w:pPr>
      <w:r>
        <w:rPr>
          <w:color w:val="000000"/>
        </w:rPr>
        <w:t xml:space="preserve">Diese Erfahrung bestätigte sich auch gerade im vorliegenden Fall. Denn nach dem 7. 10. 1999 hat die Bekl. keinerlei Beitragszahlungen vom Schuldner mehr erlangt. Vielmehr entrichtete dieser schon die am 15. 10. 1999 fällig werdende Septemberrate nicht mehr. Bei nur kurzfristigen zwischenzeitlichen Zahlungen des Schuldners handelt es sich regelmäßig um einen vergeblichen und deshalb bedeutungslosen Versuch, wieder zahlungsfähig zu werden (vgl. </w:t>
      </w:r>
      <w:r>
        <w:rPr>
          <w:rStyle w:val="emitalicon"/>
          <w:color w:val="000000"/>
        </w:rPr>
        <w:t>RGZ</w:t>
      </w:r>
      <w:r>
        <w:rPr>
          <w:color w:val="000000"/>
        </w:rPr>
        <w:t xml:space="preserve"> </w:t>
      </w:r>
      <w:r>
        <w:rPr>
          <w:rStyle w:val="any"/>
          <w:color w:val="000000"/>
        </w:rPr>
        <w:t xml:space="preserve">132, </w:t>
      </w:r>
      <w:hyperlink r:id="rId146" w:history="1">
        <w:r>
          <w:rPr>
            <w:rStyle w:val="bocontentwrapperbocenteranotbeck-btn"/>
            <w:color w:val="000000"/>
            <w:u w:val="single" w:color="000000"/>
          </w:rPr>
          <w:t>281</w:t>
        </w:r>
      </w:hyperlink>
      <w:r>
        <w:rPr>
          <w:rStyle w:val="any"/>
          <w:color w:val="000000"/>
        </w:rPr>
        <w:t xml:space="preserve"> [</w:t>
      </w:r>
      <w:hyperlink r:id="rId147" w:history="1">
        <w:r>
          <w:rPr>
            <w:rStyle w:val="bocontentwrapperbocenteranotbeck-btn"/>
            <w:color w:val="000000"/>
            <w:u w:val="single" w:color="000000"/>
          </w:rPr>
          <w:t>283</w:t>
        </w:r>
      </w:hyperlink>
      <w:r>
        <w:rPr>
          <w:color w:val="000000"/>
        </w:rPr>
        <w:t xml:space="preserve">f.]; </w:t>
      </w:r>
      <w:r>
        <w:rPr>
          <w:rStyle w:val="emitalicon"/>
          <w:color w:val="000000"/>
        </w:rPr>
        <w:t>RG</w:t>
      </w:r>
      <w:r>
        <w:rPr>
          <w:color w:val="000000"/>
        </w:rPr>
        <w:t xml:space="preserve">, </w:t>
      </w:r>
      <w:r>
        <w:rPr>
          <w:rStyle w:val="any"/>
          <w:color w:val="000000"/>
        </w:rPr>
        <w:t xml:space="preserve">JW 1916, </w:t>
      </w:r>
      <w:hyperlink r:id="rId148" w:history="1">
        <w:r>
          <w:rPr>
            <w:rStyle w:val="bocontentwrapperbocenteranotbeck-btn"/>
            <w:color w:val="000000"/>
            <w:u w:val="single" w:color="000000"/>
          </w:rPr>
          <w:t>1118</w:t>
        </w:r>
      </w:hyperlink>
      <w:r>
        <w:rPr>
          <w:color w:val="000000"/>
        </w:rPr>
        <w:t xml:space="preserve"> Nr. 8 m. zust. Anm. von </w:t>
      </w:r>
      <w:r>
        <w:rPr>
          <w:rStyle w:val="emitalicon"/>
          <w:color w:val="000000"/>
        </w:rPr>
        <w:t>Jaeger</w:t>
      </w:r>
      <w:r>
        <w:rPr>
          <w:color w:val="000000"/>
        </w:rPr>
        <w:t>).</w:t>
      </w:r>
    </w:p>
    <w:p w14:paraId="5224F6D7" w14:textId="77777777" w:rsidR="005D07EE" w:rsidRDefault="00000000">
      <w:pPr>
        <w:pStyle w:val="divbocontentwrapperbocenterpParagraph"/>
        <w:spacing w:after="120" w:line="360" w:lineRule="auto"/>
        <w:ind w:right="150"/>
        <w:rPr>
          <w:color w:val="000000"/>
        </w:rPr>
      </w:pPr>
      <w:r>
        <w:rPr>
          <w:color w:val="000000"/>
        </w:rPr>
        <w:t>Endlich muss sich gerade einem Sozialversicherungsträger angesichts der partiellen Strafbewehrtheit seiner Forderungen (</w:t>
      </w:r>
      <w:r>
        <w:rPr>
          <w:rStyle w:val="any"/>
          <w:color w:val="000000"/>
        </w:rPr>
        <w:t xml:space="preserve">§ </w:t>
      </w:r>
      <w:hyperlink r:id="rId149" w:history="1">
        <w:r>
          <w:rPr>
            <w:rStyle w:val="bocontentwrapperbocenteranotbeck-btn"/>
            <w:color w:val="000000"/>
            <w:u w:val="single" w:color="000000"/>
          </w:rPr>
          <w:t>266a</w:t>
        </w:r>
      </w:hyperlink>
      <w:r>
        <w:rPr>
          <w:rStyle w:val="any"/>
          <w:color w:val="000000"/>
        </w:rPr>
        <w:t xml:space="preserve"> StGB</w:t>
      </w:r>
      <w:r>
        <w:rPr>
          <w:color w:val="000000"/>
        </w:rPr>
        <w:t xml:space="preserve">) die allgemeine Erfahrung aufdrängen, dass solche Ansprüche oft vorrangig vor anderen befriedigt werden, deren Nichterfüllung für den insolvenzreifen Schuldner weniger gefährlich ist (vgl. </w:t>
      </w:r>
      <w:r>
        <w:rPr>
          <w:rStyle w:val="emitalicon"/>
          <w:color w:val="000000"/>
        </w:rPr>
        <w:t>Senat</w:t>
      </w:r>
      <w:r>
        <w:rPr>
          <w:color w:val="000000"/>
        </w:rPr>
        <w:t xml:space="preserve">, </w:t>
      </w:r>
      <w:r>
        <w:rPr>
          <w:rStyle w:val="any"/>
          <w:color w:val="000000"/>
        </w:rPr>
        <w:t xml:space="preserve">NJW 2000, </w:t>
      </w:r>
      <w:hyperlink r:id="rId150" w:history="1">
        <w:r>
          <w:rPr>
            <w:rStyle w:val="bocontentwrapperbocenteranotbeck-btn"/>
            <w:color w:val="000000"/>
            <w:u w:val="single" w:color="000000"/>
          </w:rPr>
          <w:t>211</w:t>
        </w:r>
      </w:hyperlink>
      <w:r>
        <w:rPr>
          <w:rStyle w:val="any"/>
          <w:color w:val="000000"/>
        </w:rPr>
        <w:t xml:space="preserve"> [</w:t>
      </w:r>
      <w:hyperlink r:id="rId151" w:history="1">
        <w:r>
          <w:rPr>
            <w:rStyle w:val="bocontentwrapperbocenteranotbeck-btn"/>
            <w:color w:val="000000"/>
            <w:u w:val="single" w:color="000000"/>
          </w:rPr>
          <w:t>213</w:t>
        </w:r>
      </w:hyperlink>
      <w:r>
        <w:rPr>
          <w:color w:val="000000"/>
        </w:rPr>
        <w:t xml:space="preserve">] = </w:t>
      </w:r>
      <w:r>
        <w:rPr>
          <w:rStyle w:val="any"/>
          <w:color w:val="000000"/>
        </w:rPr>
        <w:t xml:space="preserve">NZI 2000, </w:t>
      </w:r>
      <w:hyperlink r:id="rId152" w:history="1">
        <w:r>
          <w:rPr>
            <w:rStyle w:val="bocontentwrapperbocenteranotbeck-btn"/>
            <w:color w:val="000000"/>
            <w:u w:val="single" w:color="000000"/>
          </w:rPr>
          <w:t>19</w:t>
        </w:r>
      </w:hyperlink>
      <w:r>
        <w:rPr>
          <w:color w:val="000000"/>
        </w:rPr>
        <w:t xml:space="preserve"> = LM H. 4/2000 GesO Nr. 54).</w:t>
      </w:r>
    </w:p>
    <w:p w14:paraId="6F1E7796" w14:textId="77777777" w:rsidR="005D07EE" w:rsidRDefault="00000000">
      <w:pPr>
        <w:pStyle w:val="divbocontentwrapperbocenterpParagraph"/>
        <w:spacing w:after="120" w:line="360" w:lineRule="auto"/>
        <w:ind w:right="150"/>
        <w:rPr>
          <w:color w:val="000000"/>
        </w:rPr>
      </w:pPr>
      <w:r>
        <w:rPr>
          <w:color w:val="000000"/>
        </w:rPr>
        <w:t xml:space="preserve">III. Der </w:t>
      </w:r>
      <w:r>
        <w:rPr>
          <w:rStyle w:val="emitalicon"/>
          <w:color w:val="000000"/>
        </w:rPr>
        <w:t xml:space="preserve">Senat </w:t>
      </w:r>
      <w:r>
        <w:rPr>
          <w:color w:val="000000"/>
        </w:rPr>
        <w:t>kann in der Sache nicht abschließend entscheiden (</w:t>
      </w:r>
      <w:r>
        <w:rPr>
          <w:rStyle w:val="any"/>
          <w:color w:val="000000"/>
        </w:rPr>
        <w:t xml:space="preserve">§ </w:t>
      </w:r>
      <w:hyperlink r:id="rId153" w:history="1">
        <w:r>
          <w:rPr>
            <w:rStyle w:val="bocontentwrapperbocenteranotbeck-btn"/>
            <w:color w:val="000000"/>
            <w:u w:val="single" w:color="000000"/>
          </w:rPr>
          <w:t>565</w:t>
        </w:r>
      </w:hyperlink>
      <w:r>
        <w:rPr>
          <w:rStyle w:val="any"/>
          <w:color w:val="000000"/>
        </w:rPr>
        <w:t xml:space="preserve"> </w:t>
      </w:r>
      <w:hyperlink r:id="rId154" w:history="1">
        <w:r>
          <w:rPr>
            <w:rStyle w:val="bocontentwrapperbocenteranotbeck-btn"/>
            <w:color w:val="000000"/>
            <w:u w:val="single" w:color="000000"/>
          </w:rPr>
          <w:t>III</w:t>
        </w:r>
      </w:hyperlink>
      <w:r>
        <w:rPr>
          <w:rStyle w:val="any"/>
          <w:color w:val="000000"/>
        </w:rPr>
        <w:t xml:space="preserve"> Nr. 1 ZPO</w:t>
      </w:r>
      <w:r>
        <w:rPr>
          <w:color w:val="000000"/>
        </w:rPr>
        <w:t xml:space="preserve">). Denn die Revisionserwiderung rügt zutreffend, dass das BerGer. eine objektiv bestehende Zahlungsunfähigkeit des Schuldners zum 29. 9. 1999 nicht verfahrensfehlerfrei festgestellt hat: Es hat sich hierbei nicht allein auf die Forderung der Bekl. gestützt, sondern wesentlich auch auf den Bestand der Forderungen des Finanzamts L., der </w:t>
      </w:r>
      <w:r>
        <w:rPr>
          <w:rStyle w:val="emitalicon"/>
          <w:color w:val="000000"/>
        </w:rPr>
        <w:t>B</w:t>
      </w:r>
      <w:r>
        <w:rPr>
          <w:color w:val="000000"/>
        </w:rPr>
        <w:t xml:space="preserve">-Ersatzkasse und der </w:t>
      </w:r>
      <w:r>
        <w:rPr>
          <w:rStyle w:val="emitalicon"/>
          <w:color w:val="000000"/>
        </w:rPr>
        <w:t>A</w:t>
      </w:r>
      <w:r>
        <w:rPr>
          <w:color w:val="000000"/>
        </w:rPr>
        <w:t xml:space="preserve">-Sachsen abgestellt (s.o. II 3). Derartige Ansprüche hatte die Bekl. „mit Nichtwissen” bestritten. Dies war, entgegen der Auffassung des BerGer., jedenfalls deshalb nicht gem. </w:t>
      </w:r>
      <w:r>
        <w:rPr>
          <w:rStyle w:val="any"/>
          <w:color w:val="000000"/>
        </w:rPr>
        <w:t xml:space="preserve">§ </w:t>
      </w:r>
      <w:hyperlink r:id="rId155" w:history="1">
        <w:r>
          <w:rPr>
            <w:rStyle w:val="bocontentwrapperbocenteranotbeck-btn"/>
            <w:color w:val="000000"/>
            <w:u w:val="single" w:color="000000"/>
          </w:rPr>
          <w:t>138</w:t>
        </w:r>
      </w:hyperlink>
      <w:r>
        <w:rPr>
          <w:rStyle w:val="any"/>
          <w:color w:val="000000"/>
        </w:rPr>
        <w:t xml:space="preserve"> </w:t>
      </w:r>
      <w:hyperlink r:id="rId156" w:history="1">
        <w:r>
          <w:rPr>
            <w:rStyle w:val="bocontentwrapperbocenteranotbeck-btn"/>
            <w:color w:val="000000"/>
            <w:u w:val="single" w:color="000000"/>
          </w:rPr>
          <w:t>IV</w:t>
        </w:r>
      </w:hyperlink>
      <w:r>
        <w:rPr>
          <w:rStyle w:val="any"/>
          <w:color w:val="000000"/>
        </w:rPr>
        <w:t xml:space="preserve"> ZPO</w:t>
      </w:r>
      <w:r>
        <w:rPr>
          <w:color w:val="000000"/>
        </w:rPr>
        <w:t xml:space="preserve"> unzulässig, weil auch der Kl. selbst jene zur Gesamtvollstreckungstabelle angemeldeten Forderungen (vorläufig) bestritten hat. Das BerGer. wird demgemäß den Bestand dieser Forderungen zur maßgeblichen Zeit aufklären müssen (</w:t>
      </w:r>
      <w:r>
        <w:rPr>
          <w:rStyle w:val="any"/>
          <w:color w:val="000000"/>
        </w:rPr>
        <w:t xml:space="preserve">§ </w:t>
      </w:r>
      <w:hyperlink r:id="rId157" w:history="1">
        <w:r>
          <w:rPr>
            <w:rStyle w:val="bocontentwrapperbocenteranotbeck-btn"/>
            <w:color w:val="000000"/>
            <w:u w:val="single" w:color="000000"/>
          </w:rPr>
          <w:t>565</w:t>
        </w:r>
      </w:hyperlink>
      <w:r>
        <w:rPr>
          <w:rStyle w:val="any"/>
          <w:color w:val="000000"/>
        </w:rPr>
        <w:t xml:space="preserve"> </w:t>
      </w:r>
      <w:hyperlink r:id="rId158" w:history="1">
        <w:r>
          <w:rPr>
            <w:rStyle w:val="bocontentwrapperbocenteranotbeck-btn"/>
            <w:color w:val="000000"/>
            <w:u w:val="single" w:color="000000"/>
          </w:rPr>
          <w:t>I</w:t>
        </w:r>
      </w:hyperlink>
      <w:r>
        <w:rPr>
          <w:rStyle w:val="any"/>
          <w:color w:val="000000"/>
        </w:rPr>
        <w:t xml:space="preserve"> 1 ZPO</w:t>
      </w:r>
      <w:r>
        <w:rPr>
          <w:color w:val="000000"/>
        </w:rPr>
        <w:t>), wenn es eine Zahlungseinstellung nicht schon allein aus dem Verhalten des Schuldners gegenüber der Bekl. abzuleiten vermag.</w:t>
      </w:r>
      <w:bookmarkStart w:id="2" w:name="Y-300-Z-NJW-B-2002-S-515-N-1-NAME-ANMRED"/>
      <w:bookmarkEnd w:id="2"/>
    </w:p>
    <w:p w14:paraId="7EDE9B64" w14:textId="77777777" w:rsidR="005D07EE" w:rsidRDefault="00000000">
      <w:pPr>
        <w:pStyle w:val="printcontenth2"/>
        <w:pBdr>
          <w:top w:val="single" w:sz="6" w:space="0" w:color="808080"/>
        </w:pBdr>
        <w:spacing w:before="300" w:line="360" w:lineRule="auto"/>
        <w:ind w:right="150"/>
        <w:outlineLvl w:val="1"/>
        <w:rPr>
          <w:b/>
          <w:bCs/>
        </w:rPr>
      </w:pPr>
      <w:r>
        <w:rPr>
          <w:b/>
          <w:bCs/>
        </w:rPr>
        <w:t>Anm. d. Schriftltg.:</w:t>
      </w:r>
    </w:p>
    <w:p w14:paraId="3CFC4CBB" w14:textId="77777777" w:rsidR="005D07EE" w:rsidRDefault="00000000">
      <w:pPr>
        <w:pStyle w:val="divbocontentwrapperbocenterpParagraph"/>
        <w:pBdr>
          <w:top w:val="single" w:sz="6" w:space="0" w:color="808080"/>
        </w:pBdr>
        <w:spacing w:after="120" w:line="360" w:lineRule="auto"/>
        <w:ind w:right="150"/>
        <w:rPr>
          <w:color w:val="000000"/>
        </w:rPr>
      </w:pPr>
      <w:r>
        <w:rPr>
          <w:color w:val="000000"/>
        </w:rPr>
        <w:lastRenderedPageBreak/>
        <w:t xml:space="preserve">Vgl. zur mehrfach zit. Entscheidung </w:t>
      </w:r>
      <w:r>
        <w:rPr>
          <w:rStyle w:val="emitalicon"/>
          <w:color w:val="000000"/>
        </w:rPr>
        <w:t>BGH</w:t>
      </w:r>
      <w:r>
        <w:rPr>
          <w:color w:val="000000"/>
        </w:rPr>
        <w:t xml:space="preserve">, </w:t>
      </w:r>
      <w:r>
        <w:rPr>
          <w:rStyle w:val="any"/>
          <w:color w:val="000000"/>
        </w:rPr>
        <w:t xml:space="preserve">NJW 2000, </w:t>
      </w:r>
      <w:hyperlink r:id="rId159" w:history="1">
        <w:r>
          <w:rPr>
            <w:rStyle w:val="bocontentwrapperbocenteranotbeck-btn"/>
            <w:color w:val="000000"/>
            <w:u w:val="single" w:color="000000"/>
          </w:rPr>
          <w:t>211</w:t>
        </w:r>
      </w:hyperlink>
      <w:r>
        <w:rPr>
          <w:color w:val="000000"/>
        </w:rPr>
        <w:t xml:space="preserve"> = </w:t>
      </w:r>
      <w:r>
        <w:rPr>
          <w:rStyle w:val="any"/>
          <w:color w:val="000000"/>
        </w:rPr>
        <w:t xml:space="preserve">NZI 2000, </w:t>
      </w:r>
      <w:hyperlink r:id="rId160" w:history="1">
        <w:r>
          <w:rPr>
            <w:rStyle w:val="bocontentwrapperbocenteranotbeck-btn"/>
            <w:color w:val="000000"/>
            <w:u w:val="single" w:color="000000"/>
          </w:rPr>
          <w:t>19</w:t>
        </w:r>
      </w:hyperlink>
      <w:r>
        <w:rPr>
          <w:color w:val="000000"/>
        </w:rPr>
        <w:t xml:space="preserve">, die Anm. </w:t>
      </w:r>
      <w:r>
        <w:rPr>
          <w:rStyle w:val="emitalicon"/>
          <w:color w:val="000000"/>
        </w:rPr>
        <w:t>Huber</w:t>
      </w:r>
      <w:r>
        <w:rPr>
          <w:color w:val="000000"/>
        </w:rPr>
        <w:t xml:space="preserve">, LM H. 4/2000 GesO Nr. 54, und </w:t>
      </w:r>
      <w:r>
        <w:rPr>
          <w:rStyle w:val="emitalicon"/>
          <w:color w:val="000000"/>
        </w:rPr>
        <w:t>Eckhardt</w:t>
      </w:r>
      <w:r>
        <w:rPr>
          <w:color w:val="000000"/>
        </w:rPr>
        <w:t xml:space="preserve">, EWiR § 10 GesO 1/2000, 83. S. zur Anfechtung der Zahlung der Sozialversicherungsbeiträge </w:t>
      </w:r>
      <w:r>
        <w:rPr>
          <w:rStyle w:val="emitalicon"/>
          <w:color w:val="000000"/>
        </w:rPr>
        <w:t>OLG Hamburg</w:t>
      </w:r>
      <w:r>
        <w:rPr>
          <w:color w:val="000000"/>
        </w:rPr>
        <w:t xml:space="preserve">, </w:t>
      </w:r>
      <w:r>
        <w:rPr>
          <w:rStyle w:val="any"/>
          <w:color w:val="000000"/>
        </w:rPr>
        <w:t xml:space="preserve">ZIP 2001, </w:t>
      </w:r>
      <w:hyperlink r:id="rId161" w:history="1">
        <w:r>
          <w:rPr>
            <w:rStyle w:val="bocontentwrapperbocenteranotbeck-btn"/>
            <w:color w:val="000000"/>
            <w:u w:val="single" w:color="000000"/>
          </w:rPr>
          <w:t>708</w:t>
        </w:r>
      </w:hyperlink>
      <w:r>
        <w:rPr>
          <w:color w:val="000000"/>
        </w:rPr>
        <w:t xml:space="preserve">; </w:t>
      </w:r>
      <w:r>
        <w:rPr>
          <w:rStyle w:val="emitalicon"/>
          <w:color w:val="000000"/>
        </w:rPr>
        <w:t>LG Hamburg</w:t>
      </w:r>
      <w:r>
        <w:rPr>
          <w:color w:val="000000"/>
        </w:rPr>
        <w:t xml:space="preserve">, </w:t>
      </w:r>
      <w:r>
        <w:rPr>
          <w:rStyle w:val="any"/>
          <w:color w:val="000000"/>
        </w:rPr>
        <w:t xml:space="preserve">ZIP 2001, </w:t>
      </w:r>
      <w:hyperlink r:id="rId162" w:history="1">
        <w:r>
          <w:rPr>
            <w:rStyle w:val="bocontentwrapperbocenteranotbeck-btn"/>
            <w:color w:val="000000"/>
            <w:u w:val="single" w:color="000000"/>
          </w:rPr>
          <w:t>711</w:t>
        </w:r>
      </w:hyperlink>
      <w:r>
        <w:rPr>
          <w:color w:val="000000"/>
        </w:rPr>
        <w:t xml:space="preserve">; </w:t>
      </w:r>
      <w:r>
        <w:rPr>
          <w:rStyle w:val="emitalicon"/>
          <w:color w:val="000000"/>
        </w:rPr>
        <w:t>AG Düsseldorf</w:t>
      </w:r>
      <w:r>
        <w:rPr>
          <w:color w:val="000000"/>
        </w:rPr>
        <w:t xml:space="preserve">, </w:t>
      </w:r>
      <w:r>
        <w:rPr>
          <w:rStyle w:val="any"/>
          <w:color w:val="000000"/>
        </w:rPr>
        <w:t xml:space="preserve">NZI 2001, </w:t>
      </w:r>
      <w:hyperlink r:id="rId163" w:history="1">
        <w:r>
          <w:rPr>
            <w:rStyle w:val="bocontentwrapperbocenteranotbeck-btn"/>
            <w:color w:val="000000"/>
            <w:u w:val="single" w:color="000000"/>
          </w:rPr>
          <w:t>492</w:t>
        </w:r>
      </w:hyperlink>
      <w:r>
        <w:rPr>
          <w:color w:val="000000"/>
        </w:rPr>
        <w:t>.</w:t>
      </w:r>
    </w:p>
    <w:p w14:paraId="36187016" w14:textId="77777777" w:rsidR="005D07EE" w:rsidRDefault="00000000">
      <w:pPr>
        <w:pStyle w:val="printcontenth3"/>
        <w:spacing w:line="360" w:lineRule="auto"/>
        <w:ind w:left="150" w:right="150"/>
        <w:outlineLvl w:val="2"/>
        <w:rPr>
          <w:b/>
          <w:bCs/>
        </w:rPr>
      </w:pPr>
      <w:r>
        <w:rPr>
          <w:b/>
          <w:bCs/>
        </w:rPr>
        <w:t>Entscheidung zitiert in:</w:t>
      </w:r>
    </w:p>
    <w:p w14:paraId="6290C0C6" w14:textId="77777777" w:rsidR="005D07EE" w:rsidRDefault="00000000">
      <w:pPr>
        <w:pStyle w:val="printcontentdivnotlawversion"/>
        <w:spacing w:line="360" w:lineRule="auto"/>
        <w:ind w:left="150" w:right="150"/>
      </w:pPr>
      <w:r>
        <w:t>Büchern | Braun, Insolvenzordnung | Heyd/Kautenburger-Behr/Wind, Bilanzierung und Besteuerung in Krise und Insolvenz | Michalski GmbHG | Noack/Servatius/Haas, GmbHG, 24. A. 2025 | BeckOK BGB, 78. Edition | IDW Sanierung und Insolvenz, 2. A. 2022 | IDW Verlautbarungen, Werkstand: IDW Life 6 / 2026 | Musielak/Voit, ZPO, 23. A. 2026 | Oppenländer/Trölitzsch, Praxishandbuch der GmbH-Geschäftsführung, 4. A. 2025 | Koenig, Abgabenordnung, 6. A. 2026 | Beck'sches Handbuch d. Personengesellschaften, 5. A. 2020 | Schauhoff/Kirchhain, Hdb. d. Gemeinnützigkeit, 4. A. 2023 | Sonnleitner/Witfeld, Insolvenz- und Sanierungssteuerrecht, 2. A. 2022 | Winnefeld, Bilanz-Handbuch, 5. A., 5. A. 2015 | Rechtsprechung | Verwaltungsvorschriften | Aufsätzen | Meldungen</w:t>
      </w:r>
    </w:p>
    <w:p w14:paraId="66406264" w14:textId="77777777" w:rsidR="005D07EE" w:rsidRDefault="00000000">
      <w:pPr>
        <w:pStyle w:val="printcontenth3"/>
        <w:spacing w:line="360" w:lineRule="auto"/>
        <w:ind w:left="150" w:right="150"/>
        <w:outlineLvl w:val="2"/>
        <w:rPr>
          <w:b/>
          <w:bCs/>
        </w:rPr>
      </w:pPr>
      <w:r>
        <w:rPr>
          <w:b/>
          <w:bCs/>
        </w:rPr>
        <w:t>Parallelfundstellen:</w:t>
      </w:r>
    </w:p>
    <w:p w14:paraId="4F0B76D6" w14:textId="77777777" w:rsidR="005D07EE" w:rsidRDefault="00000000">
      <w:pPr>
        <w:pStyle w:val="printcontentdivnotlawversion"/>
        <w:spacing w:line="360" w:lineRule="auto"/>
        <w:ind w:left="150" w:right="150"/>
      </w:pPr>
      <w:r>
        <w:t>Entscheidungen | NZI 2002, 91 | NZG 2002, 141 | BB 2002 Heft 3, 116 | BeckRS 2002, 38 | IBRRS 2002, 0024 | DStR 2002, 369 (Ls.) | NZI-Beil. 2002, 28 (Ls.) | NZA 2002, 463 (Ls.) | FHZivR 48 Nr. 9561 (Ls.) | FHZivR 48 Nr. 9562 (Ls.) | LSK 2002, 10271 (Ls.) | Weitere Fundstellen | BGHZ 149, 178 | DB 2002, 267 | DZWir 2003, 110 (m. Anm. Dr. Lucas F. Flöther, Gregor Bräuer) | InVo 2002, 95 | KTS 2002, 135 | LM InsO § 130 Nr. 1/2 (m. Anm. Professor Dr. Michael Huber) | LM Nr. 1/2 § 130 InsO | MDR 2002, 416 | NJ 2002, 313 (Ls. m. Anm. Kristof Biehl) | ZIP 2002, 87</w:t>
      </w:r>
    </w:p>
    <w:p w14:paraId="05DAC7C9" w14:textId="03478D1A" w:rsidR="005D07EE" w:rsidRDefault="005D07EE">
      <w:pPr>
        <w:pStyle w:val="tdm-long"/>
        <w:spacing w:before="225" w:after="2"/>
        <w:ind w:right="150"/>
        <w:rPr>
          <w:sz w:val="16"/>
          <w:szCs w:val="16"/>
        </w:rPr>
      </w:pPr>
    </w:p>
    <w:sectPr w:rsidR="005D07EE">
      <w:headerReference w:type="even" r:id="rId164"/>
      <w:headerReference w:type="default" r:id="rId165"/>
      <w:headerReference w:type="first" r:id="rId16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114FC3" w14:textId="77777777" w:rsidR="00DF4E9B" w:rsidRDefault="00DF4E9B">
      <w:r>
        <w:separator/>
      </w:r>
    </w:p>
  </w:endnote>
  <w:endnote w:type="continuationSeparator" w:id="0">
    <w:p w14:paraId="63CE55CF" w14:textId="77777777" w:rsidR="00DF4E9B" w:rsidRDefault="00DF4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7BC90B" w14:textId="77777777" w:rsidR="00DF4E9B" w:rsidRDefault="00DF4E9B">
      <w:r>
        <w:separator/>
      </w:r>
    </w:p>
  </w:footnote>
  <w:footnote w:type="continuationSeparator" w:id="0">
    <w:p w14:paraId="1227126D" w14:textId="77777777" w:rsidR="00DF4E9B" w:rsidRDefault="00DF4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2EFAC" w14:textId="77777777" w:rsidR="00B311D5" w:rsidRDefault="00B311D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83477" w14:textId="62C7F28D" w:rsidR="005D07EE" w:rsidRDefault="005D07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6BA38" w14:textId="77777777" w:rsidR="00B311D5" w:rsidRDefault="00B311D5">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EE"/>
    <w:rsid w:val="005D07EE"/>
    <w:rsid w:val="00B311D5"/>
    <w:rsid w:val="00CD3831"/>
    <w:rsid w:val="00DF4E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803DA"/>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B311D5"/>
    <w:pPr>
      <w:tabs>
        <w:tab w:val="center" w:pos="4536"/>
        <w:tab w:val="right" w:pos="9072"/>
      </w:tabs>
    </w:pPr>
  </w:style>
  <w:style w:type="character" w:customStyle="1" w:styleId="KopfzeileZchn">
    <w:name w:val="Kopfzeile Zchn"/>
    <w:basedOn w:val="Absatz-Standardschriftart"/>
    <w:link w:val="Kopfzeile"/>
    <w:uiPriority w:val="99"/>
    <w:rsid w:val="00B311D5"/>
    <w:rPr>
      <w:color w:val="141414"/>
      <w:sz w:val="22"/>
      <w:szCs w:val="22"/>
    </w:rPr>
  </w:style>
  <w:style w:type="paragraph" w:styleId="Fuzeile">
    <w:name w:val="footer"/>
    <w:basedOn w:val="Standard"/>
    <w:link w:val="FuzeileZchn"/>
    <w:uiPriority w:val="99"/>
    <w:unhideWhenUsed/>
    <w:rsid w:val="00B311D5"/>
    <w:pPr>
      <w:tabs>
        <w:tab w:val="center" w:pos="4536"/>
        <w:tab w:val="right" w:pos="9072"/>
      </w:tabs>
    </w:pPr>
  </w:style>
  <w:style w:type="character" w:customStyle="1" w:styleId="FuzeileZchn">
    <w:name w:val="Fußzeile Zchn"/>
    <w:basedOn w:val="Absatz-Standardschriftart"/>
    <w:link w:val="Fuzeile"/>
    <w:uiPriority w:val="99"/>
    <w:rsid w:val="00B311D5"/>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100&amp;g=INSO&amp;p=17&amp;x=II" TargetMode="External"/><Relationship Id="rId21" Type="http://schemas.openxmlformats.org/officeDocument/2006/relationships/hyperlink" Target="https://beck-online.beck.de/?typ=reference&amp;y=100&amp;g=INSO&amp;p=130" TargetMode="External"/><Relationship Id="rId42" Type="http://schemas.openxmlformats.org/officeDocument/2006/relationships/hyperlink" Target="https://beck-online.beck.de/?typ=reference&amp;y=100&amp;g=INSO&amp;p=133" TargetMode="External"/><Relationship Id="rId63" Type="http://schemas.openxmlformats.org/officeDocument/2006/relationships/hyperlink" Target="https://beck-online.beck.de/?typ=reference&amp;y=300&amp;z=NJW&amp;b=2002&amp;s=442" TargetMode="External"/><Relationship Id="rId84" Type="http://schemas.openxmlformats.org/officeDocument/2006/relationships/hyperlink" Target="https://beck-online.beck.de/?typ=reference&amp;y=100&amp;g=INSO&amp;p=130&amp;x=I" TargetMode="External"/><Relationship Id="rId138" Type="http://schemas.openxmlformats.org/officeDocument/2006/relationships/hyperlink" Target="https://beck-online.beck.de/?typ=reference&amp;y=100&amp;g=INSO&amp;p=130&amp;x=II" TargetMode="External"/><Relationship Id="rId159" Type="http://schemas.openxmlformats.org/officeDocument/2006/relationships/hyperlink" Target="https://beck-online.beck.de/?typ=reference&amp;y=300&amp;z=NJW&amp;b=2000&amp;s=211" TargetMode="External"/><Relationship Id="rId107" Type="http://schemas.openxmlformats.org/officeDocument/2006/relationships/hyperlink" Target="https://beck-online.beck.de/?typ=reference&amp;y=300&amp;z=NZI&amp;b=2000&amp;s=214" TargetMode="External"/><Relationship Id="rId11" Type="http://schemas.openxmlformats.org/officeDocument/2006/relationships/hyperlink" Target="https://beck-online.beck.de/?typ=reference&amp;y=100&amp;g=INSO&amp;p=130&amp;x=II" TargetMode="External"/><Relationship Id="rId32" Type="http://schemas.openxmlformats.org/officeDocument/2006/relationships/hyperlink" Target="https://beck-online.beck.de/?typ=reference&amp;y=100&amp;g=GESO&amp;p=10" TargetMode="External"/><Relationship Id="rId53" Type="http://schemas.openxmlformats.org/officeDocument/2006/relationships/hyperlink" Target="https://beck-online.beck.de/?typ=reference&amp;y=100&amp;g=ZPO&amp;p=91A" TargetMode="External"/><Relationship Id="rId74" Type="http://schemas.openxmlformats.org/officeDocument/2006/relationships/hyperlink" Target="https://beck-online.beck.de/?typ=reference&amp;y=100&amp;g=INSO&amp;p=130" TargetMode="External"/><Relationship Id="rId128" Type="http://schemas.openxmlformats.org/officeDocument/2006/relationships/hyperlink" Target="https://beck-online.beck.de/?typ=reference&amp;y=300&amp;z=WM&amp;b=2001&amp;s=2181" TargetMode="External"/><Relationship Id="rId149" Type="http://schemas.openxmlformats.org/officeDocument/2006/relationships/hyperlink" Target="https://beck-online.beck.de/?typ=reference&amp;y=100&amp;g=STGB&amp;p=266A" TargetMode="External"/><Relationship Id="rId5" Type="http://schemas.openxmlformats.org/officeDocument/2006/relationships/endnotes" Target="endnotes.xml"/><Relationship Id="rId95" Type="http://schemas.openxmlformats.org/officeDocument/2006/relationships/hyperlink" Target="https://beck-online.beck.de/?typ=reference&amp;y=300&amp;z=NJW&amp;b=1999&amp;s=645" TargetMode="External"/><Relationship Id="rId160" Type="http://schemas.openxmlformats.org/officeDocument/2006/relationships/hyperlink" Target="https://beck-online.beck.de/?typ=reference&amp;y=300&amp;z=NZI&amp;b=2000&amp;s=19" TargetMode="External"/><Relationship Id="rId22" Type="http://schemas.openxmlformats.org/officeDocument/2006/relationships/hyperlink" Target="https://beck-online.beck.de/?typ=reference&amp;y=100&amp;g=INSO&amp;p=130&amp;x=I" TargetMode="External"/><Relationship Id="rId43" Type="http://schemas.openxmlformats.org/officeDocument/2006/relationships/hyperlink" Target="https://beck-online.beck.de/?typ=reference&amp;y=100&amp;g=INSO&amp;p=135" TargetMode="External"/><Relationship Id="rId64" Type="http://schemas.openxmlformats.org/officeDocument/2006/relationships/hyperlink" Target="https://beck-online.beck.de/?typ=reference&amp;y=100&amp;g=INSO&amp;p=13" TargetMode="External"/><Relationship Id="rId118" Type="http://schemas.openxmlformats.org/officeDocument/2006/relationships/hyperlink" Target="https://beck-online.beck.de/?typ=reference&amp;y=100&amp;g=INSO&amp;p=130" TargetMode="External"/><Relationship Id="rId139" Type="http://schemas.openxmlformats.org/officeDocument/2006/relationships/hyperlink" Target="https://beck-online.beck.de/?typ=reference&amp;y=300&amp;z=NJW&amp;b=2000&amp;s=211" TargetMode="External"/><Relationship Id="rId85" Type="http://schemas.openxmlformats.org/officeDocument/2006/relationships/hyperlink" Target="https://beck-online.beck.de/?typ=reference&amp;y=300&amp;z=NJW&amp;b=1995&amp;s=2103" TargetMode="External"/><Relationship Id="rId150" Type="http://schemas.openxmlformats.org/officeDocument/2006/relationships/hyperlink" Target="https://beck-online.beck.de/?typ=reference&amp;y=300&amp;z=NJW&amp;b=2000&amp;s=211" TargetMode="External"/><Relationship Id="rId12" Type="http://schemas.openxmlformats.org/officeDocument/2006/relationships/hyperlink" Target="https://beck-online.beck.de/?typ=reference&amp;y=100&amp;g=INSO&amp;p=139" TargetMode="External"/><Relationship Id="rId17" Type="http://schemas.openxmlformats.org/officeDocument/2006/relationships/hyperlink" Target="https://beck-online.beck.de/?typ=reference&amp;y=300&amp;z=NZI&amp;b=2002&amp;s=88" TargetMode="External"/><Relationship Id="rId33" Type="http://schemas.openxmlformats.org/officeDocument/2006/relationships/hyperlink" Target="https://beck-online.beck.de/?typ=reference&amp;y=100&amp;g=GESO&amp;p=10&amp;x=I" TargetMode="External"/><Relationship Id="rId38" Type="http://schemas.openxmlformats.org/officeDocument/2006/relationships/hyperlink" Target="https://beck-online.beck.de/?typ=reference&amp;y=100&amp;g=INSO&amp;p=130" TargetMode="External"/><Relationship Id="rId59" Type="http://schemas.openxmlformats.org/officeDocument/2006/relationships/hyperlink" Target="https://beck-online.beck.de/?typ=reference&amp;y=100&amp;g=INSO&amp;p=5&amp;x=I" TargetMode="External"/><Relationship Id="rId103" Type="http://schemas.openxmlformats.org/officeDocument/2006/relationships/hyperlink" Target="https://beck-online.beck.de/?typ=reference&amp;y=100&amp;g=INSO&amp;p=17" TargetMode="External"/><Relationship Id="rId108" Type="http://schemas.openxmlformats.org/officeDocument/2006/relationships/hyperlink" Target="https://beck-online.beck.de/?typ=reference&amp;y=300&amp;z=NZI&amp;b=2000&amp;s=216" TargetMode="External"/><Relationship Id="rId124" Type="http://schemas.openxmlformats.org/officeDocument/2006/relationships/hyperlink" Target="https://beck-online.beck.de/?typ=reference&amp;y=300&amp;z=NJW-RR&amp;b=2001&amp;s=1204" TargetMode="External"/><Relationship Id="rId129" Type="http://schemas.openxmlformats.org/officeDocument/2006/relationships/hyperlink" Target="https://beck-online.beck.de/?typ=reference&amp;y=300&amp;z=WM&amp;b=2001&amp;s=2182" TargetMode="External"/><Relationship Id="rId54" Type="http://schemas.openxmlformats.org/officeDocument/2006/relationships/hyperlink" Target="https://beck-online.beck.de/?typ=reference&amp;y=100&amp;g=INSO&amp;p=4" TargetMode="External"/><Relationship Id="rId70" Type="http://schemas.openxmlformats.org/officeDocument/2006/relationships/hyperlink" Target="https://beck-online.beck.de/?typ=reference&amp;y=100&amp;g=INSO&amp;p=130" TargetMode="External"/><Relationship Id="rId75" Type="http://schemas.openxmlformats.org/officeDocument/2006/relationships/hyperlink" Target="https://beck-online.beck.de/?typ=reference&amp;y=100&amp;g=INSO&amp;p=130&amp;x=II" TargetMode="External"/><Relationship Id="rId91" Type="http://schemas.openxmlformats.org/officeDocument/2006/relationships/hyperlink" Target="https://beck-online.beck.de/?typ=reference&amp;y=100&amp;g=INSO&amp;p=130" TargetMode="External"/><Relationship Id="rId96" Type="http://schemas.openxmlformats.org/officeDocument/2006/relationships/hyperlink" Target="https://beck-online.beck.de/?typ=reference&amp;y=300&amp;z=NZI&amp;b=1999&amp;s=70" TargetMode="External"/><Relationship Id="rId140" Type="http://schemas.openxmlformats.org/officeDocument/2006/relationships/hyperlink" Target="https://beck-online.beck.de/?typ=reference&amp;y=300&amp;z=NJW&amp;b=2000&amp;s=212" TargetMode="External"/><Relationship Id="rId145" Type="http://schemas.openxmlformats.org/officeDocument/2006/relationships/hyperlink" Target="https://beck-online.beck.de/?typ=reference&amp;y=300&amp;z=ZIP&amp;b=1996&amp;s=469" TargetMode="External"/><Relationship Id="rId161" Type="http://schemas.openxmlformats.org/officeDocument/2006/relationships/hyperlink" Target="https://beck-online.beck.de/?typ=reference&amp;y=300&amp;z=ZIP&amp;b=2001&amp;s=708" TargetMode="External"/><Relationship Id="rId16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beck-online.beck.de/?typ=reference&amp;y=100&amp;g=INSO&amp;p=13" TargetMode="External"/><Relationship Id="rId23" Type="http://schemas.openxmlformats.org/officeDocument/2006/relationships/hyperlink" Target="https://beck-online.beck.de/?typ=reference&amp;y=100&amp;g=INSO&amp;p=139" TargetMode="External"/><Relationship Id="rId28" Type="http://schemas.openxmlformats.org/officeDocument/2006/relationships/hyperlink" Target="https://beck-online.beck.de/?typ=reference&amp;y=100&amp;g=INSO&amp;p=139&amp;x=II" TargetMode="External"/><Relationship Id="rId49" Type="http://schemas.openxmlformats.org/officeDocument/2006/relationships/hyperlink" Target="https://beck-online.beck.de/?typ=reference&amp;y=100&amp;g=KO&amp;p=30" TargetMode="External"/><Relationship Id="rId114" Type="http://schemas.openxmlformats.org/officeDocument/2006/relationships/hyperlink" Target="https://beck-online.beck.de/?typ=reference&amp;y=100&amp;g=INSO&amp;p=17" TargetMode="External"/><Relationship Id="rId119" Type="http://schemas.openxmlformats.org/officeDocument/2006/relationships/hyperlink" Target="https://beck-online.beck.de/?typ=reference&amp;y=100&amp;g=INSO&amp;p=130&amp;x=I" TargetMode="External"/><Relationship Id="rId44" Type="http://schemas.openxmlformats.org/officeDocument/2006/relationships/hyperlink" Target="https://beck-online.beck.de/?typ=reference&amp;y=100&amp;g=INSO&amp;p=136" TargetMode="External"/><Relationship Id="rId60" Type="http://schemas.openxmlformats.org/officeDocument/2006/relationships/hyperlink" Target="https://beck-online.beck.de/?typ=reference&amp;y=100&amp;g=INSO&amp;p=13" TargetMode="External"/><Relationship Id="rId65" Type="http://schemas.openxmlformats.org/officeDocument/2006/relationships/hyperlink" Target="https://beck-online.beck.de/?typ=reference&amp;y=100&amp;g=INSO&amp;p=13&amp;x=II" TargetMode="External"/><Relationship Id="rId81" Type="http://schemas.openxmlformats.org/officeDocument/2006/relationships/hyperlink" Target="https://beck-online.beck.de/?typ=reference&amp;y=100&amp;g=INSO&amp;p=17" TargetMode="External"/><Relationship Id="rId86" Type="http://schemas.openxmlformats.org/officeDocument/2006/relationships/hyperlink" Target="https://beck-online.beck.de/?typ=reference&amp;y=300&amp;z=ZIP&amp;b=1995&amp;s=929" TargetMode="External"/><Relationship Id="rId130" Type="http://schemas.openxmlformats.org/officeDocument/2006/relationships/hyperlink" Target="https://beck-online.beck.de/?typ=reference&amp;y=300&amp;z=JW&amp;b=1916&amp;s=1118" TargetMode="External"/><Relationship Id="rId135" Type="http://schemas.openxmlformats.org/officeDocument/2006/relationships/hyperlink" Target="https://beck-online.beck.de/?typ=reference&amp;y=300&amp;z=NJW&amp;b=2002&amp;s=512" TargetMode="External"/><Relationship Id="rId151" Type="http://schemas.openxmlformats.org/officeDocument/2006/relationships/hyperlink" Target="https://beck-online.beck.de/?typ=reference&amp;y=300&amp;z=NJW&amp;b=2000&amp;s=213" TargetMode="External"/><Relationship Id="rId156" Type="http://schemas.openxmlformats.org/officeDocument/2006/relationships/hyperlink" Target="https://beck-online.beck.de/?typ=reference&amp;y=100&amp;g=ZPO&amp;p=138&amp;x=IV" TargetMode="External"/><Relationship Id="rId13" Type="http://schemas.openxmlformats.org/officeDocument/2006/relationships/hyperlink" Target="https://beck-online.beck.de/?typ=reference&amp;y=100&amp;g=INSO&amp;p=139&amp;x=II" TargetMode="External"/><Relationship Id="rId18" Type="http://schemas.openxmlformats.org/officeDocument/2006/relationships/hyperlink" Target="https://beck-online.beck.de/?typ=reference&amp;y=300&amp;z=NJW&amp;b=2002&amp;s=512" TargetMode="External"/><Relationship Id="rId39" Type="http://schemas.openxmlformats.org/officeDocument/2006/relationships/hyperlink" Target="https://beck-online.beck.de/?typ=reference&amp;y=100&amp;g=INSO&amp;p=139" TargetMode="External"/><Relationship Id="rId109" Type="http://schemas.openxmlformats.org/officeDocument/2006/relationships/hyperlink" Target="https://beck-online.beck.de/?typ=reference&amp;y=300&amp;z=NZI&amp;b=2001&amp;s=261" TargetMode="External"/><Relationship Id="rId34" Type="http://schemas.openxmlformats.org/officeDocument/2006/relationships/hyperlink" Target="https://beck-online.beck.de/?typ=reference&amp;y=300&amp;z=RGZ&amp;b=88&amp;s=237" TargetMode="External"/><Relationship Id="rId50" Type="http://schemas.openxmlformats.org/officeDocument/2006/relationships/hyperlink" Target="https://beck-online.beck.de/?typ=reference&amp;y=300&amp;z=NZI&amp;b=2001&amp;s=31" TargetMode="External"/><Relationship Id="rId55" Type="http://schemas.openxmlformats.org/officeDocument/2006/relationships/hyperlink" Target="https://beck-online.beck.de/?typ=reference&amp;y=300&amp;z=NZI&amp;b=2001&amp;s=150" TargetMode="External"/><Relationship Id="rId76" Type="http://schemas.openxmlformats.org/officeDocument/2006/relationships/hyperlink" Target="https://beck-online.beck.de/?typ=reference&amp;y=100&amp;g=STGB&amp;p=266A" TargetMode="External"/><Relationship Id="rId97" Type="http://schemas.openxmlformats.org/officeDocument/2006/relationships/hyperlink" Target="https://beck-online.beck.de/?typ=reference&amp;y=300&amp;z=ZIP&amp;b=1999&amp;s=76" TargetMode="External"/><Relationship Id="rId104" Type="http://schemas.openxmlformats.org/officeDocument/2006/relationships/hyperlink" Target="https://beck-online.beck.de/?typ=reference&amp;y=100&amp;g=INSO&amp;p=17&amp;x=II" TargetMode="External"/><Relationship Id="rId120" Type="http://schemas.openxmlformats.org/officeDocument/2006/relationships/hyperlink" Target="https://beck-online.beck.de/?typ=reference&amp;y=300&amp;z=NJW&amp;b=2002&amp;s=512" TargetMode="External"/><Relationship Id="rId125" Type="http://schemas.openxmlformats.org/officeDocument/2006/relationships/hyperlink" Target="https://beck-online.beck.de/?typ=reference&amp;y=300&amp;z=NZI&amp;b=2001&amp;s=417" TargetMode="External"/><Relationship Id="rId141" Type="http://schemas.openxmlformats.org/officeDocument/2006/relationships/hyperlink" Target="https://beck-online.beck.de/?typ=reference&amp;y=300&amp;z=NZI&amp;b=2000&amp;s=19" TargetMode="External"/><Relationship Id="rId146" Type="http://schemas.openxmlformats.org/officeDocument/2006/relationships/hyperlink" Target="https://beck-online.beck.de/?typ=reference&amp;y=300&amp;z=RGZ&amp;b=132&amp;s=281" TargetMode="External"/><Relationship Id="rId167" Type="http://schemas.openxmlformats.org/officeDocument/2006/relationships/fontTable" Target="fontTable.xml"/><Relationship Id="rId7" Type="http://schemas.openxmlformats.org/officeDocument/2006/relationships/hyperlink" Target="https://beck-online.beck.de/?typ=reference&amp;y=100&amp;g=INSO&amp;p=17" TargetMode="External"/><Relationship Id="rId71" Type="http://schemas.openxmlformats.org/officeDocument/2006/relationships/hyperlink" Target="https://beck-online.beck.de/?typ=reference&amp;y=100&amp;g=INSO&amp;p=130&amp;x=I" TargetMode="External"/><Relationship Id="rId92" Type="http://schemas.openxmlformats.org/officeDocument/2006/relationships/hyperlink" Target="https://beck-online.beck.de/?typ=reference&amp;y=100&amp;g=INSO&amp;p=130&amp;x=II" TargetMode="External"/><Relationship Id="rId162" Type="http://schemas.openxmlformats.org/officeDocument/2006/relationships/hyperlink" Target="https://beck-online.beck.de/?typ=reference&amp;y=300&amp;z=ZIP&amp;b=2001&amp;s=711" TargetMode="External"/><Relationship Id="rId2" Type="http://schemas.openxmlformats.org/officeDocument/2006/relationships/settings" Target="settings.xml"/><Relationship Id="rId29" Type="http://schemas.openxmlformats.org/officeDocument/2006/relationships/hyperlink" Target="https://beck-online.beck.de/?typ=reference&amp;y=100&amp;g=INSO&amp;p=130" TargetMode="External"/><Relationship Id="rId24" Type="http://schemas.openxmlformats.org/officeDocument/2006/relationships/hyperlink" Target="https://beck-online.beck.de/?typ=reference&amp;y=100&amp;g=INSO&amp;p=139&amp;x=II" TargetMode="External"/><Relationship Id="rId40" Type="http://schemas.openxmlformats.org/officeDocument/2006/relationships/hyperlink" Target="https://beck-online.beck.de/?typ=reference&amp;y=100&amp;g=INSO&amp;p=139&amp;x=II" TargetMode="External"/><Relationship Id="rId45" Type="http://schemas.openxmlformats.org/officeDocument/2006/relationships/hyperlink" Target="https://beck-online.beck.de/?typ=reference&amp;y=100&amp;g=INSO&amp;p=130" TargetMode="External"/><Relationship Id="rId66" Type="http://schemas.openxmlformats.org/officeDocument/2006/relationships/hyperlink" Target="https://beck-online.beck.de/?typ=reference&amp;y=100&amp;g=INSO&amp;p=130" TargetMode="External"/><Relationship Id="rId87" Type="http://schemas.openxmlformats.org/officeDocument/2006/relationships/hyperlink" Target="https://beck-online.beck.de/?typ=reference&amp;y=300&amp;z=ZIP&amp;b=1995&amp;s=930" TargetMode="External"/><Relationship Id="rId110" Type="http://schemas.openxmlformats.org/officeDocument/2006/relationships/hyperlink" Target="https://beck-online.beck.de/?typ=reference&amp;y=300&amp;z=KTS&amp;b=2000&amp;s=440" TargetMode="External"/><Relationship Id="rId115" Type="http://schemas.openxmlformats.org/officeDocument/2006/relationships/hyperlink" Target="https://beck-online.beck.de/?typ=reference&amp;y=100&amp;g=INSO&amp;p=17&amp;x=II" TargetMode="External"/><Relationship Id="rId131" Type="http://schemas.openxmlformats.org/officeDocument/2006/relationships/hyperlink" Target="https://beck-online.beck.de/?typ=reference&amp;y=300&amp;z=LZ&amp;b=1914&amp;s=741" TargetMode="External"/><Relationship Id="rId136" Type="http://schemas.openxmlformats.org/officeDocument/2006/relationships/hyperlink" Target="https://beck-online.beck.de/?typ=reference&amp;y=300&amp;z=NZI&amp;b=2002&amp;s=88" TargetMode="External"/><Relationship Id="rId157" Type="http://schemas.openxmlformats.org/officeDocument/2006/relationships/hyperlink" Target="https://beck-online.beck.de/?typ=reference&amp;y=100&amp;g=ZPO&amp;p=565" TargetMode="External"/><Relationship Id="rId61" Type="http://schemas.openxmlformats.org/officeDocument/2006/relationships/hyperlink" Target="https://beck-online.beck.de/?typ=reference&amp;y=100&amp;g=INSO&amp;p=13&amp;x=I" TargetMode="External"/><Relationship Id="rId82" Type="http://schemas.openxmlformats.org/officeDocument/2006/relationships/hyperlink" Target="https://beck-online.beck.de/?typ=reference&amp;y=100&amp;g=INSO&amp;p=17&amp;x=II" TargetMode="External"/><Relationship Id="rId152" Type="http://schemas.openxmlformats.org/officeDocument/2006/relationships/hyperlink" Target="https://beck-online.beck.de/?typ=reference&amp;y=300&amp;z=NZI&amp;b=2000&amp;s=19" TargetMode="External"/><Relationship Id="rId19" Type="http://schemas.openxmlformats.org/officeDocument/2006/relationships/hyperlink" Target="https://beck-online.beck.de/?typ=reference&amp;y=300&amp;z=NZI&amp;b=2002&amp;s=88" TargetMode="External"/><Relationship Id="rId14" Type="http://schemas.openxmlformats.org/officeDocument/2006/relationships/hyperlink" Target="https://beck-online.beck.de/?typ=reference&amp;y=100&amp;g=ZPO&amp;p=91A" TargetMode="External"/><Relationship Id="rId30" Type="http://schemas.openxmlformats.org/officeDocument/2006/relationships/hyperlink" Target="https://beck-online.beck.de/?typ=reference&amp;y=100&amp;g=INSO&amp;p=130&amp;x=I" TargetMode="External"/><Relationship Id="rId35" Type="http://schemas.openxmlformats.org/officeDocument/2006/relationships/hyperlink" Target="https://beck-online.beck.de/?typ=reference&amp;y=300&amp;z=NJW&amp;b=2000&amp;s=211" TargetMode="External"/><Relationship Id="rId56" Type="http://schemas.openxmlformats.org/officeDocument/2006/relationships/hyperlink" Target="https://beck-online.beck.de/?typ=reference&amp;y=300&amp;z=NZI&amp;b=2001&amp;s=318" TargetMode="External"/><Relationship Id="rId77" Type="http://schemas.openxmlformats.org/officeDocument/2006/relationships/hyperlink" Target="https://beck-online.beck.de/?typ=reference&amp;y=100&amp;g=INSO&amp;p=130" TargetMode="External"/><Relationship Id="rId100" Type="http://schemas.openxmlformats.org/officeDocument/2006/relationships/hyperlink" Target="https://beck-online.beck.de/?typ=reference&amp;y=300&amp;z=NZI&amp;b=2002&amp;s=88" TargetMode="External"/><Relationship Id="rId105" Type="http://schemas.openxmlformats.org/officeDocument/2006/relationships/hyperlink" Target="https://beck-online.beck.de/?typ=reference&amp;y=100&amp;g=STGB&amp;p=266A" TargetMode="External"/><Relationship Id="rId126" Type="http://schemas.openxmlformats.org/officeDocument/2006/relationships/hyperlink" Target="https://beck-online.beck.de/?typ=reference&amp;y=300&amp;z=ZIP&amp;b=2001&amp;s=1155" TargetMode="External"/><Relationship Id="rId147" Type="http://schemas.openxmlformats.org/officeDocument/2006/relationships/hyperlink" Target="https://beck-online.beck.de/?typ=reference&amp;y=300&amp;z=RGZ&amp;b=132&amp;s=283" TargetMode="External"/><Relationship Id="rId168" Type="http://schemas.openxmlformats.org/officeDocument/2006/relationships/theme" Target="theme/theme1.xml"/><Relationship Id="rId8" Type="http://schemas.openxmlformats.org/officeDocument/2006/relationships/hyperlink" Target="https://beck-online.beck.de/?typ=reference&amp;y=100&amp;g=INSO&amp;p=17&amp;x=II" TargetMode="External"/><Relationship Id="rId51" Type="http://schemas.openxmlformats.org/officeDocument/2006/relationships/hyperlink" Target="https://beck-online.beck.de/?typ=reference&amp;y=300&amp;z=ZIP&amp;b=2000&amp;s=2214" TargetMode="External"/><Relationship Id="rId72" Type="http://schemas.openxmlformats.org/officeDocument/2006/relationships/hyperlink" Target="https://beck-online.beck.de/?typ=reference&amp;y=100&amp;g=INSO&amp;p=130" TargetMode="External"/><Relationship Id="rId93" Type="http://schemas.openxmlformats.org/officeDocument/2006/relationships/hyperlink" Target="https://beck-online.beck.de/?typ=reference&amp;y=100&amp;g=INSO&amp;p=17" TargetMode="External"/><Relationship Id="rId98" Type="http://schemas.openxmlformats.org/officeDocument/2006/relationships/hyperlink" Target="https://beck-online.beck.de/?typ=reference&amp;y=300&amp;z=ZIP&amp;b=1999&amp;s=78" TargetMode="External"/><Relationship Id="rId121" Type="http://schemas.openxmlformats.org/officeDocument/2006/relationships/hyperlink" Target="https://beck-online.beck.de/?typ=reference&amp;y=300&amp;z=NZI&amp;b=2002&amp;s=88" TargetMode="External"/><Relationship Id="rId142" Type="http://schemas.openxmlformats.org/officeDocument/2006/relationships/hyperlink" Target="https://beck-online.beck.de/?typ=reference&amp;y=300&amp;z=NJW&amp;b=2002&amp;s=512" TargetMode="External"/><Relationship Id="rId163" Type="http://schemas.openxmlformats.org/officeDocument/2006/relationships/hyperlink" Target="https://beck-online.beck.de/?typ=reference&amp;y=300&amp;z=NZI&amp;b=2001&amp;s=492" TargetMode="External"/><Relationship Id="rId3" Type="http://schemas.openxmlformats.org/officeDocument/2006/relationships/webSettings" Target="webSettings.xml"/><Relationship Id="rId25" Type="http://schemas.openxmlformats.org/officeDocument/2006/relationships/hyperlink" Target="https://beck-online.beck.de/?typ=reference&amp;y=100&amp;g=INSO&amp;p=14" TargetMode="External"/><Relationship Id="rId46" Type="http://schemas.openxmlformats.org/officeDocument/2006/relationships/hyperlink" Target="https://beck-online.beck.de/?typ=reference&amp;y=100&amp;g=INSO&amp;p=130&amp;x=I" TargetMode="External"/><Relationship Id="rId67" Type="http://schemas.openxmlformats.org/officeDocument/2006/relationships/hyperlink" Target="https://beck-online.beck.de/?typ=reference&amp;y=100&amp;g=INSO&amp;p=130&amp;x=I" TargetMode="External"/><Relationship Id="rId116" Type="http://schemas.openxmlformats.org/officeDocument/2006/relationships/hyperlink" Target="https://beck-online.beck.de/?typ=reference&amp;y=100&amp;g=INSO&amp;p=17" TargetMode="External"/><Relationship Id="rId137" Type="http://schemas.openxmlformats.org/officeDocument/2006/relationships/hyperlink" Target="https://beck-online.beck.de/?typ=reference&amp;y=100&amp;g=INSO&amp;p=130" TargetMode="External"/><Relationship Id="rId158" Type="http://schemas.openxmlformats.org/officeDocument/2006/relationships/hyperlink" Target="https://beck-online.beck.de/?typ=reference&amp;y=100&amp;g=ZPO&amp;p=565&amp;x=I" TargetMode="External"/><Relationship Id="rId20" Type="http://schemas.openxmlformats.org/officeDocument/2006/relationships/hyperlink" Target="https://beck-online.beck.de/?typ=reference&amp;y=300&amp;z=ZIP&amp;b=2001&amp;s=621" TargetMode="External"/><Relationship Id="rId41" Type="http://schemas.openxmlformats.org/officeDocument/2006/relationships/hyperlink" Target="https://beck-online.beck.de/?typ=reference&amp;y=100&amp;g=INSO&amp;p=130" TargetMode="External"/><Relationship Id="rId62" Type="http://schemas.openxmlformats.org/officeDocument/2006/relationships/hyperlink" Target="https://beck-online.beck.de/?typ=reference&amp;y=300&amp;z=NJW&amp;b=1961&amp;s=2016" TargetMode="External"/><Relationship Id="rId83" Type="http://schemas.openxmlformats.org/officeDocument/2006/relationships/hyperlink" Target="https://beck-online.beck.de/?typ=reference&amp;y=100&amp;g=INSO&amp;p=130" TargetMode="External"/><Relationship Id="rId88" Type="http://schemas.openxmlformats.org/officeDocument/2006/relationships/hyperlink" Target="https://beck-online.beck.de/?typ=reference&amp;y=100&amp;g=INSO&amp;p=130" TargetMode="External"/><Relationship Id="rId111" Type="http://schemas.openxmlformats.org/officeDocument/2006/relationships/hyperlink" Target="https://beck-online.beck.de/?typ=reference&amp;y=300&amp;z=KTS&amp;b=2000&amp;s=441" TargetMode="External"/><Relationship Id="rId132" Type="http://schemas.openxmlformats.org/officeDocument/2006/relationships/hyperlink" Target="https://beck-online.beck.de/?typ=reference&amp;y=300&amp;z=LZ&amp;b=1914&amp;s=1344" TargetMode="External"/><Relationship Id="rId153" Type="http://schemas.openxmlformats.org/officeDocument/2006/relationships/hyperlink" Target="https://beck-online.beck.de/?typ=reference&amp;y=100&amp;g=ZPO&amp;p=565" TargetMode="External"/><Relationship Id="rId15" Type="http://schemas.openxmlformats.org/officeDocument/2006/relationships/hyperlink" Target="https://beck-online.beck.de/?typ=reference&amp;y=100&amp;g=STGB&amp;p=266A" TargetMode="External"/><Relationship Id="rId36" Type="http://schemas.openxmlformats.org/officeDocument/2006/relationships/hyperlink" Target="https://beck-online.beck.de/?typ=reference&amp;y=300&amp;z=NZI&amp;b=2000&amp;s=19" TargetMode="External"/><Relationship Id="rId57" Type="http://schemas.openxmlformats.org/officeDocument/2006/relationships/hyperlink" Target="https://beck-online.beck.de/?typ=reference&amp;y=300&amp;z=NZI&amp;b=2001&amp;s=319" TargetMode="External"/><Relationship Id="rId106" Type="http://schemas.openxmlformats.org/officeDocument/2006/relationships/hyperlink" Target="https://beck-online.beck.de/?typ=reference&amp;y=300&amp;z=NJW-RR&amp;b=2001&amp;s=702" TargetMode="External"/><Relationship Id="rId127" Type="http://schemas.openxmlformats.org/officeDocument/2006/relationships/hyperlink" Target="https://beck-online.beck.de/?typ=reference&amp;y=300&amp;z=NZI&amp;b=2002&amp;s=34" TargetMode="External"/><Relationship Id="rId10" Type="http://schemas.openxmlformats.org/officeDocument/2006/relationships/hyperlink" Target="https://beck-online.beck.de/?typ=reference&amp;y=100&amp;g=INSO&amp;p=130&amp;x=I" TargetMode="External"/><Relationship Id="rId31" Type="http://schemas.openxmlformats.org/officeDocument/2006/relationships/hyperlink" Target="https://beck-online.beck.de/?typ=reference&amp;y=100&amp;g=KO&amp;p=30" TargetMode="External"/><Relationship Id="rId52" Type="http://schemas.openxmlformats.org/officeDocument/2006/relationships/hyperlink" Target="https://beck-online.beck.de/?typ=reference&amp;y=300&amp;z=ZIP&amp;b=2000&amp;s=2215" TargetMode="External"/><Relationship Id="rId73" Type="http://schemas.openxmlformats.org/officeDocument/2006/relationships/hyperlink" Target="https://beck-online.beck.de/?typ=reference&amp;y=100&amp;g=INSO&amp;p=130&amp;x=II" TargetMode="External"/><Relationship Id="rId78" Type="http://schemas.openxmlformats.org/officeDocument/2006/relationships/hyperlink" Target="https://beck-online.beck.de/?typ=reference&amp;y=100&amp;g=INSO&amp;p=130&amp;x=I" TargetMode="External"/><Relationship Id="rId94" Type="http://schemas.openxmlformats.org/officeDocument/2006/relationships/hyperlink" Target="https://beck-online.beck.de/?typ=reference&amp;y=100&amp;g=INSO&amp;p=17&amp;x=II" TargetMode="External"/><Relationship Id="rId99" Type="http://schemas.openxmlformats.org/officeDocument/2006/relationships/hyperlink" Target="https://beck-online.beck.de/?typ=reference&amp;y=300&amp;z=NJW&amp;b=2002&amp;s=512" TargetMode="External"/><Relationship Id="rId101" Type="http://schemas.openxmlformats.org/officeDocument/2006/relationships/hyperlink" Target="https://beck-online.beck.de/?typ=reference&amp;y=100&amp;g=INSO&amp;p=17" TargetMode="External"/><Relationship Id="rId122" Type="http://schemas.openxmlformats.org/officeDocument/2006/relationships/hyperlink" Target="https://beck-online.beck.de/?typ=reference&amp;y=300&amp;z=NJW&amp;b=2002&amp;s=512" TargetMode="External"/><Relationship Id="rId143" Type="http://schemas.openxmlformats.org/officeDocument/2006/relationships/hyperlink" Target="https://beck-online.beck.de/?typ=reference&amp;y=300&amp;z=NZI&amp;b=2002&amp;s=88" TargetMode="External"/><Relationship Id="rId148" Type="http://schemas.openxmlformats.org/officeDocument/2006/relationships/hyperlink" Target="https://beck-online.beck.de/?typ=reference&amp;y=300&amp;z=JW&amp;b=1916&amp;s=1118" TargetMode="External"/><Relationship Id="rId16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beck-online.beck.de/?typ=reference&amp;y=100&amp;g=INSO&amp;p=130" TargetMode="External"/><Relationship Id="rId26" Type="http://schemas.openxmlformats.org/officeDocument/2006/relationships/hyperlink" Target="https://beck-online.beck.de/?typ=reference&amp;y=100&amp;g=INSO&amp;p=14&amp;x=I" TargetMode="External"/><Relationship Id="rId47" Type="http://schemas.openxmlformats.org/officeDocument/2006/relationships/hyperlink" Target="https://beck-online.beck.de/?typ=reference&amp;y=100&amp;g=INSO&amp;p=130" TargetMode="External"/><Relationship Id="rId68" Type="http://schemas.openxmlformats.org/officeDocument/2006/relationships/hyperlink" Target="https://beck-online.beck.de/?typ=reference&amp;y=100&amp;g=INSO&amp;p=133" TargetMode="External"/><Relationship Id="rId89" Type="http://schemas.openxmlformats.org/officeDocument/2006/relationships/hyperlink" Target="https://beck-online.beck.de/?typ=reference&amp;y=100&amp;g=INSO&amp;p=130&amp;x=I" TargetMode="External"/><Relationship Id="rId112" Type="http://schemas.openxmlformats.org/officeDocument/2006/relationships/hyperlink" Target="https://beck-online.beck.de/?typ=reference&amp;y=100&amp;g=INSO&amp;p=130" TargetMode="External"/><Relationship Id="rId133" Type="http://schemas.openxmlformats.org/officeDocument/2006/relationships/hyperlink" Target="https://beck-online.beck.de/?typ=reference&amp;y=100&amp;g=INSO&amp;p=130" TargetMode="External"/><Relationship Id="rId154" Type="http://schemas.openxmlformats.org/officeDocument/2006/relationships/hyperlink" Target="https://beck-online.beck.de/?typ=reference&amp;y=100&amp;g=ZPO&amp;p=565&amp;x=III" TargetMode="External"/><Relationship Id="rId16" Type="http://schemas.openxmlformats.org/officeDocument/2006/relationships/hyperlink" Target="https://beck-online.beck.de/?typ=reference&amp;y=300&amp;z=NJW&amp;b=2002&amp;s=512" TargetMode="External"/><Relationship Id="rId37" Type="http://schemas.openxmlformats.org/officeDocument/2006/relationships/hyperlink" Target="https://beck-online.beck.de/?typ=reference&amp;y=300&amp;z=ZIP&amp;b=1999&amp;s=1977" TargetMode="External"/><Relationship Id="rId58" Type="http://schemas.openxmlformats.org/officeDocument/2006/relationships/hyperlink" Target="https://beck-online.beck.de/?typ=reference&amp;y=100&amp;g=INSO&amp;p=5" TargetMode="External"/><Relationship Id="rId79" Type="http://schemas.openxmlformats.org/officeDocument/2006/relationships/hyperlink" Target="https://beck-online.beck.de/?typ=reference&amp;y=100&amp;g=INSO&amp;p=17" TargetMode="External"/><Relationship Id="rId102" Type="http://schemas.openxmlformats.org/officeDocument/2006/relationships/hyperlink" Target="https://beck-online.beck.de/?typ=reference&amp;y=100&amp;g=INSO&amp;p=17&amp;x=II" TargetMode="External"/><Relationship Id="rId123" Type="http://schemas.openxmlformats.org/officeDocument/2006/relationships/hyperlink" Target="https://beck-online.beck.de/?typ=reference&amp;y=300&amp;z=NZI&amp;b=2002&amp;s=88" TargetMode="External"/><Relationship Id="rId144" Type="http://schemas.openxmlformats.org/officeDocument/2006/relationships/hyperlink" Target="https://beck-online.beck.de/?typ=reference&amp;y=300&amp;z=ZIP&amp;b=1997&amp;s=1036" TargetMode="External"/><Relationship Id="rId90" Type="http://schemas.openxmlformats.org/officeDocument/2006/relationships/hyperlink" Target="https://beck-online.beck.de/?typ=reference&amp;y=100&amp;g=INSO&amp;p=130&amp;x=2" TargetMode="External"/><Relationship Id="rId165" Type="http://schemas.openxmlformats.org/officeDocument/2006/relationships/header" Target="header2.xml"/><Relationship Id="rId27" Type="http://schemas.openxmlformats.org/officeDocument/2006/relationships/hyperlink" Target="https://beck-online.beck.de/?typ=reference&amp;y=100&amp;g=INSO&amp;p=139" TargetMode="External"/><Relationship Id="rId48" Type="http://schemas.openxmlformats.org/officeDocument/2006/relationships/hyperlink" Target="https://beck-online.beck.de/?typ=reference&amp;y=100&amp;g=INSO&amp;p=136" TargetMode="External"/><Relationship Id="rId69" Type="http://schemas.openxmlformats.org/officeDocument/2006/relationships/hyperlink" Target="https://beck-online.beck.de/?typ=reference&amp;y=100&amp;g=BGB&amp;p=826" TargetMode="External"/><Relationship Id="rId113" Type="http://schemas.openxmlformats.org/officeDocument/2006/relationships/hyperlink" Target="https://beck-online.beck.de/?typ=reference&amp;y=100&amp;g=INSO&amp;p=130&amp;x=II" TargetMode="External"/><Relationship Id="rId134" Type="http://schemas.openxmlformats.org/officeDocument/2006/relationships/hyperlink" Target="https://beck-online.beck.de/?typ=reference&amp;y=100&amp;g=INSO&amp;p=130&amp;x=II" TargetMode="External"/><Relationship Id="rId80" Type="http://schemas.openxmlformats.org/officeDocument/2006/relationships/hyperlink" Target="https://beck-online.beck.de/?typ=reference&amp;y=100&amp;g=INSO&amp;p=17&amp;x=II" TargetMode="External"/><Relationship Id="rId155" Type="http://schemas.openxmlformats.org/officeDocument/2006/relationships/hyperlink" Target="https://beck-online.beck.de/?typ=reference&amp;y=100&amp;g=ZPO&amp;p=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6298</Words>
  <Characters>37100</Characters>
  <Application>Microsoft Office Word</Application>
  <DocSecurity>0</DocSecurity>
  <Lines>545</Lines>
  <Paragraphs>96</Paragraphs>
  <ScaleCrop>false</ScaleCrop>
  <Company/>
  <LinksUpToDate>false</LinksUpToDate>
  <CharactersWithSpaces>43302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 Insolvenzanfechtung bei Erledigung des Eröffnungsantrags - Steuern und Bilanzen</dc:title>
  <dc:creator>beck-online.beck.de</dc:creator>
  <cp:lastModifiedBy>Martin Otten</cp:lastModifiedBy>
  <cp:revision>2</cp:revision>
  <dcterms:created xsi:type="dcterms:W3CDTF">2026-06-28T16:39:00Z</dcterms:created>
  <dcterms:modified xsi:type="dcterms:W3CDTF">2026-06-28T16:39:00Z</dcterms:modified>
</cp:coreProperties>
</file>