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634C5545" w14:textId="07D68FA7" w:rsidR="00E24F87" w:rsidRDefault="00E24F87">
      <w:pPr>
        <w:pStyle w:val="tdm-short"/>
        <w:pBdr>
          <w:right w:val="none" w:sz="0" w:space="7" w:color="auto"/>
        </w:pBdr>
        <w:spacing w:before="75" w:after="225"/>
        <w:ind w:right="150"/>
        <w:rPr>
          <w:sz w:val="16"/>
          <w:szCs w:val="16"/>
        </w:rPr>
      </w:pPr>
    </w:p>
    <w:tbl>
      <w:tblPr>
        <w:tblStyle w:val="printcontentdivdk2table"/>
        <w:tblW w:w="5000" w:type="pct"/>
        <w:tblInd w:w="60" w:type="dxa"/>
        <w:tblBorders>
          <w:bottom w:val="single" w:sz="6" w:space="0" w:color="D0D0D0"/>
          <w:right w:val="single" w:sz="6" w:space="0" w:color="D0D0D0"/>
        </w:tblBorders>
        <w:shd w:val="clear" w:color="auto" w:fill="F0F0F0"/>
        <w:tblCellMar>
          <w:top w:w="15" w:type="dxa"/>
          <w:left w:w="15" w:type="dxa"/>
          <w:bottom w:w="15" w:type="dxa"/>
          <w:right w:w="15" w:type="dxa"/>
        </w:tblCellMar>
        <w:tblLook w:val="05E0" w:firstRow="1" w:lastRow="1" w:firstColumn="1" w:lastColumn="1" w:noHBand="0" w:noVBand="1"/>
      </w:tblPr>
      <w:tblGrid>
        <w:gridCol w:w="7458"/>
        <w:gridCol w:w="1632"/>
      </w:tblGrid>
      <w:tr w:rsidR="00E24F87" w14:paraId="329AD099" w14:textId="77777777">
        <w:tc>
          <w:tcPr>
            <w:tcW w:w="0" w:type="auto"/>
            <w:shd w:val="clear" w:color="auto" w:fill="F7F7F0"/>
            <w:tcMar>
              <w:top w:w="45" w:type="dxa"/>
              <w:left w:w="45" w:type="dxa"/>
              <w:bottom w:w="105" w:type="dxa"/>
              <w:right w:w="90" w:type="dxa"/>
            </w:tcMar>
            <w:hideMark/>
          </w:tcPr>
          <w:p w14:paraId="02702FE2" w14:textId="77777777" w:rsidR="00E24F87" w:rsidRDefault="00000000">
            <w:r>
              <w:rPr>
                <w:rStyle w:val="any"/>
                <w:sz w:val="20"/>
              </w:rPr>
              <w:t>BGH: Kenntnis der Finanzverwaltung von Zahlungsunfähigkeit des Schuldners</w:t>
            </w:r>
          </w:p>
        </w:tc>
        <w:tc>
          <w:tcPr>
            <w:tcW w:w="0" w:type="auto"/>
            <w:shd w:val="clear" w:color="auto" w:fill="F7F7F0"/>
            <w:noWrap/>
            <w:tcMar>
              <w:top w:w="45" w:type="dxa"/>
              <w:left w:w="45" w:type="dxa"/>
              <w:bottom w:w="105" w:type="dxa"/>
              <w:right w:w="98" w:type="dxa"/>
            </w:tcMar>
            <w:hideMark/>
          </w:tcPr>
          <w:p w14:paraId="24E9A63A" w14:textId="77777777" w:rsidR="00E24F87" w:rsidRDefault="00000000">
            <w:pPr>
              <w:pStyle w:val="printcontentdivdk2spancitation"/>
              <w:ind w:left="150"/>
              <w:jc w:val="right"/>
            </w:pPr>
            <w:r>
              <w:rPr>
                <w:sz w:val="20"/>
              </w:rPr>
              <w:t>NZI 2003, 322</w:t>
            </w:r>
          </w:p>
        </w:tc>
      </w:tr>
    </w:tbl>
    <w:p w14:paraId="784139AC" w14:textId="77777777" w:rsidR="00E24F87" w:rsidRDefault="00000000">
      <w:pPr>
        <w:pStyle w:val="bocenterh1"/>
        <w:pBdr>
          <w:top w:val="none" w:sz="0" w:space="5" w:color="auto"/>
          <w:bottom w:val="none" w:sz="0" w:space="3" w:color="auto"/>
        </w:pBdr>
        <w:spacing w:before="75" w:after="75" w:line="360" w:lineRule="auto"/>
        <w:ind w:right="150"/>
        <w:outlineLvl w:val="0"/>
        <w:rPr>
          <w:color w:val="000000"/>
          <w:sz w:val="24"/>
          <w:szCs w:val="24"/>
        </w:rPr>
      </w:pPr>
      <w:r>
        <w:rPr>
          <w:color w:val="000000"/>
          <w:sz w:val="24"/>
          <w:szCs w:val="24"/>
        </w:rPr>
        <w:t>Kenntnis der Finanzverwaltung von Zahlungsunfähigkeit des Schuldners</w:t>
      </w:r>
    </w:p>
    <w:p w14:paraId="794E6F3F" w14:textId="77777777" w:rsidR="00E24F87" w:rsidRDefault="00000000">
      <w:pPr>
        <w:pStyle w:val="printcontentdivnotlawversion"/>
        <w:spacing w:line="360" w:lineRule="auto"/>
        <w:ind w:right="150"/>
      </w:pPr>
      <w:r>
        <w:rPr>
          <w:rStyle w:val="any"/>
          <w:color w:val="000000"/>
        </w:rPr>
        <w:t xml:space="preserve">InsO § </w:t>
      </w:r>
      <w:hyperlink r:id="rId6" w:history="1">
        <w:r>
          <w:rPr>
            <w:rStyle w:val="bocontentwrapperbocenteranotbeck-btn"/>
            <w:color w:val="000000"/>
            <w:u w:val="single" w:color="000000"/>
          </w:rPr>
          <w:t>130</w:t>
        </w:r>
      </w:hyperlink>
      <w:r>
        <w:rPr>
          <w:rStyle w:val="any"/>
          <w:color w:val="000000"/>
        </w:rPr>
        <w:t xml:space="preserve"> </w:t>
      </w:r>
      <w:hyperlink r:id="rId7" w:history="1">
        <w:r>
          <w:rPr>
            <w:rStyle w:val="bocontentwrapperbocenteranotbeck-btn"/>
            <w:color w:val="000000"/>
            <w:u w:val="single" w:color="000000"/>
          </w:rPr>
          <w:t>II</w:t>
        </w:r>
      </w:hyperlink>
      <w:r>
        <w:rPr>
          <w:rStyle w:val="divbocontentwrapperbocenterp"/>
          <w:color w:val="000000"/>
        </w:rPr>
        <w:t xml:space="preserve"> </w:t>
      </w:r>
    </w:p>
    <w:p w14:paraId="510EB627" w14:textId="77777777" w:rsidR="00E24F87" w:rsidRDefault="00000000">
      <w:pPr>
        <w:pStyle w:val="divbocontentwrapperbocenterpParagraph"/>
        <w:spacing w:after="120" w:line="360" w:lineRule="auto"/>
        <w:ind w:right="150"/>
        <w:rPr>
          <w:b/>
          <w:bCs/>
          <w:color w:val="000000"/>
        </w:rPr>
      </w:pPr>
      <w:r>
        <w:rPr>
          <w:b/>
          <w:bCs/>
          <w:color w:val="000000"/>
        </w:rPr>
        <w:t>Leistet der Schuldner, der mit seinen laufenden steuerlichen Verbindlichkeiten seit mehreren Monaten zunehmend in Rückstand geraten ist, lediglich eine Teilzahlung und bestehen keine konkreten Anhaltspunkte dafür, dass er in Zukunft die fälligen Forderungen alsbald erfüllt, so kennt die Finanzverwaltung in der Regel Umstände, die zwingend auf die Zahlungsunfähigkeit des Schuldners schließen lassen.</w:t>
      </w:r>
    </w:p>
    <w:p w14:paraId="3C6ED028" w14:textId="77777777" w:rsidR="00E24F87" w:rsidRDefault="00000000">
      <w:pPr>
        <w:pStyle w:val="divbocontentwrapperbocenterpParagraph"/>
        <w:pBdr>
          <w:top w:val="single" w:sz="6" w:space="0" w:color="000000"/>
          <w:bottom w:val="single" w:sz="6" w:space="0" w:color="000000"/>
        </w:pBdr>
        <w:spacing w:after="120" w:line="360" w:lineRule="auto"/>
        <w:ind w:right="150"/>
        <w:rPr>
          <w:color w:val="000000"/>
        </w:rPr>
      </w:pPr>
      <w:r>
        <w:rPr>
          <w:rStyle w:val="any"/>
          <w:color w:val="000000"/>
        </w:rPr>
        <w:t>BGH</w:t>
      </w:r>
      <w:r>
        <w:rPr>
          <w:color w:val="000000"/>
        </w:rPr>
        <w:t xml:space="preserve">, </w:t>
      </w:r>
      <w:r>
        <w:rPr>
          <w:rStyle w:val="etyp"/>
          <w:color w:val="000000"/>
        </w:rPr>
        <w:t>Urteil</w:t>
      </w:r>
      <w:r>
        <w:rPr>
          <w:color w:val="000000"/>
        </w:rPr>
        <w:t xml:space="preserve"> vom </w:t>
      </w:r>
      <w:r>
        <w:rPr>
          <w:rStyle w:val="any"/>
          <w:color w:val="000000"/>
        </w:rPr>
        <w:t>9. 1. 2003</w:t>
      </w:r>
      <w:r>
        <w:rPr>
          <w:color w:val="000000"/>
        </w:rPr>
        <w:t xml:space="preserve"> - </w:t>
      </w:r>
      <w:r>
        <w:rPr>
          <w:rStyle w:val="any"/>
          <w:color w:val="000000"/>
        </w:rPr>
        <w:t xml:space="preserve">IX ZR 175/02 (Brandenburg) </w:t>
      </w:r>
      <w:bookmarkStart w:id="0" w:name="Y-300-Z-NZI-B-2003-S-322-N-1-NAME-SACHVE"/>
      <w:bookmarkEnd w:id="0"/>
    </w:p>
    <w:p w14:paraId="02346E25" w14:textId="77777777" w:rsidR="00E24F87" w:rsidRDefault="00000000">
      <w:pPr>
        <w:pStyle w:val="printcontenth2"/>
        <w:spacing w:line="360" w:lineRule="auto"/>
        <w:ind w:right="150"/>
        <w:outlineLvl w:val="1"/>
        <w:rPr>
          <w:b/>
          <w:bCs/>
        </w:rPr>
      </w:pPr>
      <w:r>
        <w:rPr>
          <w:b/>
          <w:bCs/>
        </w:rPr>
        <w:t>Zum Sachverhalt:</w:t>
      </w:r>
    </w:p>
    <w:p w14:paraId="30722C3A" w14:textId="77777777" w:rsidR="00E24F87" w:rsidRDefault="00000000">
      <w:pPr>
        <w:pStyle w:val="divbocontentwrapperbocenterpParagraph"/>
        <w:spacing w:after="120" w:line="360" w:lineRule="auto"/>
        <w:ind w:right="150"/>
        <w:rPr>
          <w:color w:val="000000"/>
        </w:rPr>
      </w:pPr>
      <w:r>
        <w:rPr>
          <w:color w:val="000000"/>
        </w:rPr>
        <w:t xml:space="preserve">Der Kl. verlangt im Wege der Insolvenzanfechtung Rückgewähr einer Steuerzahlung, die die am 16. 9. 1999 gegründete, am 8. 3. 2000 ins Handelsregister eingetragene </w:t>
      </w:r>
      <w:r>
        <w:rPr>
          <w:rStyle w:val="emitalicon"/>
          <w:color w:val="000000"/>
        </w:rPr>
        <w:t>K</w:t>
      </w:r>
      <w:r>
        <w:rPr>
          <w:color w:val="000000"/>
        </w:rPr>
        <w:t xml:space="preserve">-GmbH (nachfolgend: Schuldnerin) an das bekl. Land geleistet hat. Am 8. 2. 2000 erließ das zuständige Finanzamt gegen die Schuldnerin eine Pfändungs- und Einziehungsverfügung wegen rückständiger Steuern aus dem Zeitraum November/Dezember 1999 in Höhe von insgesamt 12981,36 DM. Sie führte nicht zum Erfolg, weil die Schuldnerin bei dem in der Verfügung bezeichneten Kreditinstitut kein Konto unterhielt. Am 10. 3. 2000 brachte die Schuldnerin diesen Betrag zur Anweisung, der am 14. 3. 2000 ihrem Steuerkonto gutgeschrieben wurde. Am 16. 5. 2000 stellte der Geschäftsführer der Schuldnerin den Antrag auf Eröffnung des Insolvenzverfahrens. Am 11. 9. 2000 hat der Insolvenzrichter des </w:t>
      </w:r>
      <w:r>
        <w:rPr>
          <w:rStyle w:val="emitalicon"/>
          <w:color w:val="000000"/>
        </w:rPr>
        <w:t xml:space="preserve">AG Frankfurt </w:t>
      </w:r>
      <w:r>
        <w:rPr>
          <w:color w:val="000000"/>
        </w:rPr>
        <w:t>(</w:t>
      </w:r>
      <w:r>
        <w:rPr>
          <w:rStyle w:val="emitalicon"/>
          <w:color w:val="000000"/>
        </w:rPr>
        <w:t>Oder</w:t>
      </w:r>
      <w:r>
        <w:rPr>
          <w:color w:val="000000"/>
        </w:rPr>
        <w:t xml:space="preserve">) ein Beschlussformular unterzeichnet, das die Schuldnerin nicht namentlich erwähnt und in seinem Eingangssatz lautet: „In dem Verfahren zur Eröffnung der Insolvenz über das Vermögen der (5) vertreten durch den Geschäftsführer </w:t>
      </w:r>
      <w:r>
        <w:rPr>
          <w:rStyle w:val="emitalicon"/>
          <w:color w:val="000000"/>
        </w:rPr>
        <w:t>B</w:t>
      </w:r>
      <w:r>
        <w:rPr>
          <w:color w:val="000000"/>
        </w:rPr>
        <w:t xml:space="preserve"> wird … das Insolvenzverfahren eröffnet”. Die Ausfertigungen des Beschlusses enthalten die vollständige Firma der Schuldnerin. In dieser Form wurde der Beschluss, durch den zugleich der Kl. zum Insolvenzverwalter bestellt wurde, öffentlich bekannt gemacht. Mit Beschluss vom 5. 6. 2002 hat der Insolvenzrichter den Eröffnungsbeschluss in der Weise „präzisiert”, dass er die genaue Bezeichnung der Schuldnerin angegeben hat. Der Kl. hat behauptet, die Schuldnerin sei bei Leistung der angeforderten Zahlung zahlungsunfähig gewesen. Die zuständigen Beamten des Bekl. hätten Umstände gekannt, aus denen sie zwingend die Zahlungsunfähigkeit hätten entnehmen können, weil die Schuldnerin ihre Steuerverbindlichkeiten ständig verspätet und für den Zeitraum ab Januar 2000 überhaupt nicht mehr entrichtet habe. Die auf Zahlung von 12981,36 DM zuzüglich Zinsen gerichtete Klage hatte in den Vorinstanzen keinen Erfolg. Mit der zugelassenen Revision verfolgte der Kl. sein Begehren weiter.</w:t>
      </w:r>
    </w:p>
    <w:p w14:paraId="27177C0D" w14:textId="77777777" w:rsidR="00E24F87" w:rsidRDefault="00000000">
      <w:pPr>
        <w:pStyle w:val="divbocontentwrapperbocenterpParagraph"/>
        <w:spacing w:after="120" w:line="360" w:lineRule="auto"/>
        <w:ind w:right="150"/>
        <w:rPr>
          <w:color w:val="000000"/>
        </w:rPr>
      </w:pPr>
      <w:r>
        <w:rPr>
          <w:color w:val="000000"/>
        </w:rPr>
        <w:lastRenderedPageBreak/>
        <w:t>Die Revision hatte Erfolg.</w:t>
      </w:r>
      <w:bookmarkStart w:id="1" w:name="Y-300-Z-NZI-B-2003-S-322-N-1-NAME-GRUEND"/>
      <w:bookmarkEnd w:id="1"/>
    </w:p>
    <w:p w14:paraId="4AFEB412" w14:textId="77777777" w:rsidR="00E24F87" w:rsidRDefault="00000000">
      <w:pPr>
        <w:pStyle w:val="printcontenth2"/>
        <w:spacing w:line="360" w:lineRule="auto"/>
        <w:ind w:right="150"/>
        <w:outlineLvl w:val="1"/>
        <w:rPr>
          <w:b/>
          <w:bCs/>
        </w:rPr>
      </w:pPr>
      <w:r>
        <w:rPr>
          <w:b/>
          <w:bCs/>
        </w:rPr>
        <w:t>Aus den Gründen:</w:t>
      </w:r>
    </w:p>
    <w:p w14:paraId="284EFCF8" w14:textId="77777777" w:rsidR="00E24F87" w:rsidRDefault="00000000">
      <w:pPr>
        <w:pStyle w:val="divbocontentwrapperbocenterpParagraph"/>
        <w:spacing w:after="120" w:line="360" w:lineRule="auto"/>
        <w:ind w:right="150"/>
        <w:rPr>
          <w:color w:val="000000"/>
        </w:rPr>
      </w:pPr>
      <w:r>
        <w:rPr>
          <w:color w:val="000000"/>
        </w:rPr>
        <w:t>I. Das BerGer. hat die Zurückweisung der Berufung mit folgenden Erwägungen begründet:</w:t>
      </w:r>
    </w:p>
    <w:p w14:paraId="794B752E" w14:textId="77777777" w:rsidR="00E24F87" w:rsidRDefault="00000000">
      <w:pPr>
        <w:pStyle w:val="divbocontentwrapperbocenterpParagraph"/>
        <w:spacing w:after="120" w:line="360" w:lineRule="auto"/>
        <w:ind w:right="150"/>
        <w:rPr>
          <w:color w:val="000000"/>
        </w:rPr>
      </w:pPr>
      <w:r>
        <w:rPr>
          <w:rStyle w:val="emsmall"/>
          <w:color w:val="000000"/>
          <w:sz w:val="22"/>
          <w:szCs w:val="22"/>
        </w:rPr>
        <w:t xml:space="preserve">Zwar erfülle die Zahlung der Schuldnerin an sich alle Merkmale einer nach </w:t>
      </w:r>
      <w:r>
        <w:rPr>
          <w:rStyle w:val="any"/>
          <w:color w:val="000000"/>
        </w:rPr>
        <w:t xml:space="preserve">§ </w:t>
      </w:r>
      <w:hyperlink r:id="rId8" w:history="1">
        <w:r>
          <w:rPr>
            <w:rStyle w:val="bocontentwrapperbocenteranotbeck-btn"/>
            <w:color w:val="000000"/>
            <w:u w:val="single" w:color="000000"/>
          </w:rPr>
          <w:t>130</w:t>
        </w:r>
      </w:hyperlink>
      <w:r>
        <w:rPr>
          <w:rStyle w:val="any"/>
          <w:color w:val="000000"/>
        </w:rPr>
        <w:t xml:space="preserve"> </w:t>
      </w:r>
      <w:hyperlink r:id="rId9" w:history="1">
        <w:r>
          <w:rPr>
            <w:rStyle w:val="bocontentwrapperbocenteranotbeck-btn"/>
            <w:color w:val="000000"/>
            <w:u w:val="single" w:color="000000"/>
          </w:rPr>
          <w:t>I</w:t>
        </w:r>
      </w:hyperlink>
      <w:r>
        <w:rPr>
          <w:rStyle w:val="any"/>
          <w:color w:val="000000"/>
        </w:rPr>
        <w:t xml:space="preserve"> Nr. 1, </w:t>
      </w:r>
      <w:hyperlink r:id="rId10" w:history="1">
        <w:r>
          <w:rPr>
            <w:rStyle w:val="bocontentwrapperbocenteranotbeck-btn"/>
            <w:color w:val="000000"/>
            <w:u w:val="single" w:color="000000"/>
          </w:rPr>
          <w:t>II</w:t>
        </w:r>
      </w:hyperlink>
      <w:r>
        <w:rPr>
          <w:rStyle w:val="any"/>
          <w:color w:val="000000"/>
        </w:rPr>
        <w:t xml:space="preserve"> InsO</w:t>
      </w:r>
      <w:r>
        <w:rPr>
          <w:rStyle w:val="emsmall"/>
          <w:color w:val="000000"/>
          <w:sz w:val="22"/>
          <w:szCs w:val="22"/>
        </w:rPr>
        <w:t xml:space="preserve"> anfechtbaren Rechtshandlung. Zu dem für die Beurteilung maßgeblichen Zeitpunkt habe die Schuldnerin die Zahlungen eingestellt gehabt, so dass von ihrer Zahlungsunfähigkeit auszugehen sei. Dem Finanzamt seien zu diesem Zeitpunkt Umstände bekannt gewesen, die zwingend auf die Zahlungsunfähigkeit der Schuldnerin schließen ließen. Gleichwohl sei die Klage derzeit unbegründet, weil das Insolvenzverfahren über das Vermögen des Schuldners noch nicht wirksam eröffnet worden sei. Der Eröffnungsbeschluss enthalte nicht die in </w:t>
      </w:r>
      <w:r>
        <w:rPr>
          <w:rStyle w:val="any"/>
          <w:color w:val="000000"/>
        </w:rPr>
        <w:t xml:space="preserve">§ </w:t>
      </w:r>
      <w:hyperlink r:id="rId11" w:history="1">
        <w:r>
          <w:rPr>
            <w:rStyle w:val="bocontentwrapperbocenteranotbeck-btn"/>
            <w:color w:val="000000"/>
            <w:u w:val="single" w:color="000000"/>
          </w:rPr>
          <w:t>27</w:t>
        </w:r>
      </w:hyperlink>
      <w:r>
        <w:rPr>
          <w:rStyle w:val="any"/>
          <w:color w:val="000000"/>
        </w:rPr>
        <w:t xml:space="preserve"> </w:t>
      </w:r>
      <w:hyperlink r:id="rId12" w:history="1">
        <w:r>
          <w:rPr>
            <w:rStyle w:val="bocontentwrapperbocenteranotbeck-btn"/>
            <w:color w:val="000000"/>
            <w:u w:val="single" w:color="000000"/>
          </w:rPr>
          <w:t>II</w:t>
        </w:r>
      </w:hyperlink>
      <w:r>
        <w:rPr>
          <w:rStyle w:val="any"/>
          <w:color w:val="000000"/>
        </w:rPr>
        <w:t xml:space="preserve"> Nr. 1 InsO</w:t>
      </w:r>
      <w:r>
        <w:rPr>
          <w:rStyle w:val="emsmall"/>
          <w:color w:val="000000"/>
          <w:sz w:val="22"/>
          <w:szCs w:val="22"/>
        </w:rPr>
        <w:t xml:space="preserve"> zwingend vorgeschriebene Bezeichnung des Schuldners. Er sei deshalb nichtig; denn der ihm anhaftende Mangel sei besonders schwer wiegend und in seiner Bedeutung dem Fall einer fehlenden Unterschrift des Richters gleichzusetzen. Dieser Mangel sei weder durch den Inhalt der erteilten Ausfertigungen noch durch den Beschluss vom 5. 6. 2002 geheilt worden.</w:t>
      </w:r>
    </w:p>
    <w:p w14:paraId="5EDB63AA" w14:textId="77777777" w:rsidR="00E24F87" w:rsidRDefault="00000000">
      <w:pPr>
        <w:pStyle w:val="divbocontentwrapperbocenterpParagraph"/>
        <w:spacing w:after="120" w:line="360" w:lineRule="auto"/>
        <w:ind w:right="150"/>
        <w:rPr>
          <w:color w:val="000000"/>
        </w:rPr>
      </w:pPr>
      <w:r>
        <w:rPr>
          <w:color w:val="000000"/>
        </w:rPr>
        <w:t>II. Dagegen wendet sich die Revision zu Recht. Entgegen der Meinung des BerGer. ist das Insolvenzverfahren seit dem 11. 9. 2000 eröffnet.</w:t>
      </w:r>
    </w:p>
    <w:p w14:paraId="218B57A3" w14:textId="77777777" w:rsidR="00E24F87" w:rsidRDefault="00000000">
      <w:pPr>
        <w:pStyle w:val="divbocontentwrapperbocenterpParagraph"/>
        <w:spacing w:after="120" w:line="360" w:lineRule="auto"/>
        <w:ind w:right="150"/>
        <w:rPr>
          <w:color w:val="000000"/>
        </w:rPr>
      </w:pPr>
      <w:r>
        <w:rPr>
          <w:color w:val="000000"/>
        </w:rPr>
        <w:t xml:space="preserve">1. Der vom Insolvenzrichter unterzeichnete Beschluss entsprach allerdings nicht den gesetzlichen Vorgaben. Gem. </w:t>
      </w:r>
      <w:r>
        <w:rPr>
          <w:rStyle w:val="any"/>
          <w:color w:val="000000"/>
        </w:rPr>
        <w:t xml:space="preserve">§ </w:t>
      </w:r>
      <w:hyperlink r:id="rId13" w:history="1">
        <w:r>
          <w:rPr>
            <w:rStyle w:val="bocontentwrapperbocenteranotbeck-btn"/>
            <w:color w:val="000000"/>
            <w:u w:val="single" w:color="000000"/>
          </w:rPr>
          <w:t>27</w:t>
        </w:r>
      </w:hyperlink>
      <w:r>
        <w:rPr>
          <w:rStyle w:val="any"/>
          <w:color w:val="000000"/>
        </w:rPr>
        <w:t xml:space="preserve"> </w:t>
      </w:r>
      <w:hyperlink r:id="rId14" w:history="1">
        <w:r>
          <w:rPr>
            <w:rStyle w:val="bocontentwrapperbocenteranotbeck-btn"/>
            <w:color w:val="000000"/>
            <w:u w:val="single" w:color="000000"/>
          </w:rPr>
          <w:t>II</w:t>
        </w:r>
      </w:hyperlink>
      <w:r>
        <w:rPr>
          <w:rStyle w:val="any"/>
          <w:color w:val="000000"/>
        </w:rPr>
        <w:t xml:space="preserve"> Nr. 1 InsO</w:t>
      </w:r>
      <w:r>
        <w:rPr>
          <w:color w:val="000000"/>
        </w:rPr>
        <w:t xml:space="preserve"> hat der Eröffnungsbeschluss selbst die Person des Schuldners bestimmt zu bezeichnen und deshalb insbesondere dessen Firma oder Namen und Vornamen sowie gewerbliche Niederlassung oder Wohnung anzugeben. Allein die Angabe des gesetzlichen Vertreters der insolvent gewordenen Gesellschaft genügt nicht. Bezugnahmen auf Teile der Akten oder andere Urkunden sind nicht zulässig. Die genaue und eindeutige Bezeichnung des Schuldners muss aus dem Text des vom Richter unterzeichneten Eröffnungsbeschlusses unmittelbar ersichtlich sein. Dies ist im Hinblick auf die vielfältigen und weitreichenden Wirkungen der Insolvenzeröffnung ein Gebot der Rechtsklarheit. </w:t>
      </w:r>
      <w:r>
        <w:rPr>
          <w:rStyle w:val="any"/>
          <w:color w:val="000000"/>
        </w:rPr>
        <w:t xml:space="preserve">§ </w:t>
      </w:r>
      <w:hyperlink r:id="rId15" w:history="1">
        <w:r>
          <w:rPr>
            <w:rStyle w:val="bocontentwrapperbocenteranotbeck-btn"/>
            <w:color w:val="000000"/>
            <w:u w:val="single" w:color="000000"/>
          </w:rPr>
          <w:t>27</w:t>
        </w:r>
      </w:hyperlink>
      <w:r>
        <w:rPr>
          <w:rStyle w:val="any"/>
          <w:color w:val="000000"/>
        </w:rPr>
        <w:t xml:space="preserve"> </w:t>
      </w:r>
      <w:hyperlink r:id="rId16" w:history="1">
        <w:r>
          <w:rPr>
            <w:rStyle w:val="bocontentwrapperbocenteranotbeck-btn"/>
            <w:color w:val="000000"/>
            <w:u w:val="single" w:color="000000"/>
          </w:rPr>
          <w:t>II</w:t>
        </w:r>
      </w:hyperlink>
      <w:r>
        <w:rPr>
          <w:rStyle w:val="any"/>
          <w:color w:val="000000"/>
        </w:rPr>
        <w:t xml:space="preserve"> Nr. 1 InsO</w:t>
      </w:r>
      <w:r>
        <w:rPr>
          <w:color w:val="000000"/>
        </w:rPr>
        <w:t xml:space="preserve"> ist daher streng wörtlich entsprechend dem eindeutigen Inhalt der Norm zu verstehen, welcher keine Verweisung auf die Akten oder andere Urkunden vorsieht.</w:t>
      </w:r>
    </w:p>
    <w:p w14:paraId="79ADCABF" w14:textId="77777777" w:rsidR="00E24F87" w:rsidRDefault="00000000">
      <w:pPr>
        <w:pStyle w:val="divbocontentwrapperbocenterpParagraph"/>
        <w:spacing w:after="120" w:line="360" w:lineRule="auto"/>
        <w:ind w:right="150"/>
        <w:rPr>
          <w:color w:val="000000"/>
        </w:rPr>
      </w:pPr>
      <w:r>
        <w:rPr>
          <w:color w:val="000000"/>
        </w:rPr>
        <w:t>Es genügt auch nicht, dass die öffentliche Bekanntmachung und die dem Schuldner und dessen Gläubigern und Schuldnern zugestellten Ausfertigungen des Beschlusses die gesetzlich vorgesehenen Angaben enthalten. Die Funktion dieser Urkunden beschränkt sich darauf, die Urschrift wortgetreu und richtig wiederzugeben. Da sie von der Geschäftsstelle veranlasst werden, enthalten sie keine richterliche Bestätigung und sind folglich ganz allgemein nicht geeignet, Mängel des Eröffnungsbeschlusses zu ersetzen (</w:t>
      </w:r>
      <w:r>
        <w:rPr>
          <w:rStyle w:val="any"/>
          <w:color w:val="000000"/>
        </w:rPr>
        <w:t xml:space="preserve">BGHZ 137, </w:t>
      </w:r>
      <w:hyperlink r:id="rId17" w:history="1">
        <w:r>
          <w:rPr>
            <w:rStyle w:val="bocontentwrapperbocenteranotbeck-btn"/>
            <w:color w:val="000000"/>
            <w:u w:val="single" w:color="000000"/>
          </w:rPr>
          <w:t>49</w:t>
        </w:r>
      </w:hyperlink>
      <w:r>
        <w:rPr>
          <w:rStyle w:val="any"/>
          <w:color w:val="000000"/>
        </w:rPr>
        <w:t xml:space="preserve"> [</w:t>
      </w:r>
      <w:hyperlink r:id="rId18" w:history="1">
        <w:r>
          <w:rPr>
            <w:rStyle w:val="bocontentwrapperbocenteranotbeck-btn"/>
            <w:color w:val="000000"/>
            <w:u w:val="single" w:color="000000"/>
          </w:rPr>
          <w:t>53</w:t>
        </w:r>
      </w:hyperlink>
      <w:r>
        <w:rPr>
          <w:color w:val="000000"/>
        </w:rPr>
        <w:t xml:space="preserve">] = </w:t>
      </w:r>
      <w:r>
        <w:rPr>
          <w:rStyle w:val="any"/>
          <w:color w:val="000000"/>
        </w:rPr>
        <w:t xml:space="preserve">NJW 1998, </w:t>
      </w:r>
      <w:hyperlink r:id="rId19" w:history="1">
        <w:r>
          <w:rPr>
            <w:rStyle w:val="bocontentwrapperbocenteranotbeck-btn"/>
            <w:color w:val="000000"/>
            <w:u w:val="single" w:color="000000"/>
          </w:rPr>
          <w:t>609</w:t>
        </w:r>
      </w:hyperlink>
      <w:r>
        <w:rPr>
          <w:color w:val="000000"/>
        </w:rPr>
        <w:t xml:space="preserve"> = LM H. 3/1998 GesO Nr. 29; </w:t>
      </w:r>
      <w:r>
        <w:rPr>
          <w:rStyle w:val="emitalicon"/>
          <w:color w:val="000000"/>
        </w:rPr>
        <w:t>OLG Köln</w:t>
      </w:r>
      <w:r>
        <w:rPr>
          <w:color w:val="000000"/>
        </w:rPr>
        <w:t xml:space="preserve">, </w:t>
      </w:r>
      <w:r>
        <w:rPr>
          <w:rStyle w:val="any"/>
          <w:color w:val="000000"/>
        </w:rPr>
        <w:t xml:space="preserve">NZI 2000, </w:t>
      </w:r>
      <w:hyperlink r:id="rId20" w:history="1">
        <w:r>
          <w:rPr>
            <w:rStyle w:val="bocontentwrapperbocenteranotbeck-btn"/>
            <w:color w:val="000000"/>
            <w:u w:val="single" w:color="000000"/>
          </w:rPr>
          <w:t>480</w:t>
        </w:r>
      </w:hyperlink>
      <w:r>
        <w:rPr>
          <w:color w:val="000000"/>
        </w:rPr>
        <w:t xml:space="preserve"> = </w:t>
      </w:r>
      <w:r>
        <w:rPr>
          <w:rStyle w:val="any"/>
          <w:color w:val="000000"/>
        </w:rPr>
        <w:t xml:space="preserve">ZIP 2000, </w:t>
      </w:r>
      <w:hyperlink r:id="rId21" w:history="1">
        <w:r>
          <w:rPr>
            <w:rStyle w:val="bocontentwrapperbocenteranotbeck-btn"/>
            <w:color w:val="000000"/>
            <w:u w:val="single" w:color="000000"/>
          </w:rPr>
          <w:t>1343</w:t>
        </w:r>
      </w:hyperlink>
      <w:r>
        <w:rPr>
          <w:rStyle w:val="any"/>
          <w:color w:val="000000"/>
        </w:rPr>
        <w:t xml:space="preserve"> [</w:t>
      </w:r>
      <w:hyperlink r:id="rId22" w:history="1">
        <w:r>
          <w:rPr>
            <w:rStyle w:val="bocontentwrapperbocenteranotbeck-btn"/>
            <w:color w:val="000000"/>
            <w:u w:val="single" w:color="000000"/>
          </w:rPr>
          <w:t>1349</w:t>
        </w:r>
      </w:hyperlink>
      <w:r>
        <w:rPr>
          <w:color w:val="000000"/>
        </w:rPr>
        <w:t xml:space="preserve">] = </w:t>
      </w:r>
      <w:r>
        <w:rPr>
          <w:rStyle w:val="any"/>
          <w:color w:val="000000"/>
        </w:rPr>
        <w:t xml:space="preserve">NJW-RR 2000, </w:t>
      </w:r>
      <w:hyperlink r:id="rId23" w:history="1">
        <w:r>
          <w:rPr>
            <w:rStyle w:val="bocontentwrapperbocenteranotbeck-btn"/>
            <w:color w:val="000000"/>
            <w:u w:val="single" w:color="000000"/>
          </w:rPr>
          <w:t>1580</w:t>
        </w:r>
      </w:hyperlink>
      <w:r>
        <w:rPr>
          <w:color w:val="000000"/>
        </w:rPr>
        <w:t xml:space="preserve"> L).</w:t>
      </w:r>
    </w:p>
    <w:p w14:paraId="1B480CFB" w14:textId="77777777" w:rsidR="00E24F87" w:rsidRDefault="00000000">
      <w:pPr>
        <w:pStyle w:val="divbocontentwrapperbocenterpParagraph"/>
        <w:spacing w:after="120" w:line="360" w:lineRule="auto"/>
        <w:ind w:right="150"/>
        <w:rPr>
          <w:color w:val="000000"/>
        </w:rPr>
      </w:pPr>
      <w:r>
        <w:rPr>
          <w:color w:val="000000"/>
        </w:rPr>
        <w:lastRenderedPageBreak/>
        <w:t>2. Der Eröffnungsbeschluss ist trotz des beschriebenen Rechtsmangels wirksam.</w:t>
      </w:r>
    </w:p>
    <w:p w14:paraId="3626BBF2" w14:textId="77777777" w:rsidR="00E24F87" w:rsidRDefault="00000000">
      <w:pPr>
        <w:pStyle w:val="divbocontentwrapperbocenterpParagraph"/>
        <w:spacing w:after="120" w:line="360" w:lineRule="auto"/>
        <w:ind w:right="150"/>
        <w:rPr>
          <w:color w:val="000000"/>
        </w:rPr>
      </w:pPr>
      <w:r>
        <w:rPr>
          <w:color w:val="000000"/>
        </w:rPr>
        <w:t>a) Der rechtskräftige Beschluss über die Eröffnung des Insolvenzverfahrens ist vom Prozessgericht grundsätzlich auch dann als gültig hinzunehmen, wenn er verfahrensfehlerhaft ergangen ist; denn als in dem dafür vorgesehenen Verfahren ergangener hoheitlicher Akt beansprucht er Geltung gegenüber jedermann, sofern der Entscheidung nicht ausnahmsweise ein Fehler anhaftet, der zur Nichtigkeit führt (</w:t>
      </w:r>
      <w:r>
        <w:rPr>
          <w:rStyle w:val="any"/>
          <w:color w:val="000000"/>
        </w:rPr>
        <w:t xml:space="preserve">BGHZ 113, </w:t>
      </w:r>
      <w:hyperlink r:id="rId24" w:history="1">
        <w:r>
          <w:rPr>
            <w:rStyle w:val="bocontentwrapperbocenteranotbeck-btn"/>
            <w:color w:val="000000"/>
            <w:u w:val="single" w:color="000000"/>
          </w:rPr>
          <w:t>216</w:t>
        </w:r>
      </w:hyperlink>
      <w:r>
        <w:rPr>
          <w:rStyle w:val="any"/>
          <w:color w:val="000000"/>
        </w:rPr>
        <w:t xml:space="preserve"> [</w:t>
      </w:r>
      <w:hyperlink r:id="rId25" w:history="1">
        <w:r>
          <w:rPr>
            <w:rStyle w:val="bocontentwrapperbocenteranotbeck-btn"/>
            <w:color w:val="000000"/>
            <w:u w:val="single" w:color="000000"/>
          </w:rPr>
          <w:t>218</w:t>
        </w:r>
      </w:hyperlink>
      <w:r>
        <w:rPr>
          <w:color w:val="000000"/>
        </w:rPr>
        <w:t xml:space="preserve">] = </w:t>
      </w:r>
      <w:r>
        <w:rPr>
          <w:rStyle w:val="any"/>
          <w:color w:val="000000"/>
        </w:rPr>
        <w:t xml:space="preserve">NJW 1991, </w:t>
      </w:r>
      <w:hyperlink r:id="rId26" w:history="1">
        <w:r>
          <w:rPr>
            <w:rStyle w:val="bocontentwrapperbocenteranotbeck-btn"/>
            <w:color w:val="000000"/>
            <w:u w:val="single" w:color="000000"/>
          </w:rPr>
          <w:t>922</w:t>
        </w:r>
      </w:hyperlink>
      <w:r>
        <w:rPr>
          <w:color w:val="000000"/>
        </w:rPr>
        <w:t xml:space="preserve"> = LM § 171 HGB Nr. 27; </w:t>
      </w:r>
      <w:r>
        <w:rPr>
          <w:rStyle w:val="any"/>
          <w:color w:val="000000"/>
        </w:rPr>
        <w:t xml:space="preserve">BGHZ 138, </w:t>
      </w:r>
      <w:hyperlink r:id="rId27" w:history="1">
        <w:r>
          <w:rPr>
            <w:rStyle w:val="bocontentwrapperbocenteranotbeck-btn"/>
            <w:color w:val="000000"/>
            <w:u w:val="single" w:color="000000"/>
          </w:rPr>
          <w:t>40</w:t>
        </w:r>
      </w:hyperlink>
      <w:r>
        <w:rPr>
          <w:rStyle w:val="any"/>
          <w:color w:val="000000"/>
        </w:rPr>
        <w:t xml:space="preserve"> [</w:t>
      </w:r>
      <w:hyperlink r:id="rId28" w:history="1">
        <w:r>
          <w:rPr>
            <w:rStyle w:val="bocontentwrapperbocenteranotbeck-btn"/>
            <w:color w:val="000000"/>
            <w:u w:val="single" w:color="000000"/>
          </w:rPr>
          <w:t>44</w:t>
        </w:r>
      </w:hyperlink>
      <w:r>
        <w:rPr>
          <w:color w:val="000000"/>
        </w:rPr>
        <w:t xml:space="preserve">] = </w:t>
      </w:r>
      <w:r>
        <w:rPr>
          <w:rStyle w:val="any"/>
          <w:color w:val="000000"/>
        </w:rPr>
        <w:t xml:space="preserve">NJW 1998, </w:t>
      </w:r>
      <w:hyperlink r:id="rId29" w:history="1">
        <w:r>
          <w:rPr>
            <w:rStyle w:val="bocontentwrapperbocenteranotbeck-btn"/>
            <w:color w:val="000000"/>
            <w:u w:val="single" w:color="000000"/>
          </w:rPr>
          <w:t>1318</w:t>
        </w:r>
      </w:hyperlink>
      <w:r>
        <w:rPr>
          <w:color w:val="000000"/>
        </w:rPr>
        <w:t xml:space="preserve"> = LM H. 6/1998 § 71 KO Nr. 3). Wegen der für das Insolvenzverfahren grundlegenden Bedeutung des die Eröffnung anordnenden Beschlusses ist er schon aus Gründen der Rechtssicherheit nur außerordentlich selten als nichtig zu behandeln, hauptsächlich dann, wenn dem Akt infolge des festgestellten Fehlers bereits äußerlich ein für eine richterliche Entscheidung wesentliches Merkmal fehlt (</w:t>
      </w:r>
      <w:r>
        <w:rPr>
          <w:rStyle w:val="any"/>
          <w:color w:val="000000"/>
        </w:rPr>
        <w:t xml:space="preserve">BGHZ 138, </w:t>
      </w:r>
      <w:hyperlink r:id="rId30" w:history="1">
        <w:r>
          <w:rPr>
            <w:rStyle w:val="bocontentwrapperbocenteranotbeck-btn"/>
            <w:color w:val="000000"/>
            <w:u w:val="single" w:color="000000"/>
          </w:rPr>
          <w:t>40</w:t>
        </w:r>
      </w:hyperlink>
      <w:r>
        <w:rPr>
          <w:rStyle w:val="any"/>
          <w:color w:val="000000"/>
        </w:rPr>
        <w:t xml:space="preserve"> [</w:t>
      </w:r>
      <w:hyperlink r:id="rId31" w:history="1">
        <w:r>
          <w:rPr>
            <w:rStyle w:val="bocontentwrapperbocenteranotbeck-btn"/>
            <w:color w:val="000000"/>
            <w:u w:val="single" w:color="000000"/>
          </w:rPr>
          <w:t>44</w:t>
        </w:r>
      </w:hyperlink>
      <w:r>
        <w:rPr>
          <w:color w:val="000000"/>
        </w:rPr>
        <w:t xml:space="preserve">] = </w:t>
      </w:r>
      <w:r>
        <w:rPr>
          <w:rStyle w:val="any"/>
          <w:color w:val="000000"/>
        </w:rPr>
        <w:t xml:space="preserve">NJW 1998, </w:t>
      </w:r>
      <w:hyperlink r:id="rId32" w:history="1">
        <w:r>
          <w:rPr>
            <w:rStyle w:val="bocontentwrapperbocenteranotbeck-btn"/>
            <w:color w:val="000000"/>
            <w:u w:val="single" w:color="000000"/>
          </w:rPr>
          <w:t>1318</w:t>
        </w:r>
      </w:hyperlink>
      <w:r>
        <w:rPr>
          <w:color w:val="000000"/>
        </w:rPr>
        <w:t xml:space="preserve"> = LM H. 6/1998 § 71 KO Nr. 3). Dies folgt auch aus dem Grundsatz, dass gerichtliche Anordnungen erst dann schlechthin unwirksam sind, wenn ihnen ein offenkundiger schwerer Fehler anhaftet (vgl. </w:t>
      </w:r>
      <w:r>
        <w:rPr>
          <w:rStyle w:val="any"/>
          <w:color w:val="000000"/>
        </w:rPr>
        <w:t xml:space="preserve">BGHZ 114, </w:t>
      </w:r>
      <w:hyperlink r:id="rId33" w:history="1">
        <w:r>
          <w:rPr>
            <w:rStyle w:val="bocontentwrapperbocenteranotbeck-btn"/>
            <w:color w:val="000000"/>
            <w:u w:val="single" w:color="000000"/>
          </w:rPr>
          <w:t>315</w:t>
        </w:r>
      </w:hyperlink>
      <w:r>
        <w:rPr>
          <w:rStyle w:val="any"/>
          <w:color w:val="000000"/>
        </w:rPr>
        <w:t xml:space="preserve"> [</w:t>
      </w:r>
      <w:hyperlink r:id="rId34" w:history="1">
        <w:r>
          <w:rPr>
            <w:rStyle w:val="bocontentwrapperbocenteranotbeck-btn"/>
            <w:color w:val="000000"/>
            <w:u w:val="single" w:color="000000"/>
          </w:rPr>
          <w:t>326</w:t>
        </w:r>
      </w:hyperlink>
      <w:r>
        <w:rPr>
          <w:color w:val="000000"/>
        </w:rPr>
        <w:t xml:space="preserve">] = </w:t>
      </w:r>
      <w:r>
        <w:rPr>
          <w:rStyle w:val="any"/>
          <w:color w:val="000000"/>
        </w:rPr>
        <w:t xml:space="preserve">NJW 1991, </w:t>
      </w:r>
      <w:hyperlink r:id="rId35" w:history="1">
        <w:r>
          <w:rPr>
            <w:rStyle w:val="bocontentwrapperbocenteranotbeck-btn"/>
            <w:color w:val="000000"/>
            <w:u w:val="single" w:color="000000"/>
          </w:rPr>
          <w:t>2147</w:t>
        </w:r>
      </w:hyperlink>
      <w:r>
        <w:rPr>
          <w:color w:val="000000"/>
        </w:rPr>
        <w:t xml:space="preserve"> = LM § 29 KO Nr. 14; </w:t>
      </w:r>
      <w:r>
        <w:rPr>
          <w:rStyle w:val="emitalicon"/>
          <w:color w:val="000000"/>
        </w:rPr>
        <w:t>BGH</w:t>
      </w:r>
      <w:r>
        <w:rPr>
          <w:color w:val="000000"/>
        </w:rPr>
        <w:t xml:space="preserve">, </w:t>
      </w:r>
      <w:r>
        <w:rPr>
          <w:rStyle w:val="any"/>
          <w:color w:val="000000"/>
        </w:rPr>
        <w:t xml:space="preserve">NJW 2002, </w:t>
      </w:r>
      <w:hyperlink r:id="rId36" w:history="1">
        <w:r>
          <w:rPr>
            <w:rStyle w:val="bocontentwrapperbocenteranotbeck-btn"/>
            <w:color w:val="000000"/>
            <w:u w:val="single" w:color="000000"/>
          </w:rPr>
          <w:t>3326</w:t>
        </w:r>
      </w:hyperlink>
      <w:r>
        <w:rPr>
          <w:color w:val="000000"/>
        </w:rPr>
        <w:t xml:space="preserve"> = </w:t>
      </w:r>
      <w:r>
        <w:rPr>
          <w:rStyle w:val="any"/>
          <w:color w:val="000000"/>
        </w:rPr>
        <w:t xml:space="preserve">NZI 2002, </w:t>
      </w:r>
      <w:hyperlink r:id="rId37" w:history="1">
        <w:r>
          <w:rPr>
            <w:rStyle w:val="bocontentwrapperbocenteranotbeck-btn"/>
            <w:color w:val="000000"/>
            <w:u w:val="single" w:color="000000"/>
          </w:rPr>
          <w:t>543</w:t>
        </w:r>
      </w:hyperlink>
      <w:r>
        <w:rPr>
          <w:color w:val="000000"/>
        </w:rPr>
        <w:t xml:space="preserve"> = LM H. 12/2002 § 55 InsO Nrn. 4 bis 6 = </w:t>
      </w:r>
      <w:r>
        <w:rPr>
          <w:rStyle w:val="any"/>
          <w:color w:val="000000"/>
        </w:rPr>
        <w:t xml:space="preserve">WM 2002, </w:t>
      </w:r>
      <w:hyperlink r:id="rId38" w:history="1">
        <w:r>
          <w:rPr>
            <w:rStyle w:val="bocontentwrapperbocenteranotbeck-btn"/>
            <w:color w:val="000000"/>
            <w:u w:val="single" w:color="000000"/>
          </w:rPr>
          <w:t>1888</w:t>
        </w:r>
      </w:hyperlink>
      <w:r>
        <w:rPr>
          <w:rStyle w:val="any"/>
          <w:color w:val="000000"/>
        </w:rPr>
        <w:t xml:space="preserve"> [</w:t>
      </w:r>
      <w:hyperlink r:id="rId39" w:history="1">
        <w:r>
          <w:rPr>
            <w:rStyle w:val="bocontentwrapperbocenteranotbeck-btn"/>
            <w:color w:val="000000"/>
            <w:u w:val="single" w:color="000000"/>
          </w:rPr>
          <w:t>1892</w:t>
        </w:r>
      </w:hyperlink>
      <w:r>
        <w:rPr>
          <w:color w:val="000000"/>
        </w:rPr>
        <w:t>], z. Veröff. best. in BGHZ). Aus diesen Gründen hat die höchstrichterliche Rechtsprechung den Eröffnungsbeschluss über das Vermögen einer nach damaliger Rechtslage nicht konkursfähigen Gesellschaft als wirksam angesehen (</w:t>
      </w:r>
      <w:r>
        <w:rPr>
          <w:rStyle w:val="any"/>
          <w:color w:val="000000"/>
        </w:rPr>
        <w:t xml:space="preserve">BGHZ 113, </w:t>
      </w:r>
      <w:hyperlink r:id="rId40" w:history="1">
        <w:r>
          <w:rPr>
            <w:rStyle w:val="bocontentwrapperbocenteranotbeck-btn"/>
            <w:color w:val="000000"/>
            <w:u w:val="single" w:color="000000"/>
          </w:rPr>
          <w:t>216</w:t>
        </w:r>
      </w:hyperlink>
      <w:r>
        <w:rPr>
          <w:rStyle w:val="any"/>
          <w:color w:val="000000"/>
        </w:rPr>
        <w:t xml:space="preserve"> [</w:t>
      </w:r>
      <w:hyperlink r:id="rId41" w:history="1">
        <w:r>
          <w:rPr>
            <w:rStyle w:val="bocontentwrapperbocenteranotbeck-btn"/>
            <w:color w:val="000000"/>
            <w:u w:val="single" w:color="000000"/>
          </w:rPr>
          <w:t>218</w:t>
        </w:r>
      </w:hyperlink>
      <w:r>
        <w:rPr>
          <w:color w:val="000000"/>
        </w:rPr>
        <w:t xml:space="preserve">] = </w:t>
      </w:r>
      <w:r>
        <w:rPr>
          <w:rStyle w:val="any"/>
          <w:color w:val="000000"/>
        </w:rPr>
        <w:t xml:space="preserve">NJW 1991, </w:t>
      </w:r>
      <w:hyperlink r:id="rId42" w:history="1">
        <w:r>
          <w:rPr>
            <w:rStyle w:val="bocontentwrapperbocenteranotbeck-btn"/>
            <w:color w:val="000000"/>
            <w:u w:val="single" w:color="000000"/>
          </w:rPr>
          <w:t>922</w:t>
        </w:r>
      </w:hyperlink>
      <w:r>
        <w:rPr>
          <w:color w:val="000000"/>
        </w:rPr>
        <w:t xml:space="preserve"> = LM § 171 HGB Nr. 27), ebenso den Beschluss eines örtlich unzuständigen Amtsgerichts, obwohl das an sich zuständige Gericht nach einem anderen als dem angewandten Gesetz über die Verfahrenseröffnung hätte befinden müssen (</w:t>
      </w:r>
      <w:r>
        <w:rPr>
          <w:rStyle w:val="any"/>
          <w:color w:val="000000"/>
        </w:rPr>
        <w:t xml:space="preserve">BGHZ 138, </w:t>
      </w:r>
      <w:hyperlink r:id="rId43" w:history="1">
        <w:r>
          <w:rPr>
            <w:rStyle w:val="bocontentwrapperbocenteranotbeck-btn"/>
            <w:color w:val="000000"/>
            <w:u w:val="single" w:color="000000"/>
          </w:rPr>
          <w:t>40</w:t>
        </w:r>
      </w:hyperlink>
      <w:r>
        <w:rPr>
          <w:color w:val="000000"/>
        </w:rPr>
        <w:t xml:space="preserve"> = </w:t>
      </w:r>
      <w:r>
        <w:rPr>
          <w:rStyle w:val="any"/>
          <w:color w:val="000000"/>
        </w:rPr>
        <w:t xml:space="preserve">NJW 1998, </w:t>
      </w:r>
      <w:hyperlink r:id="rId44" w:history="1">
        <w:r>
          <w:rPr>
            <w:rStyle w:val="bocontentwrapperbocenteranotbeck-btn"/>
            <w:color w:val="000000"/>
            <w:u w:val="single" w:color="000000"/>
          </w:rPr>
          <w:t>1318</w:t>
        </w:r>
      </w:hyperlink>
      <w:r>
        <w:rPr>
          <w:color w:val="000000"/>
        </w:rPr>
        <w:t xml:space="preserve"> = LM H. 6/1998 § 71 KO Nr. 3). Der Eröffnungsbeschluss ist bisher lediglich dann als nichtig angesehen worden, wenn die Unterschrift des Richters als für jede gerichtliche Entscheidung schlechthin konstitutiver Akt versäumt worden war (</w:t>
      </w:r>
      <w:r>
        <w:rPr>
          <w:rStyle w:val="any"/>
          <w:color w:val="000000"/>
        </w:rPr>
        <w:t xml:space="preserve">BGHZ 137, </w:t>
      </w:r>
      <w:hyperlink r:id="rId45" w:history="1">
        <w:r>
          <w:rPr>
            <w:rStyle w:val="bocontentwrapperbocenteranotbeck-btn"/>
            <w:color w:val="000000"/>
            <w:u w:val="single" w:color="000000"/>
          </w:rPr>
          <w:t>49</w:t>
        </w:r>
      </w:hyperlink>
      <w:r>
        <w:rPr>
          <w:color w:val="000000"/>
        </w:rPr>
        <w:t xml:space="preserve"> = </w:t>
      </w:r>
      <w:r>
        <w:rPr>
          <w:rStyle w:val="any"/>
          <w:color w:val="000000"/>
        </w:rPr>
        <w:t xml:space="preserve">NJW 1998, </w:t>
      </w:r>
      <w:hyperlink r:id="rId46" w:history="1">
        <w:r>
          <w:rPr>
            <w:rStyle w:val="bocontentwrapperbocenteranotbeck-btn"/>
            <w:color w:val="000000"/>
            <w:u w:val="single" w:color="000000"/>
          </w:rPr>
          <w:t>609</w:t>
        </w:r>
      </w:hyperlink>
      <w:r>
        <w:rPr>
          <w:color w:val="000000"/>
        </w:rPr>
        <w:t xml:space="preserve"> = LM H. 3/1998 GesO Nr. 29).</w:t>
      </w:r>
    </w:p>
    <w:p w14:paraId="070506B0" w14:textId="77777777" w:rsidR="00E24F87" w:rsidRDefault="00000000">
      <w:pPr>
        <w:pStyle w:val="divbocontentwrapperbocenterpParagraph"/>
        <w:spacing w:after="120" w:line="360" w:lineRule="auto"/>
        <w:ind w:right="150"/>
        <w:rPr>
          <w:color w:val="000000"/>
        </w:rPr>
      </w:pPr>
      <w:r>
        <w:rPr>
          <w:color w:val="000000"/>
        </w:rPr>
        <w:t>b) Ein dem letztgenannten Fehler gleichzusetzender Mangel liegt im Streitfall nicht vor.</w:t>
      </w:r>
    </w:p>
    <w:p w14:paraId="66DE4442" w14:textId="77777777" w:rsidR="00E24F87" w:rsidRDefault="00000000">
      <w:pPr>
        <w:pStyle w:val="divbocontentwrapperbocenterpParagraph"/>
        <w:spacing w:after="120" w:line="360" w:lineRule="auto"/>
        <w:ind w:right="150"/>
        <w:rPr>
          <w:color w:val="000000"/>
        </w:rPr>
      </w:pPr>
      <w:r>
        <w:rPr>
          <w:color w:val="000000"/>
        </w:rPr>
        <w:t>aa) Das Insolvenzgericht hat im Beschluss vom 11. 9. 2000 auf eine durch Einklammern gekennzeichnete Stelle von Blatt 5 der Akten Bezug genommen. Das ermöglichte die Feststellung, auf welche Person sich die gerichtliche Entscheidung bezog; denn die betreffende Stelle lautet:</w:t>
      </w:r>
    </w:p>
    <w:p w14:paraId="77ED8C43" w14:textId="77777777" w:rsidR="00E24F87" w:rsidRDefault="00000000">
      <w:pPr>
        <w:pStyle w:val="divbocontentwrapperbocenterpParagraph"/>
        <w:spacing w:after="120" w:line="360" w:lineRule="auto"/>
        <w:ind w:right="150"/>
        <w:rPr>
          <w:color w:val="000000"/>
        </w:rPr>
      </w:pPr>
      <w:r>
        <w:rPr>
          <w:rStyle w:val="emsmall"/>
          <w:color w:val="000000"/>
          <w:sz w:val="22"/>
          <w:szCs w:val="22"/>
        </w:rPr>
        <w:t>„</w:t>
      </w:r>
      <w:r>
        <w:rPr>
          <w:rStyle w:val="emitalicon"/>
          <w:color w:val="000000"/>
        </w:rPr>
        <w:t>K</w:t>
      </w:r>
      <w:r>
        <w:rPr>
          <w:rStyle w:val="emsmall"/>
          <w:color w:val="000000"/>
          <w:sz w:val="22"/>
          <w:szCs w:val="22"/>
        </w:rPr>
        <w:t xml:space="preserve">-GmbH, </w:t>
      </w:r>
      <w:r>
        <w:rPr>
          <w:rStyle w:val="emitalicon"/>
          <w:color w:val="000000"/>
        </w:rPr>
        <w:t>G</w:t>
      </w:r>
      <w:r>
        <w:rPr>
          <w:rStyle w:val="emsmall"/>
          <w:color w:val="000000"/>
          <w:sz w:val="22"/>
          <w:szCs w:val="22"/>
        </w:rPr>
        <w:t>-Weg 3, 15 M.”.</w:t>
      </w:r>
    </w:p>
    <w:p w14:paraId="6F2AE2F1" w14:textId="77777777" w:rsidR="00E24F87" w:rsidRDefault="00000000">
      <w:pPr>
        <w:pStyle w:val="divbocontentwrapperbocenterpParagraph"/>
        <w:spacing w:after="120" w:line="360" w:lineRule="auto"/>
        <w:ind w:right="150"/>
        <w:rPr>
          <w:color w:val="000000"/>
        </w:rPr>
      </w:pPr>
      <w:r>
        <w:rPr>
          <w:color w:val="000000"/>
        </w:rPr>
        <w:t>Hiernach ist die Schuldnerin sowohl in der öffentlichen Bekanntmachung als auch in den Zustellungen an die Beteiligten (</w:t>
      </w:r>
      <w:r>
        <w:rPr>
          <w:rStyle w:val="any"/>
          <w:color w:val="000000"/>
        </w:rPr>
        <w:t xml:space="preserve">§ </w:t>
      </w:r>
      <w:hyperlink r:id="rId47" w:history="1">
        <w:r>
          <w:rPr>
            <w:rStyle w:val="bocontentwrapperbocenteranotbeck-btn"/>
            <w:color w:val="000000"/>
            <w:u w:val="single" w:color="000000"/>
          </w:rPr>
          <w:t>30</w:t>
        </w:r>
      </w:hyperlink>
      <w:r>
        <w:rPr>
          <w:rStyle w:val="any"/>
          <w:color w:val="000000"/>
        </w:rPr>
        <w:t xml:space="preserve"> </w:t>
      </w:r>
      <w:hyperlink r:id="rId48" w:history="1">
        <w:r>
          <w:rPr>
            <w:rStyle w:val="bocontentwrapperbocenteranotbeck-btn"/>
            <w:color w:val="000000"/>
            <w:u w:val="single" w:color="000000"/>
          </w:rPr>
          <w:t>II</w:t>
        </w:r>
      </w:hyperlink>
      <w:r>
        <w:rPr>
          <w:rStyle w:val="any"/>
          <w:color w:val="000000"/>
        </w:rPr>
        <w:t xml:space="preserve"> InsO</w:t>
      </w:r>
      <w:r>
        <w:rPr>
          <w:color w:val="000000"/>
        </w:rPr>
        <w:t>) eindeutig und zutreffend benannt worden.</w:t>
      </w:r>
    </w:p>
    <w:tbl>
      <w:tblPr>
        <w:tblStyle w:val="table"/>
        <w:tblW w:w="5000" w:type="pct"/>
        <w:shd w:val="clear" w:color="auto" w:fill="F0F0F0"/>
        <w:tblCellMar>
          <w:top w:w="15" w:type="dxa"/>
          <w:left w:w="15" w:type="dxa"/>
          <w:bottom w:w="15" w:type="dxa"/>
          <w:right w:w="15" w:type="dxa"/>
        </w:tblCellMar>
        <w:tblLook w:val="05E0" w:firstRow="1" w:lastRow="1" w:firstColumn="1" w:lastColumn="1" w:noHBand="0" w:noVBand="1"/>
      </w:tblPr>
      <w:tblGrid>
        <w:gridCol w:w="7278"/>
        <w:gridCol w:w="1820"/>
      </w:tblGrid>
      <w:tr w:rsidR="00E24F87" w14:paraId="5EAB9458" w14:textId="77777777">
        <w:tc>
          <w:tcPr>
            <w:tcW w:w="4000" w:type="pct"/>
            <w:shd w:val="clear" w:color="auto" w:fill="F0F0F0"/>
            <w:tcMar>
              <w:top w:w="0" w:type="dxa"/>
              <w:left w:w="0" w:type="dxa"/>
              <w:bottom w:w="0" w:type="dxa"/>
              <w:right w:w="0" w:type="dxa"/>
            </w:tcMar>
            <w:vAlign w:val="center"/>
            <w:hideMark/>
          </w:tcPr>
          <w:p w14:paraId="5B513A73" w14:textId="77777777" w:rsidR="00E24F87" w:rsidRDefault="00000000">
            <w:pPr>
              <w:pStyle w:val="divpgdescrpspantitel"/>
              <w:pBdr>
                <w:top w:val="none" w:sz="0" w:space="7" w:color="auto"/>
                <w:left w:val="none" w:sz="0" w:space="8" w:color="auto"/>
                <w:bottom w:val="none" w:sz="0" w:space="4" w:color="auto"/>
              </w:pBdr>
              <w:spacing w:after="120"/>
              <w:ind w:left="330"/>
              <w:rPr>
                <w:color w:val="000000"/>
              </w:rPr>
            </w:pPr>
            <w:r>
              <w:rPr>
                <w:color w:val="000000"/>
              </w:rPr>
              <w:t>BGH: Kenntnis der Finanzverwaltung von Zahlungsunfähigkeit des Schuldners</w:t>
            </w:r>
            <w:r>
              <w:rPr>
                <w:rStyle w:val="citation"/>
                <w:color w:val="000000"/>
              </w:rPr>
              <w:t>(NZI 2003, 322)</w:t>
            </w:r>
          </w:p>
        </w:tc>
        <w:tc>
          <w:tcPr>
            <w:tcW w:w="1000" w:type="pct"/>
            <w:shd w:val="clear" w:color="auto" w:fill="F0F0F0"/>
            <w:tcMar>
              <w:top w:w="0" w:type="dxa"/>
              <w:left w:w="0" w:type="dxa"/>
              <w:bottom w:w="0" w:type="dxa"/>
              <w:right w:w="0" w:type="dxa"/>
            </w:tcMar>
            <w:vAlign w:val="center"/>
            <w:hideMark/>
          </w:tcPr>
          <w:p w14:paraId="563C3434" w14:textId="77777777" w:rsidR="00E24F87" w:rsidRDefault="00000000">
            <w:pPr>
              <w:pStyle w:val="divbocontentwrapperbocenterpParagraph"/>
              <w:pBdr>
                <w:top w:val="none" w:sz="0" w:space="6" w:color="auto"/>
                <w:right w:val="none" w:sz="0" w:space="3" w:color="auto"/>
              </w:pBdr>
              <w:spacing w:after="120"/>
              <w:ind w:left="225" w:right="300"/>
              <w:jc w:val="right"/>
              <w:rPr>
                <w:color w:val="000000"/>
              </w:rPr>
            </w:pPr>
            <w:r>
              <w:rPr>
                <w:rStyle w:val="divpgnavppgactspanpg"/>
                <w:color w:val="000000"/>
              </w:rPr>
              <w:t>323</w:t>
            </w:r>
          </w:p>
        </w:tc>
      </w:tr>
    </w:tbl>
    <w:p w14:paraId="7766CB8F" w14:textId="77777777" w:rsidR="00E24F87" w:rsidRDefault="00000000">
      <w:pPr>
        <w:pStyle w:val="divbocontentwrapperbocenterpParagraph"/>
        <w:spacing w:after="120" w:line="360" w:lineRule="auto"/>
        <w:ind w:right="150"/>
        <w:rPr>
          <w:color w:val="000000"/>
        </w:rPr>
      </w:pPr>
      <w:r>
        <w:rPr>
          <w:color w:val="000000"/>
        </w:rPr>
        <w:lastRenderedPageBreak/>
        <w:t>Das traf zwar in dem Fall des nicht unterschriebenen Eröffnungsbeschlusses (</w:t>
      </w:r>
      <w:r>
        <w:rPr>
          <w:rStyle w:val="any"/>
          <w:color w:val="000000"/>
        </w:rPr>
        <w:t xml:space="preserve">BGHZ 137, </w:t>
      </w:r>
      <w:hyperlink r:id="rId49" w:history="1">
        <w:r>
          <w:rPr>
            <w:rStyle w:val="bocontentwrapperbocenteranotbeck-btn"/>
            <w:color w:val="000000"/>
            <w:u w:val="single" w:color="000000"/>
          </w:rPr>
          <w:t>49</w:t>
        </w:r>
      </w:hyperlink>
      <w:r>
        <w:rPr>
          <w:color w:val="000000"/>
        </w:rPr>
        <w:t xml:space="preserve"> = </w:t>
      </w:r>
      <w:r>
        <w:rPr>
          <w:rStyle w:val="any"/>
          <w:color w:val="000000"/>
        </w:rPr>
        <w:t xml:space="preserve">NJW 1998, </w:t>
      </w:r>
      <w:hyperlink r:id="rId50" w:history="1">
        <w:r>
          <w:rPr>
            <w:rStyle w:val="bocontentwrapperbocenteranotbeck-btn"/>
            <w:color w:val="000000"/>
            <w:u w:val="single" w:color="000000"/>
          </w:rPr>
          <w:t>609</w:t>
        </w:r>
      </w:hyperlink>
      <w:r>
        <w:rPr>
          <w:color w:val="000000"/>
        </w:rPr>
        <w:t xml:space="preserve"> = LM H. 3/1998 GesO Nr. 29) auch zu. Während jedoch dort das nicht unterschriebene Schriftstück sowohl äußerlich als auch inhaltlich lediglich einen unverbindlichen Entwurf darstellte (</w:t>
      </w:r>
      <w:r>
        <w:rPr>
          <w:rStyle w:val="any"/>
          <w:color w:val="000000"/>
        </w:rPr>
        <w:t xml:space="preserve">BGHZ 137, </w:t>
      </w:r>
      <w:hyperlink r:id="rId51" w:history="1">
        <w:r>
          <w:rPr>
            <w:rStyle w:val="bocontentwrapperbocenteranotbeck-btn"/>
            <w:color w:val="000000"/>
            <w:u w:val="single" w:color="000000"/>
          </w:rPr>
          <w:t>49</w:t>
        </w:r>
      </w:hyperlink>
      <w:r>
        <w:rPr>
          <w:rStyle w:val="any"/>
          <w:color w:val="000000"/>
        </w:rPr>
        <w:t xml:space="preserve"> [</w:t>
      </w:r>
      <w:hyperlink r:id="rId52" w:history="1">
        <w:r>
          <w:rPr>
            <w:rStyle w:val="bocontentwrapperbocenteranotbeck-btn"/>
            <w:color w:val="000000"/>
            <w:u w:val="single" w:color="000000"/>
          </w:rPr>
          <w:t>51</w:t>
        </w:r>
      </w:hyperlink>
      <w:r>
        <w:rPr>
          <w:color w:val="000000"/>
        </w:rPr>
        <w:t xml:space="preserve">] = </w:t>
      </w:r>
      <w:r>
        <w:rPr>
          <w:rStyle w:val="any"/>
          <w:color w:val="000000"/>
        </w:rPr>
        <w:t xml:space="preserve">NJW 1998, </w:t>
      </w:r>
      <w:hyperlink r:id="rId53" w:history="1">
        <w:r>
          <w:rPr>
            <w:rStyle w:val="bocontentwrapperbocenteranotbeck-btn"/>
            <w:color w:val="000000"/>
            <w:u w:val="single" w:color="000000"/>
          </w:rPr>
          <w:t>609</w:t>
        </w:r>
      </w:hyperlink>
      <w:r>
        <w:rPr>
          <w:color w:val="000000"/>
        </w:rPr>
        <w:t xml:space="preserve"> = LM H. 3/1998 GesO Nr. 29) und daher den Erlass einer gerichtlichen Anordnung nicht erkennen ließ, hat der zuständige Richter im Streitfall zweifelsfrei eine Entscheidung getroffen, die zudem unter Einbeziehung der im Beschluss selbst genannten Aktenstelle einen eindeutigen, alle in </w:t>
      </w:r>
      <w:r>
        <w:rPr>
          <w:rStyle w:val="any"/>
          <w:color w:val="000000"/>
        </w:rPr>
        <w:t xml:space="preserve">§ </w:t>
      </w:r>
      <w:hyperlink r:id="rId54" w:history="1">
        <w:r>
          <w:rPr>
            <w:rStyle w:val="bocontentwrapperbocenteranotbeck-btn"/>
            <w:color w:val="000000"/>
            <w:u w:val="single" w:color="000000"/>
          </w:rPr>
          <w:t>27</w:t>
        </w:r>
      </w:hyperlink>
      <w:r>
        <w:rPr>
          <w:rStyle w:val="any"/>
          <w:color w:val="000000"/>
        </w:rPr>
        <w:t xml:space="preserve"> </w:t>
      </w:r>
      <w:hyperlink r:id="rId55" w:history="1">
        <w:r>
          <w:rPr>
            <w:rStyle w:val="bocontentwrapperbocenteranotbeck-btn"/>
            <w:color w:val="000000"/>
            <w:u w:val="single" w:color="000000"/>
          </w:rPr>
          <w:t>II</w:t>
        </w:r>
      </w:hyperlink>
      <w:r>
        <w:rPr>
          <w:rStyle w:val="any"/>
          <w:color w:val="000000"/>
        </w:rPr>
        <w:t xml:space="preserve"> InsO</w:t>
      </w:r>
      <w:r>
        <w:rPr>
          <w:color w:val="000000"/>
        </w:rPr>
        <w:t xml:space="preserve"> genannten Merkmale umfassenden Inhalt hat. Infolgedessen ist der dem Richter unterlaufene Fehler nach Bedeutung und Schwere nicht mit demjenigen Mangel zu vergleichen, der besteht, wenn ein Eröffnungsbeschluss in den Geschäftsgang gegeben wird, dem die Unterschrift des Richters fehlt.</w:t>
      </w:r>
    </w:p>
    <w:p w14:paraId="3D9C13C0" w14:textId="77777777" w:rsidR="00E24F87" w:rsidRDefault="00000000">
      <w:pPr>
        <w:pStyle w:val="divbocontentwrapperbocenterpParagraph"/>
        <w:spacing w:after="120" w:line="360" w:lineRule="auto"/>
        <w:ind w:right="150"/>
        <w:rPr>
          <w:color w:val="000000"/>
        </w:rPr>
      </w:pPr>
      <w:r>
        <w:rPr>
          <w:color w:val="000000"/>
        </w:rPr>
        <w:t>bb) Das Gesetz räumt dem Richter in bestimmten Verfahrensarten ausdrücklich die Möglichkeit ein, die Entscheidung in vereinfachter Form durch Bezugnahme auf bestimmte Teile der Akten zu erlassen. So kann ein Versäumnis-, Anerkenntnis- oder Verzichtsurteil in abgekürzter Form auf ein mit der Klageschrift verbundenes Blatt gesetzt werden. In diesen Fällen braucht das Urteil keine Parteibezeichnung zu enthalten, wenn von den Angaben in der Klageschrift nicht abgewichen wird. Erkennt das Gericht nach dem Klageantrag, darf die Urteilsformel auf die Klageschrift Bezug nehmen (</w:t>
      </w:r>
      <w:r>
        <w:rPr>
          <w:rStyle w:val="any"/>
          <w:color w:val="000000"/>
        </w:rPr>
        <w:t xml:space="preserve">§ </w:t>
      </w:r>
      <w:hyperlink r:id="rId56" w:history="1">
        <w:r>
          <w:rPr>
            <w:rStyle w:val="bocontentwrapperbocenteranotbeck-btn"/>
            <w:color w:val="000000"/>
            <w:u w:val="single" w:color="000000"/>
          </w:rPr>
          <w:t>313b</w:t>
        </w:r>
      </w:hyperlink>
      <w:r>
        <w:rPr>
          <w:rStyle w:val="any"/>
          <w:color w:val="000000"/>
        </w:rPr>
        <w:t xml:space="preserve"> </w:t>
      </w:r>
      <w:hyperlink r:id="rId57" w:history="1">
        <w:r>
          <w:rPr>
            <w:rStyle w:val="bocontentwrapperbocenteranotbeck-btn"/>
            <w:color w:val="000000"/>
            <w:u w:val="single" w:color="000000"/>
          </w:rPr>
          <w:t>II</w:t>
        </w:r>
      </w:hyperlink>
      <w:r>
        <w:rPr>
          <w:rStyle w:val="any"/>
          <w:color w:val="000000"/>
        </w:rPr>
        <w:t xml:space="preserve"> 3 und 4 ZPO</w:t>
      </w:r>
      <w:r>
        <w:rPr>
          <w:color w:val="000000"/>
        </w:rPr>
        <w:t xml:space="preserve">). Eine Entscheidung, die eine Verweisung auf Teile der Akten enthält, ist daher dem Gesetz nicht generell fremd, obwohl auch dort, wo eine solche Vereinfachung zugelassen wird, der Entscheidungsinhalt genau festliegen muss. Da der Insolvenzrichter somit bei der Absetzung des Eröffnungsbeschlusses zwar eine Form gewählt hat, die die maßgebliche Verfahrensordnung an dieser Stelle nicht gestattet, der Inhalt der ergangenen Entscheidung sich aber eindeutig bestimmen lässt, ist der ihm unterlaufene Fehler im Wege der Berichtigung analog </w:t>
      </w:r>
      <w:r>
        <w:rPr>
          <w:rStyle w:val="any"/>
          <w:color w:val="000000"/>
        </w:rPr>
        <w:t xml:space="preserve">§ </w:t>
      </w:r>
      <w:hyperlink r:id="rId58" w:history="1">
        <w:r>
          <w:rPr>
            <w:rStyle w:val="bocontentwrapperbocenteranotbeck-btn"/>
            <w:color w:val="000000"/>
            <w:u w:val="single" w:color="000000"/>
          </w:rPr>
          <w:t>319</w:t>
        </w:r>
      </w:hyperlink>
      <w:r>
        <w:rPr>
          <w:rStyle w:val="any"/>
          <w:color w:val="000000"/>
        </w:rPr>
        <w:t xml:space="preserve"> ZPO</w:t>
      </w:r>
      <w:r>
        <w:rPr>
          <w:color w:val="000000"/>
        </w:rPr>
        <w:t xml:space="preserve"> behebbar (vgl. </w:t>
      </w:r>
      <w:r>
        <w:rPr>
          <w:rStyle w:val="emitalicon"/>
          <w:color w:val="000000"/>
        </w:rPr>
        <w:t>Kirchhof</w:t>
      </w:r>
      <w:r>
        <w:rPr>
          <w:color w:val="000000"/>
        </w:rPr>
        <w:t xml:space="preserve">, in: Heidelberger Komm. z. InsO, 2. Aufl., § 27 Rdnr. 26; </w:t>
      </w:r>
      <w:r>
        <w:rPr>
          <w:rStyle w:val="emitalicon"/>
          <w:color w:val="000000"/>
        </w:rPr>
        <w:t>Schmahl</w:t>
      </w:r>
      <w:r>
        <w:rPr>
          <w:color w:val="000000"/>
        </w:rPr>
        <w:t>, in: MünchKomm-InsO, §§ 27 bis 29 Rdnr. 129). Er ändert nichts daran, dass das Insolvenzverfahren bereits mit Unterzeichnung des inhaltlich unzureichenden Beschlusses wirksam eröffnet worden ist. Die gebotene Berichtigung hat das Insolvenzgericht im Übrigen mit Beschluss vom 5. 6. 2002 vollzogen.</w:t>
      </w:r>
    </w:p>
    <w:p w14:paraId="27AE8EAF" w14:textId="77777777" w:rsidR="00E24F87" w:rsidRDefault="00000000">
      <w:pPr>
        <w:pStyle w:val="divbocontentwrapperbocenterpParagraph"/>
        <w:spacing w:after="120" w:line="360" w:lineRule="auto"/>
        <w:ind w:right="150"/>
        <w:rPr>
          <w:color w:val="000000"/>
        </w:rPr>
      </w:pPr>
      <w:r>
        <w:rPr>
          <w:color w:val="000000"/>
        </w:rPr>
        <w:t>III. Das angefochtene Urteil erweist sich nicht aus anderen Gründen als im Ergebnis zutreffend; denn die Auffassung des BerGer., der Klageanspruch sei im Falle wirksamer Eröffnung des Insolvenzverfahrens gerechtfertigt, hält der Nachprüfung stand.</w:t>
      </w:r>
    </w:p>
    <w:p w14:paraId="6EA4928F" w14:textId="77777777" w:rsidR="00E24F87" w:rsidRDefault="00000000">
      <w:pPr>
        <w:pStyle w:val="divbocontentwrapperbocenterpParagraph"/>
        <w:spacing w:after="120" w:line="360" w:lineRule="auto"/>
        <w:ind w:right="150"/>
        <w:rPr>
          <w:color w:val="000000"/>
        </w:rPr>
      </w:pPr>
      <w:r>
        <w:rPr>
          <w:rStyle w:val="emsmall"/>
          <w:color w:val="000000"/>
          <w:sz w:val="22"/>
          <w:szCs w:val="22"/>
        </w:rPr>
        <w:t>Dabei kann der</w:t>
      </w:r>
      <w:r>
        <w:rPr>
          <w:rStyle w:val="emitalicon"/>
          <w:color w:val="000000"/>
        </w:rPr>
        <w:t xml:space="preserve"> Senat </w:t>
      </w:r>
      <w:r>
        <w:rPr>
          <w:rStyle w:val="emsmall"/>
          <w:color w:val="000000"/>
          <w:sz w:val="22"/>
          <w:szCs w:val="22"/>
        </w:rPr>
        <w:t xml:space="preserve">ebenso wie das BerGer. dahingestellt sein lassen, ob von einer inkongruenten Deckung auszugehen ist, weil der angeforderten Zahlung eine Pfändungs- und Einziehungsverfügung des Bekl. vorausgegangen ist; denn der Tatrichter hat die erhöhten Anforderungen für eine Anfechtung nach </w:t>
      </w:r>
      <w:r>
        <w:rPr>
          <w:rStyle w:val="any"/>
          <w:color w:val="000000"/>
        </w:rPr>
        <w:t xml:space="preserve">§ </w:t>
      </w:r>
      <w:hyperlink r:id="rId59" w:history="1">
        <w:r>
          <w:rPr>
            <w:rStyle w:val="bocontentwrapperbocenteranotbeck-btn"/>
            <w:color w:val="000000"/>
            <w:u w:val="single" w:color="000000"/>
          </w:rPr>
          <w:t>130</w:t>
        </w:r>
      </w:hyperlink>
      <w:r>
        <w:rPr>
          <w:rStyle w:val="any"/>
          <w:color w:val="000000"/>
        </w:rPr>
        <w:t xml:space="preserve"> </w:t>
      </w:r>
      <w:hyperlink r:id="rId60" w:history="1">
        <w:r>
          <w:rPr>
            <w:rStyle w:val="bocontentwrapperbocenteranotbeck-btn"/>
            <w:color w:val="000000"/>
            <w:u w:val="single" w:color="000000"/>
          </w:rPr>
          <w:t>I</w:t>
        </w:r>
      </w:hyperlink>
      <w:r>
        <w:rPr>
          <w:rStyle w:val="any"/>
          <w:color w:val="000000"/>
        </w:rPr>
        <w:t xml:space="preserve"> Nr. 1 InsO</w:t>
      </w:r>
      <w:r>
        <w:rPr>
          <w:rStyle w:val="emsmall"/>
          <w:color w:val="000000"/>
          <w:sz w:val="22"/>
          <w:szCs w:val="22"/>
        </w:rPr>
        <w:t xml:space="preserve"> rechtsfehlerfrei bejaht.</w:t>
      </w:r>
    </w:p>
    <w:p w14:paraId="3A9760A0" w14:textId="77777777" w:rsidR="00E24F87" w:rsidRDefault="00000000">
      <w:pPr>
        <w:pStyle w:val="divbocontentwrapperbocenterpParagraph"/>
        <w:spacing w:after="120" w:line="360" w:lineRule="auto"/>
        <w:ind w:right="150"/>
        <w:rPr>
          <w:color w:val="000000"/>
        </w:rPr>
      </w:pPr>
      <w:r>
        <w:rPr>
          <w:color w:val="000000"/>
        </w:rPr>
        <w:lastRenderedPageBreak/>
        <w:t>1. Die Schuldnerin war zahlungsunfähig, als die Bekl. den mit der Klage geltend gemachten Betrag erhielt.</w:t>
      </w:r>
    </w:p>
    <w:p w14:paraId="5C62AA86" w14:textId="77777777" w:rsidR="00E24F87" w:rsidRDefault="00000000">
      <w:pPr>
        <w:pStyle w:val="divbocontentwrapperbocenterpParagraph"/>
        <w:spacing w:after="120" w:line="360" w:lineRule="auto"/>
        <w:ind w:right="150"/>
        <w:rPr>
          <w:color w:val="000000"/>
        </w:rPr>
      </w:pPr>
      <w:r>
        <w:rPr>
          <w:color w:val="000000"/>
        </w:rPr>
        <w:t xml:space="preserve">a) Das BerGer. ist von </w:t>
      </w:r>
      <w:r>
        <w:rPr>
          <w:rStyle w:val="any"/>
          <w:color w:val="000000"/>
        </w:rPr>
        <w:t xml:space="preserve">§ </w:t>
      </w:r>
      <w:hyperlink r:id="rId61" w:history="1">
        <w:r>
          <w:rPr>
            <w:rStyle w:val="bocontentwrapperbocenteranotbeck-btn"/>
            <w:color w:val="000000"/>
            <w:u w:val="single" w:color="000000"/>
          </w:rPr>
          <w:t>17</w:t>
        </w:r>
      </w:hyperlink>
      <w:r>
        <w:rPr>
          <w:rStyle w:val="any"/>
          <w:color w:val="000000"/>
        </w:rPr>
        <w:t xml:space="preserve"> </w:t>
      </w:r>
      <w:hyperlink r:id="rId62" w:history="1">
        <w:r>
          <w:rPr>
            <w:rStyle w:val="bocontentwrapperbocenteranotbeck-btn"/>
            <w:color w:val="000000"/>
            <w:u w:val="single" w:color="000000"/>
          </w:rPr>
          <w:t>II</w:t>
        </w:r>
      </w:hyperlink>
      <w:r>
        <w:rPr>
          <w:rStyle w:val="any"/>
          <w:color w:val="000000"/>
        </w:rPr>
        <w:t xml:space="preserve"> 2 InsO</w:t>
      </w:r>
      <w:r>
        <w:rPr>
          <w:color w:val="000000"/>
        </w:rPr>
        <w:t xml:space="preserve"> ausgegangen, wonach Zahlungsunfähigkeit in der Regel anzunehmen ist, wenn der Schuldner seine Zahlungen eingestellt hat. Diese Vermutung gilt auch im Rahmen des </w:t>
      </w:r>
      <w:r>
        <w:rPr>
          <w:rStyle w:val="any"/>
          <w:color w:val="000000"/>
        </w:rPr>
        <w:t xml:space="preserve">§ </w:t>
      </w:r>
      <w:hyperlink r:id="rId63" w:history="1">
        <w:r>
          <w:rPr>
            <w:rStyle w:val="bocontentwrapperbocenteranotbeck-btn"/>
            <w:color w:val="000000"/>
            <w:u w:val="single" w:color="000000"/>
          </w:rPr>
          <w:t>130</w:t>
        </w:r>
      </w:hyperlink>
      <w:r>
        <w:rPr>
          <w:rStyle w:val="any"/>
          <w:color w:val="000000"/>
        </w:rPr>
        <w:t xml:space="preserve"> </w:t>
      </w:r>
      <w:hyperlink r:id="rId64" w:history="1">
        <w:r>
          <w:rPr>
            <w:rStyle w:val="bocontentwrapperbocenteranotbeck-btn"/>
            <w:color w:val="000000"/>
            <w:u w:val="single" w:color="000000"/>
          </w:rPr>
          <w:t>I</w:t>
        </w:r>
      </w:hyperlink>
      <w:r>
        <w:rPr>
          <w:rStyle w:val="any"/>
          <w:color w:val="000000"/>
        </w:rPr>
        <w:t xml:space="preserve"> Nr. 1 InsO</w:t>
      </w:r>
      <w:r>
        <w:rPr>
          <w:color w:val="000000"/>
        </w:rPr>
        <w:t xml:space="preserve"> (</w:t>
      </w:r>
      <w:r>
        <w:rPr>
          <w:rStyle w:val="any"/>
          <w:color w:val="000000"/>
        </w:rPr>
        <w:t xml:space="preserve">BGHZ 149, </w:t>
      </w:r>
      <w:hyperlink r:id="rId65" w:history="1">
        <w:r>
          <w:rPr>
            <w:rStyle w:val="bocontentwrapperbocenteranotbeck-btn"/>
            <w:color w:val="000000"/>
            <w:u w:val="single" w:color="000000"/>
          </w:rPr>
          <w:t>178</w:t>
        </w:r>
      </w:hyperlink>
      <w:r>
        <w:rPr>
          <w:rStyle w:val="any"/>
          <w:color w:val="000000"/>
        </w:rPr>
        <w:t xml:space="preserve"> [</w:t>
      </w:r>
      <w:hyperlink r:id="rId66" w:history="1">
        <w:r>
          <w:rPr>
            <w:rStyle w:val="bocontentwrapperbocenteranotbeck-btn"/>
            <w:color w:val="000000"/>
            <w:u w:val="single" w:color="000000"/>
          </w:rPr>
          <w:t>184</w:t>
        </w:r>
      </w:hyperlink>
      <w:r>
        <w:rPr>
          <w:color w:val="000000"/>
        </w:rPr>
        <w:t xml:space="preserve">] = </w:t>
      </w:r>
      <w:r>
        <w:rPr>
          <w:rStyle w:val="any"/>
          <w:color w:val="000000"/>
        </w:rPr>
        <w:t xml:space="preserve">NJW 2002, </w:t>
      </w:r>
      <w:hyperlink r:id="rId67" w:history="1">
        <w:r>
          <w:rPr>
            <w:rStyle w:val="bocontentwrapperbocenteranotbeck-btn"/>
            <w:color w:val="000000"/>
            <w:u w:val="single" w:color="000000"/>
          </w:rPr>
          <w:t>515</w:t>
        </w:r>
      </w:hyperlink>
      <w:r>
        <w:rPr>
          <w:color w:val="000000"/>
        </w:rPr>
        <w:t xml:space="preserve"> = </w:t>
      </w:r>
      <w:r>
        <w:rPr>
          <w:rStyle w:val="any"/>
          <w:color w:val="000000"/>
        </w:rPr>
        <w:t xml:space="preserve">NZI 2002, </w:t>
      </w:r>
      <w:hyperlink r:id="rId68" w:history="1">
        <w:r>
          <w:rPr>
            <w:rStyle w:val="bocontentwrapperbocenteranotbeck-btn"/>
            <w:color w:val="000000"/>
            <w:u w:val="single" w:color="000000"/>
          </w:rPr>
          <w:t>91</w:t>
        </w:r>
      </w:hyperlink>
      <w:r>
        <w:rPr>
          <w:color w:val="000000"/>
        </w:rPr>
        <w:t xml:space="preserve"> = LM H. 6/2002 § 130 InsO Nrn. 1/2). Zahlungseinstellung ist ein nach außen hervortretendes Verhalten des Schuldners, in dem sich typischerweise ausdrückt, dass er wegen eines voraussichtlich dauernden Mangels an Zahlungsmitteln seine fälligen Verbindlichkeiten nicht mehr erfüllen kann (</w:t>
      </w:r>
      <w:r>
        <w:rPr>
          <w:rStyle w:val="emitalicon"/>
          <w:color w:val="000000"/>
        </w:rPr>
        <w:t>BGH</w:t>
      </w:r>
      <w:r>
        <w:rPr>
          <w:color w:val="000000"/>
        </w:rPr>
        <w:t xml:space="preserve">, </w:t>
      </w:r>
      <w:r>
        <w:rPr>
          <w:rStyle w:val="any"/>
          <w:color w:val="000000"/>
        </w:rPr>
        <w:t xml:space="preserve">NJW 2001, </w:t>
      </w:r>
      <w:hyperlink r:id="rId69" w:history="1">
        <w:r>
          <w:rPr>
            <w:rStyle w:val="bocontentwrapperbocenteranotbeck-btn"/>
            <w:color w:val="000000"/>
            <w:u w:val="single" w:color="000000"/>
          </w:rPr>
          <w:t>1650</w:t>
        </w:r>
      </w:hyperlink>
      <w:r>
        <w:rPr>
          <w:rStyle w:val="any"/>
          <w:color w:val="000000"/>
        </w:rPr>
        <w:t xml:space="preserve"> [</w:t>
      </w:r>
      <w:hyperlink r:id="rId70" w:history="1">
        <w:r>
          <w:rPr>
            <w:rStyle w:val="bocontentwrapperbocenteranotbeck-btn"/>
            <w:color w:val="000000"/>
            <w:u w:val="single" w:color="000000"/>
          </w:rPr>
          <w:t>1651</w:t>
        </w:r>
      </w:hyperlink>
      <w:r>
        <w:rPr>
          <w:color w:val="000000"/>
        </w:rPr>
        <w:t xml:space="preserve">] = </w:t>
      </w:r>
      <w:r>
        <w:rPr>
          <w:rStyle w:val="any"/>
          <w:color w:val="000000"/>
        </w:rPr>
        <w:t xml:space="preserve">NZI 2001, </w:t>
      </w:r>
      <w:hyperlink r:id="rId71" w:history="1">
        <w:r>
          <w:rPr>
            <w:rStyle w:val="bocontentwrapperbocenteranotbeck-btn"/>
            <w:color w:val="000000"/>
            <w:u w:val="single" w:color="000000"/>
          </w:rPr>
          <w:t>247</w:t>
        </w:r>
      </w:hyperlink>
      <w:r>
        <w:rPr>
          <w:color w:val="000000"/>
        </w:rPr>
        <w:t xml:space="preserve"> = LM H. 11/2001 GesO Nr. 66; st. Rspr.).</w:t>
      </w:r>
    </w:p>
    <w:p w14:paraId="5034ACB2" w14:textId="77777777" w:rsidR="00E24F87" w:rsidRDefault="00000000">
      <w:pPr>
        <w:pStyle w:val="divbocontentwrapperbocenterpParagraph"/>
        <w:spacing w:after="120" w:line="360" w:lineRule="auto"/>
        <w:ind w:right="150"/>
        <w:rPr>
          <w:color w:val="000000"/>
        </w:rPr>
      </w:pPr>
      <w:r>
        <w:rPr>
          <w:color w:val="000000"/>
        </w:rPr>
        <w:t>b) Nach den nicht angegriffenen Feststellungen des BerGer. hat die erst im September 1999 gegründete Schuldnerin bereits ab Oktober Steuerrückstände auflaufen lassen. Die Lohn- und Kirchensteuern für diesen Monat wurden nach Mahnung erst im Januar 2000 bezahlt. Als der streitbefangene Betrag von 12981,36 DM bezahlt wurde, hatten die rückständigen Steuerforderungen einschließlich Säumniszuschlägen bereits eine Summe von 23870,40 DM erreicht. Außerdem standen zu diesem Zeitpunkt fällige Lohnforderungen der Arbeitnehmer von mehr als 8000 DM offen. Die Revisionserwiderung verweist zwar zu Recht darauf, dass nach dem eigenen Vortrag des Kl. der Schuldnerin damals innerhalb von zwei bis drei Wochen zu realisierende Forderungen von 316800 DM zustanden. Demgegenüber beliefen sich jedoch die sofort fälligen und eingeforderten Verbindlichkeiten auf über 545000 DM.</w:t>
      </w:r>
    </w:p>
    <w:p w14:paraId="0FD21696" w14:textId="77777777" w:rsidR="00E24F87" w:rsidRDefault="00000000">
      <w:pPr>
        <w:pStyle w:val="divbocontentwrapperbocenterpParagraph"/>
        <w:spacing w:after="120" w:line="360" w:lineRule="auto"/>
        <w:ind w:right="150"/>
        <w:rPr>
          <w:color w:val="000000"/>
        </w:rPr>
      </w:pPr>
      <w:r>
        <w:rPr>
          <w:color w:val="000000"/>
        </w:rPr>
        <w:t xml:space="preserve">c) Eine bloß vorübergehende Zahlungsstockung lag nicht vor; denn im Zeitpunkt der angefochtenen Rechtshandlung war es der Schuldnerin schon seit mehreren Monaten nicht gelungen, ihre fälligen Verbindlichkeiten spätestens innerhalb von vier Wochen auszugleichen. Die rückständigen Beträge waren insgesamt so erheblich, dass von lediglich geringfügigen Liquiditätslücken keine Rede sein kann (vgl. dazu </w:t>
      </w:r>
      <w:r>
        <w:rPr>
          <w:rStyle w:val="any"/>
          <w:color w:val="000000"/>
        </w:rPr>
        <w:t xml:space="preserve">BGHZ 149, </w:t>
      </w:r>
      <w:hyperlink r:id="rId72" w:history="1">
        <w:r>
          <w:rPr>
            <w:rStyle w:val="bocontentwrapperbocenteranotbeck-btn"/>
            <w:color w:val="000000"/>
            <w:u w:val="single" w:color="000000"/>
          </w:rPr>
          <w:t>178</w:t>
        </w:r>
      </w:hyperlink>
      <w:r>
        <w:rPr>
          <w:rStyle w:val="any"/>
          <w:color w:val="000000"/>
        </w:rPr>
        <w:t xml:space="preserve"> [</w:t>
      </w:r>
      <w:hyperlink r:id="rId73" w:history="1">
        <w:r>
          <w:rPr>
            <w:rStyle w:val="bocontentwrapperbocenteranotbeck-btn"/>
            <w:color w:val="000000"/>
            <w:u w:val="single" w:color="000000"/>
          </w:rPr>
          <w:t>186</w:t>
        </w:r>
      </w:hyperlink>
      <w:r>
        <w:rPr>
          <w:color w:val="000000"/>
        </w:rPr>
        <w:t xml:space="preserve">f.] = </w:t>
      </w:r>
      <w:r>
        <w:rPr>
          <w:rStyle w:val="any"/>
          <w:color w:val="000000"/>
        </w:rPr>
        <w:t xml:space="preserve">NJW 2002, </w:t>
      </w:r>
      <w:hyperlink r:id="rId74" w:history="1">
        <w:r>
          <w:rPr>
            <w:rStyle w:val="bocontentwrapperbocenteranotbeck-btn"/>
            <w:color w:val="000000"/>
            <w:u w:val="single" w:color="000000"/>
          </w:rPr>
          <w:t>515</w:t>
        </w:r>
      </w:hyperlink>
      <w:r>
        <w:rPr>
          <w:color w:val="000000"/>
        </w:rPr>
        <w:t xml:space="preserve"> = </w:t>
      </w:r>
      <w:r>
        <w:rPr>
          <w:rStyle w:val="any"/>
          <w:color w:val="000000"/>
        </w:rPr>
        <w:t xml:space="preserve">NZI 2002, </w:t>
      </w:r>
      <w:hyperlink r:id="rId75" w:history="1">
        <w:r>
          <w:rPr>
            <w:rStyle w:val="bocontentwrapperbocenteranotbeck-btn"/>
            <w:color w:val="000000"/>
            <w:u w:val="single" w:color="000000"/>
          </w:rPr>
          <w:t>91</w:t>
        </w:r>
      </w:hyperlink>
      <w:r>
        <w:rPr>
          <w:color w:val="000000"/>
        </w:rPr>
        <w:t xml:space="preserve"> = LM H. 6/2002 § 130 InsO Nrn. 1/2).</w:t>
      </w:r>
    </w:p>
    <w:p w14:paraId="09B93DE1" w14:textId="77777777" w:rsidR="00E24F87" w:rsidRDefault="00000000">
      <w:pPr>
        <w:pStyle w:val="divbocontentwrapperbocenterpParagraph"/>
        <w:spacing w:after="120" w:line="360" w:lineRule="auto"/>
        <w:ind w:right="150"/>
        <w:rPr>
          <w:color w:val="000000"/>
        </w:rPr>
      </w:pPr>
      <w:r>
        <w:rPr>
          <w:color w:val="000000"/>
        </w:rPr>
        <w:t>2. Die mit der Sache befassten Finanzbeamten des bekl. Landes wussten von den Umständen, die zwingend auf die Zahlungsunfähigkeit der Schuldnerin schließen ließen (</w:t>
      </w:r>
      <w:r>
        <w:rPr>
          <w:rStyle w:val="any"/>
          <w:color w:val="000000"/>
        </w:rPr>
        <w:t xml:space="preserve">§ </w:t>
      </w:r>
      <w:hyperlink r:id="rId76" w:history="1">
        <w:r>
          <w:rPr>
            <w:rStyle w:val="bocontentwrapperbocenteranotbeck-btn"/>
            <w:color w:val="000000"/>
            <w:u w:val="single" w:color="000000"/>
          </w:rPr>
          <w:t>130</w:t>
        </w:r>
      </w:hyperlink>
      <w:r>
        <w:rPr>
          <w:rStyle w:val="any"/>
          <w:color w:val="000000"/>
        </w:rPr>
        <w:t xml:space="preserve"> </w:t>
      </w:r>
      <w:hyperlink r:id="rId77" w:history="1">
        <w:r>
          <w:rPr>
            <w:rStyle w:val="bocontentwrapperbocenteranotbeck-btn"/>
            <w:color w:val="000000"/>
            <w:u w:val="single" w:color="000000"/>
          </w:rPr>
          <w:t>II</w:t>
        </w:r>
      </w:hyperlink>
      <w:r>
        <w:rPr>
          <w:rStyle w:val="any"/>
          <w:color w:val="000000"/>
        </w:rPr>
        <w:t xml:space="preserve"> InsO</w:t>
      </w:r>
      <w:r>
        <w:rPr>
          <w:color w:val="000000"/>
        </w:rPr>
        <w:t>).</w:t>
      </w:r>
    </w:p>
    <w:p w14:paraId="22879BDC" w14:textId="77777777" w:rsidR="00E24F87" w:rsidRDefault="00000000">
      <w:pPr>
        <w:pStyle w:val="divbocontentwrapperbocenterpParagraph"/>
        <w:spacing w:after="120" w:line="360" w:lineRule="auto"/>
        <w:ind w:right="150"/>
        <w:rPr>
          <w:color w:val="000000"/>
        </w:rPr>
      </w:pPr>
      <w:r>
        <w:rPr>
          <w:color w:val="000000"/>
        </w:rPr>
        <w:t>a) Die Vorschrift verlangt, dass der Empfänger der Leistung die Tatsachen kennt, aus denen sich bei zutreffender rechtlicher Bewertung die Zahlungsunfähigkeit des Schuldners ergibt. Ist die Voraussetzung erfüllt, kann sich der in Anspruch genommene Insolvenzgläubiger nicht darauf berufen, dass er selbst den sich aus den Tatsachen zwingend ergebenden Schluss nicht gezogen habe (</w:t>
      </w:r>
      <w:r>
        <w:rPr>
          <w:rStyle w:val="any"/>
          <w:color w:val="000000"/>
        </w:rPr>
        <w:t xml:space="preserve">BGHZ 149, </w:t>
      </w:r>
      <w:hyperlink r:id="rId78" w:history="1">
        <w:r>
          <w:rPr>
            <w:rStyle w:val="bocontentwrapperbocenteranotbeck-btn"/>
            <w:color w:val="000000"/>
            <w:u w:val="single" w:color="000000"/>
          </w:rPr>
          <w:t>178</w:t>
        </w:r>
      </w:hyperlink>
      <w:r>
        <w:rPr>
          <w:rStyle w:val="any"/>
          <w:color w:val="000000"/>
        </w:rPr>
        <w:t xml:space="preserve"> [</w:t>
      </w:r>
      <w:hyperlink r:id="rId79" w:history="1">
        <w:r>
          <w:rPr>
            <w:rStyle w:val="bocontentwrapperbocenteranotbeck-btn"/>
            <w:color w:val="000000"/>
            <w:u w:val="single" w:color="000000"/>
          </w:rPr>
          <w:t>185</w:t>
        </w:r>
      </w:hyperlink>
      <w:r>
        <w:rPr>
          <w:color w:val="000000"/>
        </w:rPr>
        <w:t xml:space="preserve">] = </w:t>
      </w:r>
      <w:r>
        <w:rPr>
          <w:rStyle w:val="any"/>
          <w:color w:val="000000"/>
        </w:rPr>
        <w:t xml:space="preserve">NJW 2002, </w:t>
      </w:r>
      <w:hyperlink r:id="rId80" w:history="1">
        <w:r>
          <w:rPr>
            <w:rStyle w:val="bocontentwrapperbocenteranotbeck-btn"/>
            <w:color w:val="000000"/>
            <w:u w:val="single" w:color="000000"/>
          </w:rPr>
          <w:t>515</w:t>
        </w:r>
      </w:hyperlink>
      <w:r>
        <w:rPr>
          <w:color w:val="000000"/>
        </w:rPr>
        <w:t xml:space="preserve"> = </w:t>
      </w:r>
      <w:r>
        <w:rPr>
          <w:rStyle w:val="any"/>
          <w:color w:val="000000"/>
        </w:rPr>
        <w:t xml:space="preserve">NZI 2002, </w:t>
      </w:r>
      <w:hyperlink r:id="rId81" w:history="1">
        <w:r>
          <w:rPr>
            <w:rStyle w:val="bocontentwrapperbocenteranotbeck-btn"/>
            <w:color w:val="000000"/>
            <w:u w:val="single" w:color="000000"/>
          </w:rPr>
          <w:t>91</w:t>
        </w:r>
      </w:hyperlink>
      <w:r>
        <w:rPr>
          <w:color w:val="000000"/>
        </w:rPr>
        <w:t xml:space="preserve"> = LM H. 6/2002 § 130 InsO Nrn. 1/2).</w:t>
      </w:r>
    </w:p>
    <w:p w14:paraId="47730676" w14:textId="77777777" w:rsidR="00E24F87" w:rsidRDefault="00000000">
      <w:pPr>
        <w:pStyle w:val="divbocontentwrapperbocenterpParagraph"/>
        <w:spacing w:after="120" w:line="360" w:lineRule="auto"/>
        <w:ind w:right="150"/>
        <w:rPr>
          <w:color w:val="000000"/>
        </w:rPr>
      </w:pPr>
      <w:r>
        <w:rPr>
          <w:rStyle w:val="emsmall"/>
          <w:color w:val="000000"/>
          <w:sz w:val="22"/>
          <w:szCs w:val="22"/>
        </w:rPr>
        <w:lastRenderedPageBreak/>
        <w:t>b) Die Finanzbeamten kannten den Betrag der offen stehenden Steuerforderungen. Sie wussten, dass die Schuldnerin mit den Zahlungen von Anfang an und in ständig zunehmendem Umfang in Rückstand war. Aus diesen Gründen war Anfang Februar 2000 eine Pfändungs- und Einziehungsverfügung erlassen worden. Die erhaltene Zahlung stellte lediglich eine Teilleistung dar, die sich auf einen drei bis vier Monate zurückliegenden Zeitraum bezog. Auf die im Jahr 2000 fällig gewordenen Steueransprüche hatte die Schuldnerin noch nichts geleistet, als die Überweisung vom 10. 3. 2000 einging. Es bestanden keinerlei Anzeichen dafür, dass die Schuldnerin in Zukunft in der Lage sein werde, ihre Steuerverbindlichkeiten fristgerecht zu erfüllen. Danach rechtfertigten die dem bekl. Land als bekannt zuzurechnenden Tatsachen zwingend den Schluss auf die Zahlungsunfähigkeit der Schuldnerin.</w:t>
      </w:r>
    </w:p>
    <w:p w14:paraId="22CBB7E8" w14:textId="77777777" w:rsidR="00E24F87" w:rsidRDefault="00000000">
      <w:pPr>
        <w:pStyle w:val="divbocontentwrapperbocenterpParagraph"/>
        <w:spacing w:after="120" w:line="360" w:lineRule="auto"/>
        <w:ind w:right="150"/>
        <w:rPr>
          <w:color w:val="000000"/>
        </w:rPr>
      </w:pPr>
      <w:r>
        <w:rPr>
          <w:color w:val="000000"/>
        </w:rPr>
        <w:t>IV. Da es aus Rechtsgründen keiner weiteren Tatsachenfeststellungen mehr bedarf, hat der</w:t>
      </w:r>
      <w:r>
        <w:rPr>
          <w:rStyle w:val="emitalicon"/>
          <w:color w:val="000000"/>
        </w:rPr>
        <w:t xml:space="preserve"> Senat </w:t>
      </w:r>
      <w:r>
        <w:rPr>
          <w:color w:val="000000"/>
        </w:rPr>
        <w:t>in der Sache selbst zu entscheiden. Der vom Kl. geltend gemachte Hauptanspruch ist begründet. Zinsen hat der Bekl. seit dem 27. 2. 2001 zu zahlen, jedoch nur in Höhe von fünf Prozentpunkten über dem Basiszinssatz (</w:t>
      </w:r>
      <w:r>
        <w:rPr>
          <w:rStyle w:val="any"/>
          <w:color w:val="000000"/>
        </w:rPr>
        <w:t xml:space="preserve">§§ </w:t>
      </w:r>
      <w:hyperlink r:id="rId82" w:history="1">
        <w:r>
          <w:rPr>
            <w:rStyle w:val="bocontentwrapperbocenteranotbeck-btn"/>
            <w:color w:val="000000"/>
            <w:u w:val="single" w:color="000000"/>
          </w:rPr>
          <w:t>284</w:t>
        </w:r>
      </w:hyperlink>
      <w:r>
        <w:rPr>
          <w:rStyle w:val="any"/>
          <w:color w:val="000000"/>
        </w:rPr>
        <w:t xml:space="preserve"> </w:t>
      </w:r>
      <w:hyperlink r:id="rId83" w:history="1">
        <w:r>
          <w:rPr>
            <w:rStyle w:val="bocontentwrapperbocenteranotbeck-btn"/>
            <w:color w:val="000000"/>
            <w:u w:val="single" w:color="000000"/>
          </w:rPr>
          <w:t>I</w:t>
        </w:r>
      </w:hyperlink>
      <w:r>
        <w:rPr>
          <w:rStyle w:val="any"/>
          <w:color w:val="000000"/>
        </w:rPr>
        <w:t xml:space="preserve"> 1, </w:t>
      </w:r>
      <w:hyperlink r:id="rId84" w:history="1">
        <w:r>
          <w:rPr>
            <w:rStyle w:val="bocontentwrapperbocenteranotbeck-btn"/>
            <w:color w:val="000000"/>
            <w:u w:val="single" w:color="000000"/>
          </w:rPr>
          <w:t>288</w:t>
        </w:r>
      </w:hyperlink>
      <w:r>
        <w:rPr>
          <w:rStyle w:val="any"/>
          <w:color w:val="000000"/>
        </w:rPr>
        <w:t xml:space="preserve"> </w:t>
      </w:r>
      <w:hyperlink r:id="rId85" w:history="1">
        <w:r>
          <w:rPr>
            <w:rStyle w:val="bocontentwrapperbocenteranotbeck-btn"/>
            <w:color w:val="000000"/>
            <w:u w:val="single" w:color="000000"/>
          </w:rPr>
          <w:t>I</w:t>
        </w:r>
      </w:hyperlink>
      <w:r>
        <w:rPr>
          <w:rStyle w:val="any"/>
          <w:color w:val="000000"/>
        </w:rPr>
        <w:t xml:space="preserve"> 1 BGB</w:t>
      </w:r>
      <w:r>
        <w:rPr>
          <w:color w:val="000000"/>
        </w:rPr>
        <w:t>); denn Tatsachen, die den geltend gemachten Zinssatz von 12 Prozent rechtfertigen, hat der Kl. nicht vorgetragen. Er hat sich lediglich darauf berufen, die Finanzverwaltung und die Sozialversicherungsträger machten im Rahmen des Insolvenzverfahrens Säumniszuschläge von 12 Prozent jährlich geltend. Das genügt nicht.</w:t>
      </w:r>
      <w:bookmarkStart w:id="2" w:name="Y-300-Z-NZI-B-2003-S-322-N-1-NAME-ANMRED"/>
      <w:bookmarkEnd w:id="2"/>
    </w:p>
    <w:p w14:paraId="7C5B0D5A" w14:textId="77777777" w:rsidR="00E24F87" w:rsidRDefault="00000000">
      <w:pPr>
        <w:pStyle w:val="printcontenth2"/>
        <w:pBdr>
          <w:top w:val="single" w:sz="6" w:space="0" w:color="808080"/>
        </w:pBdr>
        <w:spacing w:before="300" w:line="360" w:lineRule="auto"/>
        <w:ind w:right="150"/>
        <w:outlineLvl w:val="1"/>
        <w:rPr>
          <w:b/>
          <w:bCs/>
        </w:rPr>
      </w:pPr>
      <w:r>
        <w:rPr>
          <w:b/>
          <w:bCs/>
        </w:rPr>
        <w:t>Anm. d. Schriftltg.:</w:t>
      </w:r>
    </w:p>
    <w:p w14:paraId="4C1C403D" w14:textId="77777777" w:rsidR="00E24F87" w:rsidRDefault="00000000">
      <w:pPr>
        <w:pStyle w:val="divbocontentwrapperbocenterpParagraph"/>
        <w:pBdr>
          <w:top w:val="single" w:sz="6" w:space="0" w:color="808080"/>
        </w:pBdr>
        <w:spacing w:after="120" w:line="360" w:lineRule="auto"/>
        <w:ind w:right="150"/>
        <w:rPr>
          <w:color w:val="000000"/>
        </w:rPr>
      </w:pPr>
      <w:r>
        <w:rPr>
          <w:color w:val="000000"/>
        </w:rPr>
        <w:t xml:space="preserve">Vgl. zur Wirksamkeit eines Eröffnungsbeschlusses, der zur Schuldnerbezeichnung auf die Akten Bezug nimmt, auch die am selben Tage ergangene Entscheidung </w:t>
      </w:r>
      <w:r>
        <w:rPr>
          <w:rStyle w:val="emitalicon"/>
          <w:color w:val="000000"/>
        </w:rPr>
        <w:t>BGH</w:t>
      </w:r>
      <w:r>
        <w:rPr>
          <w:color w:val="000000"/>
        </w:rPr>
        <w:t xml:space="preserve">, </w:t>
      </w:r>
      <w:r>
        <w:rPr>
          <w:rStyle w:val="any"/>
          <w:color w:val="000000"/>
        </w:rPr>
        <w:t xml:space="preserve">NZI 2003, </w:t>
      </w:r>
      <w:hyperlink r:id="rId86" w:history="1">
        <w:r>
          <w:rPr>
            <w:rStyle w:val="bocontentwrapperbocenteranotbeck-btn"/>
            <w:color w:val="000000"/>
            <w:u w:val="single" w:color="000000"/>
          </w:rPr>
          <w:t>197</w:t>
        </w:r>
      </w:hyperlink>
      <w:r>
        <w:rPr>
          <w:color w:val="000000"/>
        </w:rPr>
        <w:t xml:space="preserve">). Zur dortigen Vorinstanz </w:t>
      </w:r>
      <w:r>
        <w:rPr>
          <w:rStyle w:val="emitalicon"/>
          <w:color w:val="000000"/>
        </w:rPr>
        <w:t>OLG Brandenburg</w:t>
      </w:r>
      <w:r>
        <w:rPr>
          <w:color w:val="000000"/>
        </w:rPr>
        <w:t xml:space="preserve">, </w:t>
      </w:r>
      <w:r>
        <w:rPr>
          <w:rStyle w:val="any"/>
          <w:color w:val="000000"/>
        </w:rPr>
        <w:t xml:space="preserve">NZI 2002, </w:t>
      </w:r>
      <w:hyperlink r:id="rId87" w:history="1">
        <w:r>
          <w:rPr>
            <w:rStyle w:val="bocontentwrapperbocenteranotbeck-btn"/>
            <w:color w:val="000000"/>
            <w:u w:val="single" w:color="000000"/>
          </w:rPr>
          <w:t>385</w:t>
        </w:r>
      </w:hyperlink>
      <w:r>
        <w:rPr>
          <w:color w:val="000000"/>
        </w:rPr>
        <w:t xml:space="preserve">, s. auch die krit. Anm. von </w:t>
      </w:r>
      <w:r>
        <w:rPr>
          <w:rStyle w:val="emitalicon"/>
          <w:color w:val="000000"/>
        </w:rPr>
        <w:t>Vallender</w:t>
      </w:r>
      <w:r>
        <w:rPr>
          <w:color w:val="000000"/>
        </w:rPr>
        <w:t xml:space="preserve">, </w:t>
      </w:r>
      <w:r>
        <w:rPr>
          <w:rStyle w:val="any"/>
          <w:color w:val="000000"/>
        </w:rPr>
        <w:t xml:space="preserve">EWiR 2002, </w:t>
      </w:r>
      <w:hyperlink r:id="rId88" w:history="1">
        <w:r>
          <w:rPr>
            <w:rStyle w:val="bocontentwrapperbocenteranotbeck-btn"/>
            <w:color w:val="000000"/>
            <w:u w:val="single" w:color="000000"/>
          </w:rPr>
          <w:t>723</w:t>
        </w:r>
      </w:hyperlink>
      <w:r>
        <w:rPr>
          <w:color w:val="000000"/>
        </w:rPr>
        <w:t xml:space="preserve">. Zur mehrfach zit. Entscheidung </w:t>
      </w:r>
      <w:r>
        <w:rPr>
          <w:rStyle w:val="any"/>
          <w:color w:val="000000"/>
        </w:rPr>
        <w:t xml:space="preserve">BGHZ 149, </w:t>
      </w:r>
      <w:hyperlink r:id="rId89" w:history="1">
        <w:r>
          <w:rPr>
            <w:rStyle w:val="bocontentwrapperbocenteranotbeck-btn"/>
            <w:color w:val="000000"/>
            <w:u w:val="single" w:color="000000"/>
          </w:rPr>
          <w:t>178</w:t>
        </w:r>
      </w:hyperlink>
      <w:r>
        <w:rPr>
          <w:color w:val="000000"/>
        </w:rPr>
        <w:t xml:space="preserve"> = </w:t>
      </w:r>
      <w:r>
        <w:rPr>
          <w:rStyle w:val="any"/>
          <w:color w:val="000000"/>
        </w:rPr>
        <w:t xml:space="preserve">NJW 2002, </w:t>
      </w:r>
      <w:hyperlink r:id="rId90" w:history="1">
        <w:r>
          <w:rPr>
            <w:rStyle w:val="bocontentwrapperbocenteranotbeck-btn"/>
            <w:color w:val="000000"/>
            <w:u w:val="single" w:color="000000"/>
          </w:rPr>
          <w:t>515</w:t>
        </w:r>
      </w:hyperlink>
      <w:r>
        <w:rPr>
          <w:color w:val="000000"/>
        </w:rPr>
        <w:t xml:space="preserve"> = </w:t>
      </w:r>
      <w:r>
        <w:rPr>
          <w:rStyle w:val="any"/>
          <w:color w:val="000000"/>
        </w:rPr>
        <w:t xml:space="preserve">NZI 2002, </w:t>
      </w:r>
      <w:hyperlink r:id="rId91" w:history="1">
        <w:r>
          <w:rPr>
            <w:rStyle w:val="bocontentwrapperbocenteranotbeck-btn"/>
            <w:color w:val="000000"/>
            <w:u w:val="single" w:color="000000"/>
          </w:rPr>
          <w:t>91</w:t>
        </w:r>
      </w:hyperlink>
      <w:r>
        <w:rPr>
          <w:color w:val="000000"/>
        </w:rPr>
        <w:t xml:space="preserve">, vgl. die Anm. von </w:t>
      </w:r>
      <w:r>
        <w:rPr>
          <w:rStyle w:val="emitalicon"/>
          <w:color w:val="000000"/>
        </w:rPr>
        <w:t>Huber</w:t>
      </w:r>
      <w:r>
        <w:rPr>
          <w:color w:val="000000"/>
        </w:rPr>
        <w:t xml:space="preserve">, LM H. 6/2002 § 130 InsO Nrn. 1/2; </w:t>
      </w:r>
      <w:r>
        <w:rPr>
          <w:rStyle w:val="emitalicon"/>
          <w:color w:val="000000"/>
        </w:rPr>
        <w:t>Smid</w:t>
      </w:r>
      <w:r>
        <w:rPr>
          <w:color w:val="000000"/>
        </w:rPr>
        <w:t xml:space="preserve">, WuB H. 4/2002 VI C § 139 InsO 1.02; </w:t>
      </w:r>
      <w:r>
        <w:rPr>
          <w:rStyle w:val="emitalicon"/>
          <w:color w:val="000000"/>
        </w:rPr>
        <w:t>Wagner</w:t>
      </w:r>
      <w:r>
        <w:rPr>
          <w:color w:val="000000"/>
        </w:rPr>
        <w:t xml:space="preserve">, EWiR § 130 InsO 1/02, 219, und </w:t>
      </w:r>
      <w:r>
        <w:rPr>
          <w:rStyle w:val="emitalicon"/>
          <w:color w:val="000000"/>
        </w:rPr>
        <w:t>Biel</w:t>
      </w:r>
      <w:r>
        <w:rPr>
          <w:color w:val="000000"/>
        </w:rPr>
        <w:t xml:space="preserve">, </w:t>
      </w:r>
      <w:r>
        <w:rPr>
          <w:rStyle w:val="any"/>
          <w:color w:val="000000"/>
        </w:rPr>
        <w:t xml:space="preserve">NJ 2002, </w:t>
      </w:r>
      <w:hyperlink r:id="rId92" w:history="1">
        <w:r>
          <w:rPr>
            <w:rStyle w:val="bocontentwrapperbocenteranotbeck-btn"/>
            <w:color w:val="000000"/>
            <w:u w:val="single" w:color="000000"/>
          </w:rPr>
          <w:t>313</w:t>
        </w:r>
      </w:hyperlink>
      <w:r>
        <w:rPr>
          <w:color w:val="000000"/>
        </w:rPr>
        <w:t xml:space="preserve">. S. zu </w:t>
      </w:r>
      <w:r>
        <w:rPr>
          <w:rStyle w:val="emitalicon"/>
          <w:color w:val="000000"/>
        </w:rPr>
        <w:t>BGH</w:t>
      </w:r>
      <w:r>
        <w:rPr>
          <w:color w:val="000000"/>
        </w:rPr>
        <w:t xml:space="preserve">, </w:t>
      </w:r>
      <w:r>
        <w:rPr>
          <w:rStyle w:val="any"/>
          <w:color w:val="000000"/>
        </w:rPr>
        <w:t xml:space="preserve">NJW 1998, </w:t>
      </w:r>
      <w:hyperlink r:id="rId93" w:history="1">
        <w:r>
          <w:rPr>
            <w:rStyle w:val="bocontentwrapperbocenteranotbeck-btn"/>
            <w:color w:val="000000"/>
            <w:u w:val="single" w:color="000000"/>
          </w:rPr>
          <w:t>1318</w:t>
        </w:r>
      </w:hyperlink>
      <w:r>
        <w:rPr>
          <w:color w:val="000000"/>
        </w:rPr>
        <w:t xml:space="preserve">, die Anm. von </w:t>
      </w:r>
      <w:r>
        <w:rPr>
          <w:rStyle w:val="emitalicon"/>
          <w:color w:val="000000"/>
        </w:rPr>
        <w:t>Smid</w:t>
      </w:r>
      <w:r>
        <w:rPr>
          <w:color w:val="000000"/>
        </w:rPr>
        <w:t>, DZWir 1998, 244.</w:t>
      </w:r>
    </w:p>
    <w:p w14:paraId="72D93874" w14:textId="77777777" w:rsidR="00E24F87" w:rsidRDefault="00000000">
      <w:pPr>
        <w:pStyle w:val="printcontenth3"/>
        <w:spacing w:line="360" w:lineRule="auto"/>
        <w:ind w:left="150" w:right="150"/>
        <w:outlineLvl w:val="2"/>
        <w:rPr>
          <w:b/>
          <w:bCs/>
        </w:rPr>
      </w:pPr>
      <w:r>
        <w:rPr>
          <w:b/>
          <w:bCs/>
        </w:rPr>
        <w:t>Entscheidung zitiert in:</w:t>
      </w:r>
    </w:p>
    <w:p w14:paraId="1257A13F" w14:textId="77777777" w:rsidR="00E24F87" w:rsidRDefault="00000000">
      <w:pPr>
        <w:pStyle w:val="printcontentdivnotlawversion"/>
        <w:spacing w:line="360" w:lineRule="auto"/>
        <w:ind w:left="150" w:right="150"/>
      </w:pPr>
      <w:r>
        <w:t>Büchern | BeckOK BGB, 78. Edition | BeckOK EStG, 24. Edition | BeckOK StGB, 69. Edition | Braun, Insolvenzordnung, 11. A. 2026 | IDW Sanierung und Insolvenz, 2. A. 2022 | IDW Verlautbarungen, Werkstand: IDW Life 6 / 2026 | Koller/Kindler/Drüen, HGB, 10. A. 2023 | Mayer/Kroiß, RVG, 9. A. 2025 | Koenig, Abgabenordnung, 6. A. 2026 | Beck'sches Handbuch d. Personengesellschaften, 5. A. 2020 | Schauhoff/Kirchhain, Hdb. d. Gemeinnützigkeit, 4. A. 2023 | Schulze u.a., BGB, 12. A. 2024 | Rechtsprechung | Verwaltungsvorschriften | Aufsätzen | Meldungen</w:t>
      </w:r>
    </w:p>
    <w:p w14:paraId="46D19EF7" w14:textId="77777777" w:rsidR="00E24F87" w:rsidRDefault="00000000">
      <w:pPr>
        <w:pStyle w:val="printcontenth3"/>
        <w:spacing w:line="360" w:lineRule="auto"/>
        <w:ind w:left="150" w:right="150"/>
        <w:outlineLvl w:val="2"/>
        <w:rPr>
          <w:b/>
          <w:bCs/>
        </w:rPr>
      </w:pPr>
      <w:r>
        <w:rPr>
          <w:b/>
          <w:bCs/>
        </w:rPr>
        <w:t>Parallelfundstellen:</w:t>
      </w:r>
    </w:p>
    <w:p w14:paraId="72CC4298" w14:textId="77777777" w:rsidR="00E24F87" w:rsidRDefault="00000000">
      <w:pPr>
        <w:pStyle w:val="printcontentdivnotlawversion"/>
        <w:spacing w:line="360" w:lineRule="auto"/>
        <w:ind w:left="150" w:right="150"/>
      </w:pPr>
      <w:r>
        <w:lastRenderedPageBreak/>
        <w:t>Entscheidungen | NJW-RR 2003, 697 | JuS 2003, 925 (m. Anm. Schmidt) | IBRRS 2003, 0460 | BeckRS 2003, 1518 | FHZivR 49 Nr. 8762 (Ls.) | LSK 2003, 150321 (Ls.) | Weitere Fundstellen | BFH/NV 2004, 177 | DB 2003, 609 | HFR 2003, 813 | InVo 2003, 272 | KTS 2003, 431 | MDR 2003, 473 | ZIP 2003, 410</w:t>
      </w:r>
    </w:p>
    <w:p w14:paraId="2123AB65" w14:textId="77777777" w:rsidR="00E24F87" w:rsidRDefault="00000000">
      <w:pPr>
        <w:pStyle w:val="printcontenth3"/>
        <w:spacing w:line="360" w:lineRule="auto"/>
        <w:ind w:left="150" w:right="150"/>
        <w:outlineLvl w:val="2"/>
        <w:rPr>
          <w:b/>
          <w:bCs/>
        </w:rPr>
      </w:pPr>
      <w:r>
        <w:rPr>
          <w:b/>
          <w:bCs/>
        </w:rPr>
        <w:t>Weiteres zum Aktenzeichen:</w:t>
      </w:r>
    </w:p>
    <w:p w14:paraId="70730400" w14:textId="77777777" w:rsidR="00E24F87" w:rsidRDefault="00000000">
      <w:pPr>
        <w:pStyle w:val="printcontentdivnotlawversion"/>
        <w:spacing w:line="360" w:lineRule="auto"/>
        <w:ind w:left="150" w:right="150"/>
      </w:pPr>
      <w:r>
        <w:t>becklink 87725</w:t>
      </w:r>
    </w:p>
    <w:p w14:paraId="076D6AB1" w14:textId="0BAC7EBD" w:rsidR="00E24F87" w:rsidRDefault="00E24F87">
      <w:pPr>
        <w:pStyle w:val="tdm-long"/>
        <w:spacing w:before="225" w:after="2"/>
        <w:ind w:right="150"/>
        <w:rPr>
          <w:sz w:val="16"/>
          <w:szCs w:val="16"/>
        </w:rPr>
      </w:pPr>
    </w:p>
    <w:sectPr w:rsidR="00E24F87">
      <w:headerReference w:type="even" r:id="rId94"/>
      <w:headerReference w:type="default" r:id="rId95"/>
      <w:headerReference w:type="first" r:id="rId96"/>
      <w:pgSz w:w="11906" w:h="16838"/>
      <w:pgMar w:top="505" w:right="1404" w:bottom="842" w:left="140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A3E8933" w14:textId="77777777" w:rsidR="00A5472D" w:rsidRDefault="00A5472D">
      <w:r>
        <w:separator/>
      </w:r>
    </w:p>
  </w:endnote>
  <w:endnote w:type="continuationSeparator" w:id="0">
    <w:p w14:paraId="75EA4813" w14:textId="77777777" w:rsidR="00A5472D" w:rsidRDefault="00A547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Roboto">
    <w:panose1 w:val="02000000000000000000"/>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C5F94E9" w14:textId="77777777" w:rsidR="00A5472D" w:rsidRDefault="00A5472D">
      <w:r>
        <w:separator/>
      </w:r>
    </w:p>
  </w:footnote>
  <w:footnote w:type="continuationSeparator" w:id="0">
    <w:p w14:paraId="6D32368C" w14:textId="77777777" w:rsidR="00A5472D" w:rsidRDefault="00A547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C360D7" w14:textId="77777777" w:rsidR="00691C92" w:rsidRDefault="00691C92">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D0B979" w14:textId="11C40B8F" w:rsidR="00E24F87" w:rsidRDefault="00E24F8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69FB1D" w14:textId="77777777" w:rsidR="00691C92" w:rsidRDefault="00691C92">
    <w:pPr>
      <w:pStyle w:val="Kopfzeile"/>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displayBackgroundShape/>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F87"/>
    <w:rsid w:val="00691C92"/>
    <w:rsid w:val="00A5472D"/>
    <w:rsid w:val="00CD3831"/>
    <w:rsid w:val="00E24F8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7DF3F4"/>
  <w15:docId w15:val="{613119DB-515C-E14F-9704-31AA9C34A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Roboto" w:eastAsia="Roboto" w:hAnsi="Roboto" w:cs="Roboto"/>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05BCE"/>
    <w:rPr>
      <w:color w:val="141414"/>
      <w:sz w:val="22"/>
      <w:szCs w:val="22"/>
    </w:rPr>
  </w:style>
  <w:style w:type="paragraph" w:styleId="berschrift1">
    <w:name w:val="heading 1"/>
    <w:basedOn w:val="Standard"/>
    <w:next w:val="Standard"/>
    <w:link w:val="berschrift1Zchn"/>
    <w:uiPriority w:val="9"/>
    <w:qFormat/>
    <w:rsid w:val="00506D7A"/>
    <w:pPr>
      <w:keepNext/>
      <w:keepLines/>
      <w:pBdr>
        <w:top w:val="none" w:sz="0" w:space="5" w:color="auto"/>
        <w:bottom w:val="none" w:sz="0" w:space="3" w:color="auto"/>
      </w:pBdr>
      <w:spacing w:before="240"/>
      <w:outlineLvl w:val="0"/>
    </w:pPr>
    <w:rPr>
      <w:b/>
      <w:bCs/>
      <w:color w:val="2F5496"/>
      <w:kern w:val="36"/>
      <w:sz w:val="48"/>
      <w:szCs w:val="48"/>
    </w:rPr>
  </w:style>
  <w:style w:type="paragraph" w:styleId="berschrift2">
    <w:name w:val="heading 2"/>
    <w:basedOn w:val="Standard"/>
    <w:next w:val="Standard"/>
    <w:link w:val="berschrift2Zchn"/>
    <w:uiPriority w:val="9"/>
    <w:qFormat/>
    <w:rsid w:val="00506D7A"/>
    <w:pPr>
      <w:keepNext/>
      <w:keepLines/>
      <w:spacing w:before="40"/>
      <w:outlineLvl w:val="1"/>
    </w:pPr>
    <w:rPr>
      <w:b/>
      <w:bCs/>
      <w:color w:val="2F5496"/>
      <w:sz w:val="31"/>
      <w:szCs w:val="31"/>
    </w:rPr>
  </w:style>
  <w:style w:type="paragraph" w:styleId="berschrift3">
    <w:name w:val="heading 3"/>
    <w:basedOn w:val="Standard"/>
    <w:next w:val="Standard"/>
    <w:link w:val="berschrift3Zchn"/>
    <w:uiPriority w:val="9"/>
    <w:qFormat/>
    <w:rsid w:val="00506D7A"/>
    <w:pPr>
      <w:keepNext/>
      <w:keepLines/>
      <w:spacing w:before="40"/>
      <w:outlineLvl w:val="2"/>
    </w:pPr>
    <w:rPr>
      <w:b/>
      <w:bCs/>
      <w:color w:val="1F3763"/>
      <w:sz w:val="28"/>
      <w:szCs w:val="28"/>
    </w:rPr>
  </w:style>
  <w:style w:type="paragraph" w:styleId="berschrift4">
    <w:name w:val="heading 4"/>
    <w:basedOn w:val="Standard"/>
    <w:next w:val="Standard"/>
    <w:link w:val="berschrift4Zchn"/>
    <w:uiPriority w:val="9"/>
    <w:qFormat/>
    <w:rsid w:val="00506D7A"/>
    <w:pPr>
      <w:keepNext/>
      <w:keepLines/>
      <w:spacing w:before="40"/>
      <w:outlineLvl w:val="3"/>
    </w:pPr>
    <w:rPr>
      <w:b/>
      <w:bCs/>
      <w:iCs/>
      <w:color w:val="2F5496"/>
      <w:sz w:val="24"/>
      <w:szCs w:val="24"/>
    </w:rPr>
  </w:style>
  <w:style w:type="paragraph" w:styleId="berschrift5">
    <w:name w:val="heading 5"/>
    <w:basedOn w:val="Standard"/>
    <w:next w:val="Standard"/>
    <w:link w:val="berschrift5Zchn"/>
    <w:uiPriority w:val="9"/>
    <w:qFormat/>
    <w:rsid w:val="00506D7A"/>
    <w:pPr>
      <w:keepNext/>
      <w:keepLines/>
      <w:spacing w:before="40"/>
      <w:outlineLvl w:val="4"/>
    </w:pPr>
    <w:rPr>
      <w:b/>
      <w:bCs/>
      <w:color w:val="2F5496"/>
      <w:sz w:val="20"/>
      <w:szCs w:val="20"/>
    </w:rPr>
  </w:style>
  <w:style w:type="paragraph" w:styleId="berschrift6">
    <w:name w:val="heading 6"/>
    <w:basedOn w:val="Standard"/>
    <w:next w:val="Standard"/>
    <w:link w:val="berschrift6Zchn"/>
    <w:uiPriority w:val="9"/>
    <w:qFormat/>
    <w:rsid w:val="00506D7A"/>
    <w:pPr>
      <w:keepNext/>
      <w:keepLines/>
      <w:spacing w:before="40"/>
      <w:outlineLvl w:val="5"/>
    </w:pPr>
    <w:rPr>
      <w:b/>
      <w:bCs/>
      <w:color w:val="1F3763"/>
      <w:sz w:val="16"/>
      <w:szCs w:val="1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06D7A"/>
    <w:rPr>
      <w:rFonts w:ascii="Calibri Light" w:eastAsia="Times New Roman" w:hAnsi="Calibri Light" w:cs="Times New Roman"/>
      <w:color w:val="2F5496"/>
      <w:sz w:val="32"/>
      <w:szCs w:val="32"/>
    </w:rPr>
  </w:style>
  <w:style w:type="character" w:customStyle="1" w:styleId="berschrift2Zchn">
    <w:name w:val="Überschrift 2 Zchn"/>
    <w:basedOn w:val="Absatz-Standardschriftart"/>
    <w:link w:val="berschrift2"/>
    <w:uiPriority w:val="9"/>
    <w:rsid w:val="00506D7A"/>
    <w:rPr>
      <w:rFonts w:ascii="Calibri Light" w:eastAsia="Times New Roman" w:hAnsi="Calibri Light" w:cs="Times New Roman"/>
      <w:color w:val="2F5496"/>
      <w:sz w:val="26"/>
      <w:szCs w:val="26"/>
    </w:rPr>
  </w:style>
  <w:style w:type="character" w:customStyle="1" w:styleId="berschrift3Zchn">
    <w:name w:val="Überschrift 3 Zchn"/>
    <w:basedOn w:val="Absatz-Standardschriftart"/>
    <w:link w:val="berschrift3"/>
    <w:uiPriority w:val="9"/>
    <w:rsid w:val="00506D7A"/>
    <w:rPr>
      <w:rFonts w:ascii="Calibri Light" w:eastAsia="Times New Roman" w:hAnsi="Calibri Light" w:cs="Times New Roman"/>
      <w:color w:val="1F3763"/>
      <w:sz w:val="24"/>
      <w:szCs w:val="24"/>
    </w:rPr>
  </w:style>
  <w:style w:type="character" w:customStyle="1" w:styleId="berschrift4Zchn">
    <w:name w:val="Überschrift 4 Zchn"/>
    <w:basedOn w:val="Absatz-Standardschriftart"/>
    <w:link w:val="berschrift4"/>
    <w:uiPriority w:val="9"/>
    <w:rsid w:val="00506D7A"/>
    <w:rPr>
      <w:rFonts w:ascii="Calibri Light" w:eastAsia="Times New Roman" w:hAnsi="Calibri Light" w:cs="Times New Roman"/>
      <w:i/>
      <w:iCs/>
      <w:color w:val="2F5496"/>
    </w:rPr>
  </w:style>
  <w:style w:type="character" w:customStyle="1" w:styleId="berschrift5Zchn">
    <w:name w:val="Überschrift 5 Zchn"/>
    <w:basedOn w:val="Absatz-Standardschriftart"/>
    <w:link w:val="berschrift5"/>
    <w:uiPriority w:val="9"/>
    <w:rsid w:val="00506D7A"/>
    <w:rPr>
      <w:rFonts w:ascii="Calibri Light" w:eastAsia="Times New Roman" w:hAnsi="Calibri Light" w:cs="Times New Roman"/>
      <w:color w:val="2F5496"/>
    </w:rPr>
  </w:style>
  <w:style w:type="character" w:customStyle="1" w:styleId="berschrift6Zchn">
    <w:name w:val="Überschrift 6 Zchn"/>
    <w:basedOn w:val="Absatz-Standardschriftart"/>
    <w:link w:val="berschrift6"/>
    <w:uiPriority w:val="9"/>
    <w:rsid w:val="00506D7A"/>
    <w:rPr>
      <w:rFonts w:ascii="Calibri Light" w:eastAsia="Times New Roman" w:hAnsi="Calibri Light" w:cs="Times New Roman"/>
      <w:color w:val="1F3763"/>
    </w:rPr>
  </w:style>
  <w:style w:type="paragraph" w:customStyle="1" w:styleId="divbocontentwrapper">
    <w:name w:val="div_bo_contentwrapper"/>
    <w:basedOn w:val="Standard"/>
  </w:style>
  <w:style w:type="paragraph" w:customStyle="1" w:styleId="bocontentwrapperbocenter">
    <w:name w:val="bo_contentwrapper &gt; bo_center"/>
    <w:basedOn w:val="Standard"/>
  </w:style>
  <w:style w:type="paragraph" w:customStyle="1" w:styleId="tdm-short">
    <w:name w:val="tdm-short"/>
    <w:basedOn w:val="Standard"/>
    <w:rPr>
      <w:sz w:val="18"/>
      <w:szCs w:val="18"/>
    </w:rPr>
  </w:style>
  <w:style w:type="paragraph" w:customStyle="1" w:styleId="printcontent">
    <w:name w:val="printcontent"/>
    <w:basedOn w:val="Standard"/>
    <w:pPr>
      <w:spacing w:line="360" w:lineRule="auto"/>
    </w:pPr>
  </w:style>
  <w:style w:type="paragraph" w:customStyle="1" w:styleId="printcontentdivnotlawversion">
    <w:name w:val="printcontent_div_not(#lawversion)"/>
    <w:basedOn w:val="Standard"/>
  </w:style>
  <w:style w:type="paragraph" w:customStyle="1" w:styleId="printcontentli">
    <w:name w:val="printcontent_li"/>
    <w:basedOn w:val="Standard"/>
  </w:style>
  <w:style w:type="character" w:customStyle="1" w:styleId="bocontentwrapperbocenteranotbeck-btn">
    <w:name w:val="bo_contentwrapper_bo_center_a_not(.beck-btn)"/>
    <w:basedOn w:val="Absatz-Standardschriftart"/>
    <w:rPr>
      <w:color w:val="A80030"/>
    </w:rPr>
  </w:style>
  <w:style w:type="paragraph" w:customStyle="1" w:styleId="printcontentdokcontentnth-of-type1divdk2">
    <w:name w:val="printcontent_dokcontent_nth-of-type(1)_div_dk2"/>
    <w:basedOn w:val="Standard"/>
  </w:style>
  <w:style w:type="character" w:customStyle="1" w:styleId="any">
    <w:name w:val="any"/>
    <w:basedOn w:val="Absatz-Standardschriftart"/>
  </w:style>
  <w:style w:type="paragraph" w:customStyle="1" w:styleId="printcontentdivdk2spancitation">
    <w:name w:val="printcontent_div_dk2_span_citation"/>
    <w:basedOn w:val="Standard"/>
  </w:style>
  <w:style w:type="table" w:customStyle="1" w:styleId="printcontentdivdk2table">
    <w:name w:val="printcontent_div_dk2_table"/>
    <w:basedOn w:val="NormaleTabelle"/>
    <w:tblPr/>
  </w:style>
  <w:style w:type="paragraph" w:customStyle="1" w:styleId="bocenterh1">
    <w:name w:val="bo_center_h1"/>
    <w:basedOn w:val="Standard"/>
    <w:rPr>
      <w:b/>
      <w:bCs/>
      <w:color w:val="A80030"/>
      <w:sz w:val="31"/>
      <w:szCs w:val="31"/>
    </w:rPr>
  </w:style>
  <w:style w:type="character" w:customStyle="1" w:styleId="divbocontentwrapperbocenterp">
    <w:name w:val="div_bo_contentwrapper_bo_center_p"/>
    <w:basedOn w:val="Absatz-Standardschriftart"/>
  </w:style>
  <w:style w:type="paragraph" w:customStyle="1" w:styleId="divbocontentwrapperbocenterpParagraph">
    <w:name w:val="div_bo_contentwrapper_bo_center_p Paragraph"/>
    <w:basedOn w:val="Standard"/>
  </w:style>
  <w:style w:type="character" w:customStyle="1" w:styleId="etyp">
    <w:name w:val="etyp"/>
    <w:basedOn w:val="Absatz-Standardschriftart"/>
    <w:rPr>
      <w:i w:val="0"/>
      <w:iCs w:val="0"/>
    </w:rPr>
  </w:style>
  <w:style w:type="paragraph" w:customStyle="1" w:styleId="printcontenth2">
    <w:name w:val="printcontent_h2"/>
    <w:basedOn w:val="Standard"/>
    <w:rPr>
      <w:color w:val="000000"/>
      <w:sz w:val="18"/>
      <w:szCs w:val="18"/>
    </w:rPr>
  </w:style>
  <w:style w:type="character" w:customStyle="1" w:styleId="emitalicon">
    <w:name w:val="em_italic_on"/>
    <w:basedOn w:val="em"/>
    <w:rPr>
      <w:i/>
      <w:iCs/>
    </w:rPr>
  </w:style>
  <w:style w:type="character" w:customStyle="1" w:styleId="em">
    <w:name w:val="em"/>
    <w:basedOn w:val="Absatz-Standardschriftart"/>
    <w:rPr>
      <w:i w:val="0"/>
      <w:iCs w:val="0"/>
    </w:rPr>
  </w:style>
  <w:style w:type="character" w:customStyle="1" w:styleId="emsmall">
    <w:name w:val="em_small"/>
    <w:basedOn w:val="em"/>
    <w:rPr>
      <w:i w:val="0"/>
      <w:iCs w:val="0"/>
      <w:sz w:val="24"/>
      <w:szCs w:val="24"/>
    </w:rPr>
  </w:style>
  <w:style w:type="paragraph" w:customStyle="1" w:styleId="divpgdescrpspantitel">
    <w:name w:val="div_pgdescr_p_span_titel"/>
    <w:basedOn w:val="Standard"/>
  </w:style>
  <w:style w:type="character" w:customStyle="1" w:styleId="citation">
    <w:name w:val="citation"/>
    <w:basedOn w:val="Absatz-Standardschriftart"/>
  </w:style>
  <w:style w:type="character" w:customStyle="1" w:styleId="divpgnavppgactspanpg">
    <w:name w:val="div_pgnav_p_pgact_span_pg"/>
    <w:basedOn w:val="Absatz-Standardschriftart"/>
    <w:rPr>
      <w:b w:val="0"/>
      <w:bCs w:val="0"/>
    </w:rPr>
  </w:style>
  <w:style w:type="table" w:customStyle="1" w:styleId="table">
    <w:name w:val="table"/>
    <w:basedOn w:val="NormaleTabelle"/>
    <w:tblPr/>
  </w:style>
  <w:style w:type="paragraph" w:customStyle="1" w:styleId="printcontenth3">
    <w:name w:val="printcontent_h3"/>
    <w:basedOn w:val="Standard"/>
    <w:rPr>
      <w:color w:val="000000"/>
      <w:sz w:val="18"/>
      <w:szCs w:val="18"/>
    </w:rPr>
  </w:style>
  <w:style w:type="paragraph" w:customStyle="1" w:styleId="tdm-long">
    <w:name w:val="tdm-long"/>
    <w:basedOn w:val="Standard"/>
    <w:rPr>
      <w:sz w:val="18"/>
      <w:szCs w:val="18"/>
    </w:rPr>
  </w:style>
  <w:style w:type="paragraph" w:styleId="Kopfzeile">
    <w:name w:val="header"/>
    <w:basedOn w:val="Standard"/>
    <w:link w:val="KopfzeileZchn"/>
    <w:uiPriority w:val="99"/>
    <w:unhideWhenUsed/>
    <w:rsid w:val="00691C92"/>
    <w:pPr>
      <w:tabs>
        <w:tab w:val="center" w:pos="4536"/>
        <w:tab w:val="right" w:pos="9072"/>
      </w:tabs>
    </w:pPr>
  </w:style>
  <w:style w:type="character" w:customStyle="1" w:styleId="KopfzeileZchn">
    <w:name w:val="Kopfzeile Zchn"/>
    <w:basedOn w:val="Absatz-Standardschriftart"/>
    <w:link w:val="Kopfzeile"/>
    <w:uiPriority w:val="99"/>
    <w:rsid w:val="00691C92"/>
    <w:rPr>
      <w:color w:val="141414"/>
      <w:sz w:val="22"/>
      <w:szCs w:val="22"/>
    </w:rPr>
  </w:style>
  <w:style w:type="paragraph" w:styleId="Fuzeile">
    <w:name w:val="footer"/>
    <w:basedOn w:val="Standard"/>
    <w:link w:val="FuzeileZchn"/>
    <w:uiPriority w:val="99"/>
    <w:unhideWhenUsed/>
    <w:rsid w:val="00691C92"/>
    <w:pPr>
      <w:tabs>
        <w:tab w:val="center" w:pos="4536"/>
        <w:tab w:val="right" w:pos="9072"/>
      </w:tabs>
    </w:pPr>
  </w:style>
  <w:style w:type="character" w:customStyle="1" w:styleId="FuzeileZchn">
    <w:name w:val="Fußzeile Zchn"/>
    <w:basedOn w:val="Absatz-Standardschriftart"/>
    <w:link w:val="Fuzeile"/>
    <w:uiPriority w:val="99"/>
    <w:rsid w:val="00691C92"/>
    <w:rPr>
      <w:color w:val="141414"/>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beck-online.beck.de/?typ=reference&amp;y=300&amp;z=NJW&amp;b=1991&amp;s=922" TargetMode="External"/><Relationship Id="rId21" Type="http://schemas.openxmlformats.org/officeDocument/2006/relationships/hyperlink" Target="https://beck-online.beck.de/?typ=reference&amp;y=300&amp;z=ZIP&amp;b=2000&amp;s=1343" TargetMode="External"/><Relationship Id="rId42" Type="http://schemas.openxmlformats.org/officeDocument/2006/relationships/hyperlink" Target="https://beck-online.beck.de/?typ=reference&amp;y=300&amp;z=NJW&amp;b=1991&amp;s=922" TargetMode="External"/><Relationship Id="rId47" Type="http://schemas.openxmlformats.org/officeDocument/2006/relationships/hyperlink" Target="https://beck-online.beck.de/?typ=reference&amp;y=100&amp;g=INSO&amp;p=30" TargetMode="External"/><Relationship Id="rId63" Type="http://schemas.openxmlformats.org/officeDocument/2006/relationships/hyperlink" Target="https://beck-online.beck.de/?typ=reference&amp;y=100&amp;g=INSO&amp;p=130" TargetMode="External"/><Relationship Id="rId68" Type="http://schemas.openxmlformats.org/officeDocument/2006/relationships/hyperlink" Target="https://beck-online.beck.de/?typ=reference&amp;y=300&amp;z=NZI&amp;b=2002&amp;s=91" TargetMode="External"/><Relationship Id="rId84" Type="http://schemas.openxmlformats.org/officeDocument/2006/relationships/hyperlink" Target="https://beck-online.beck.de/?typ=reference&amp;y=100&amp;g=BGB&amp;p=288" TargetMode="External"/><Relationship Id="rId89" Type="http://schemas.openxmlformats.org/officeDocument/2006/relationships/hyperlink" Target="https://beck-online.beck.de/?typ=reference&amp;y=300&amp;z=BGHZ&amp;b=149&amp;s=178" TargetMode="External"/><Relationship Id="rId16" Type="http://schemas.openxmlformats.org/officeDocument/2006/relationships/hyperlink" Target="https://beck-online.beck.de/?typ=reference&amp;y=100&amp;g=INSO&amp;p=27&amp;x=II" TargetMode="External"/><Relationship Id="rId11" Type="http://schemas.openxmlformats.org/officeDocument/2006/relationships/hyperlink" Target="https://beck-online.beck.de/?typ=reference&amp;y=100&amp;g=INSO&amp;p=27" TargetMode="External"/><Relationship Id="rId32" Type="http://schemas.openxmlformats.org/officeDocument/2006/relationships/hyperlink" Target="https://beck-online.beck.de/?typ=reference&amp;y=300&amp;z=NJW&amp;b=1998&amp;s=1318" TargetMode="External"/><Relationship Id="rId37" Type="http://schemas.openxmlformats.org/officeDocument/2006/relationships/hyperlink" Target="https://beck-online.beck.de/?typ=reference&amp;y=300&amp;z=NZI&amp;b=2002&amp;s=543" TargetMode="External"/><Relationship Id="rId53" Type="http://schemas.openxmlformats.org/officeDocument/2006/relationships/hyperlink" Target="https://beck-online.beck.de/?typ=reference&amp;y=300&amp;z=NJW&amp;b=1998&amp;s=609" TargetMode="External"/><Relationship Id="rId58" Type="http://schemas.openxmlformats.org/officeDocument/2006/relationships/hyperlink" Target="https://beck-online.beck.de/?typ=reference&amp;y=100&amp;g=ZPO&amp;p=319" TargetMode="External"/><Relationship Id="rId74" Type="http://schemas.openxmlformats.org/officeDocument/2006/relationships/hyperlink" Target="https://beck-online.beck.de/?typ=reference&amp;y=300&amp;z=NJW&amp;b=2002&amp;s=515" TargetMode="External"/><Relationship Id="rId79" Type="http://schemas.openxmlformats.org/officeDocument/2006/relationships/hyperlink" Target="https://beck-online.beck.de/?typ=reference&amp;y=300&amp;z=BGHZ&amp;b=149&amp;s=185" TargetMode="External"/><Relationship Id="rId5" Type="http://schemas.openxmlformats.org/officeDocument/2006/relationships/endnotes" Target="endnotes.xml"/><Relationship Id="rId90" Type="http://schemas.openxmlformats.org/officeDocument/2006/relationships/hyperlink" Target="https://beck-online.beck.de/?typ=reference&amp;y=300&amp;z=NJW&amp;b=2002&amp;s=515" TargetMode="External"/><Relationship Id="rId95" Type="http://schemas.openxmlformats.org/officeDocument/2006/relationships/header" Target="header2.xml"/><Relationship Id="rId22" Type="http://schemas.openxmlformats.org/officeDocument/2006/relationships/hyperlink" Target="https://beck-online.beck.de/?typ=reference&amp;y=300&amp;z=ZIP&amp;b=2000&amp;s=1349" TargetMode="External"/><Relationship Id="rId27" Type="http://schemas.openxmlformats.org/officeDocument/2006/relationships/hyperlink" Target="https://beck-online.beck.de/?typ=reference&amp;y=300&amp;z=BGHZ&amp;b=138&amp;s=40" TargetMode="External"/><Relationship Id="rId43" Type="http://schemas.openxmlformats.org/officeDocument/2006/relationships/hyperlink" Target="https://beck-online.beck.de/?typ=reference&amp;y=300&amp;z=BGHZ&amp;b=138&amp;s=40" TargetMode="External"/><Relationship Id="rId48" Type="http://schemas.openxmlformats.org/officeDocument/2006/relationships/hyperlink" Target="https://beck-online.beck.de/?typ=reference&amp;y=100&amp;g=INSO&amp;p=30&amp;x=II" TargetMode="External"/><Relationship Id="rId64" Type="http://schemas.openxmlformats.org/officeDocument/2006/relationships/hyperlink" Target="https://beck-online.beck.de/?typ=reference&amp;y=100&amp;g=INSO&amp;p=130&amp;x=I" TargetMode="External"/><Relationship Id="rId69" Type="http://schemas.openxmlformats.org/officeDocument/2006/relationships/hyperlink" Target="https://beck-online.beck.de/?typ=reference&amp;y=300&amp;z=NJW&amp;b=2001&amp;s=1650" TargetMode="External"/><Relationship Id="rId80" Type="http://schemas.openxmlformats.org/officeDocument/2006/relationships/hyperlink" Target="https://beck-online.beck.de/?typ=reference&amp;y=300&amp;z=NJW&amp;b=2002&amp;s=515" TargetMode="External"/><Relationship Id="rId85" Type="http://schemas.openxmlformats.org/officeDocument/2006/relationships/hyperlink" Target="https://beck-online.beck.de/?typ=reference&amp;y=100&amp;g=BGB&amp;p=288&amp;x=I" TargetMode="External"/><Relationship Id="rId3" Type="http://schemas.openxmlformats.org/officeDocument/2006/relationships/webSettings" Target="webSettings.xml"/><Relationship Id="rId12" Type="http://schemas.openxmlformats.org/officeDocument/2006/relationships/hyperlink" Target="https://beck-online.beck.de/?typ=reference&amp;y=100&amp;g=INSO&amp;p=27&amp;x=II" TargetMode="External"/><Relationship Id="rId17" Type="http://schemas.openxmlformats.org/officeDocument/2006/relationships/hyperlink" Target="https://beck-online.beck.de/?typ=reference&amp;y=300&amp;z=BGHZ&amp;b=137&amp;s=49" TargetMode="External"/><Relationship Id="rId25" Type="http://schemas.openxmlformats.org/officeDocument/2006/relationships/hyperlink" Target="https://beck-online.beck.de/?typ=reference&amp;y=300&amp;z=BGHZ&amp;b=113&amp;s=218" TargetMode="External"/><Relationship Id="rId33" Type="http://schemas.openxmlformats.org/officeDocument/2006/relationships/hyperlink" Target="https://beck-online.beck.de/?typ=reference&amp;y=300&amp;z=BGHZ&amp;b=114&amp;s=315" TargetMode="External"/><Relationship Id="rId38" Type="http://schemas.openxmlformats.org/officeDocument/2006/relationships/hyperlink" Target="https://beck-online.beck.de/?typ=reference&amp;y=300&amp;z=WM&amp;b=2002&amp;s=1888" TargetMode="External"/><Relationship Id="rId46" Type="http://schemas.openxmlformats.org/officeDocument/2006/relationships/hyperlink" Target="https://beck-online.beck.de/?typ=reference&amp;y=300&amp;z=NJW&amp;b=1998&amp;s=609" TargetMode="External"/><Relationship Id="rId59" Type="http://schemas.openxmlformats.org/officeDocument/2006/relationships/hyperlink" Target="https://beck-online.beck.de/?typ=reference&amp;y=100&amp;g=INSO&amp;p=130" TargetMode="External"/><Relationship Id="rId67" Type="http://schemas.openxmlformats.org/officeDocument/2006/relationships/hyperlink" Target="https://beck-online.beck.de/?typ=reference&amp;y=300&amp;z=NJW&amp;b=2002&amp;s=515" TargetMode="External"/><Relationship Id="rId20" Type="http://schemas.openxmlformats.org/officeDocument/2006/relationships/hyperlink" Target="https://beck-online.beck.de/?typ=reference&amp;y=300&amp;z=NZI&amp;b=2000&amp;s=480" TargetMode="External"/><Relationship Id="rId41" Type="http://schemas.openxmlformats.org/officeDocument/2006/relationships/hyperlink" Target="https://beck-online.beck.de/?typ=reference&amp;y=300&amp;z=BGHZ&amp;b=113&amp;s=218" TargetMode="External"/><Relationship Id="rId54" Type="http://schemas.openxmlformats.org/officeDocument/2006/relationships/hyperlink" Target="https://beck-online.beck.de/?typ=reference&amp;y=100&amp;g=INSO&amp;p=27" TargetMode="External"/><Relationship Id="rId62" Type="http://schemas.openxmlformats.org/officeDocument/2006/relationships/hyperlink" Target="https://beck-online.beck.de/?typ=reference&amp;y=100&amp;g=INSO&amp;p=17&amp;x=II" TargetMode="External"/><Relationship Id="rId70" Type="http://schemas.openxmlformats.org/officeDocument/2006/relationships/hyperlink" Target="https://beck-online.beck.de/?typ=reference&amp;y=300&amp;z=NJW&amp;b=2001&amp;s=1651" TargetMode="External"/><Relationship Id="rId75" Type="http://schemas.openxmlformats.org/officeDocument/2006/relationships/hyperlink" Target="https://beck-online.beck.de/?typ=reference&amp;y=300&amp;z=NZI&amp;b=2002&amp;s=91" TargetMode="External"/><Relationship Id="rId83" Type="http://schemas.openxmlformats.org/officeDocument/2006/relationships/hyperlink" Target="https://beck-online.beck.de/?typ=reference&amp;y=100&amp;g=BGB&amp;p=284&amp;x=I" TargetMode="External"/><Relationship Id="rId88" Type="http://schemas.openxmlformats.org/officeDocument/2006/relationships/hyperlink" Target="https://beck-online.beck.de/?typ=reference&amp;y=300&amp;z=EWIR&amp;b=2002&amp;s=723" TargetMode="External"/><Relationship Id="rId91" Type="http://schemas.openxmlformats.org/officeDocument/2006/relationships/hyperlink" Target="https://beck-online.beck.de/?typ=reference&amp;y=300&amp;z=NZI&amp;b=2002&amp;s=91" TargetMode="External"/><Relationship Id="rId96" Type="http://schemas.openxmlformats.org/officeDocument/2006/relationships/header" Target="header3.xml"/><Relationship Id="rId1" Type="http://schemas.openxmlformats.org/officeDocument/2006/relationships/styles" Target="styles.xml"/><Relationship Id="rId6" Type="http://schemas.openxmlformats.org/officeDocument/2006/relationships/hyperlink" Target="https://beck-online.beck.de/?typ=reference&amp;y=100&amp;g=INSO&amp;p=130" TargetMode="External"/><Relationship Id="rId15" Type="http://schemas.openxmlformats.org/officeDocument/2006/relationships/hyperlink" Target="https://beck-online.beck.de/?typ=reference&amp;y=100&amp;g=INSO&amp;p=27" TargetMode="External"/><Relationship Id="rId23" Type="http://schemas.openxmlformats.org/officeDocument/2006/relationships/hyperlink" Target="https://beck-online.beck.de/?typ=reference&amp;y=300&amp;z=NJW-RR&amp;b=2000&amp;s=1580" TargetMode="External"/><Relationship Id="rId28" Type="http://schemas.openxmlformats.org/officeDocument/2006/relationships/hyperlink" Target="https://beck-online.beck.de/?typ=reference&amp;y=300&amp;z=BGHZ&amp;b=138&amp;s=44" TargetMode="External"/><Relationship Id="rId36" Type="http://schemas.openxmlformats.org/officeDocument/2006/relationships/hyperlink" Target="https://beck-online.beck.de/?typ=reference&amp;y=300&amp;z=NJW&amp;b=2002&amp;s=3326" TargetMode="External"/><Relationship Id="rId49" Type="http://schemas.openxmlformats.org/officeDocument/2006/relationships/hyperlink" Target="https://beck-online.beck.de/?typ=reference&amp;y=300&amp;z=BGHZ&amp;b=137&amp;s=49" TargetMode="External"/><Relationship Id="rId57" Type="http://schemas.openxmlformats.org/officeDocument/2006/relationships/hyperlink" Target="https://beck-online.beck.de/?typ=reference&amp;y=100&amp;g=ZPO&amp;p=313B&amp;x=II" TargetMode="External"/><Relationship Id="rId10" Type="http://schemas.openxmlformats.org/officeDocument/2006/relationships/hyperlink" Target="https://beck-online.beck.de/?typ=reference&amp;y=100&amp;g=INSO&amp;p=130&amp;x=II" TargetMode="External"/><Relationship Id="rId31" Type="http://schemas.openxmlformats.org/officeDocument/2006/relationships/hyperlink" Target="https://beck-online.beck.de/?typ=reference&amp;y=300&amp;z=BGHZ&amp;b=138&amp;s=44" TargetMode="External"/><Relationship Id="rId44" Type="http://schemas.openxmlformats.org/officeDocument/2006/relationships/hyperlink" Target="https://beck-online.beck.de/?typ=reference&amp;y=300&amp;z=NJW&amp;b=1998&amp;s=1318" TargetMode="External"/><Relationship Id="rId52" Type="http://schemas.openxmlformats.org/officeDocument/2006/relationships/hyperlink" Target="https://beck-online.beck.de/?typ=reference&amp;y=300&amp;z=BGHZ&amp;b=137&amp;s=51" TargetMode="External"/><Relationship Id="rId60" Type="http://schemas.openxmlformats.org/officeDocument/2006/relationships/hyperlink" Target="https://beck-online.beck.de/?typ=reference&amp;y=100&amp;g=INSO&amp;p=130&amp;x=I" TargetMode="External"/><Relationship Id="rId65" Type="http://schemas.openxmlformats.org/officeDocument/2006/relationships/hyperlink" Target="https://beck-online.beck.de/?typ=reference&amp;y=300&amp;z=BGHZ&amp;b=149&amp;s=178" TargetMode="External"/><Relationship Id="rId73" Type="http://schemas.openxmlformats.org/officeDocument/2006/relationships/hyperlink" Target="https://beck-online.beck.de/?typ=reference&amp;y=300&amp;z=BGHZ&amp;b=149&amp;s=186" TargetMode="External"/><Relationship Id="rId78" Type="http://schemas.openxmlformats.org/officeDocument/2006/relationships/hyperlink" Target="https://beck-online.beck.de/?typ=reference&amp;y=300&amp;z=BGHZ&amp;b=149&amp;s=178" TargetMode="External"/><Relationship Id="rId81" Type="http://schemas.openxmlformats.org/officeDocument/2006/relationships/hyperlink" Target="https://beck-online.beck.de/?typ=reference&amp;y=300&amp;z=NZI&amp;b=2002&amp;s=91" TargetMode="External"/><Relationship Id="rId86" Type="http://schemas.openxmlformats.org/officeDocument/2006/relationships/hyperlink" Target="https://beck-online.beck.de/?typ=reference&amp;y=300&amp;z=NZI&amp;b=2003&amp;s=197" TargetMode="External"/><Relationship Id="rId94"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beck-online.beck.de/?typ=reference&amp;y=100&amp;g=INSO&amp;p=130&amp;x=I" TargetMode="External"/><Relationship Id="rId13" Type="http://schemas.openxmlformats.org/officeDocument/2006/relationships/hyperlink" Target="https://beck-online.beck.de/?typ=reference&amp;y=100&amp;g=INSO&amp;p=27" TargetMode="External"/><Relationship Id="rId18" Type="http://schemas.openxmlformats.org/officeDocument/2006/relationships/hyperlink" Target="https://beck-online.beck.de/?typ=reference&amp;y=300&amp;z=BGHZ&amp;b=137&amp;s=53" TargetMode="External"/><Relationship Id="rId39" Type="http://schemas.openxmlformats.org/officeDocument/2006/relationships/hyperlink" Target="https://beck-online.beck.de/?typ=reference&amp;y=300&amp;z=WM&amp;b=2002&amp;s=1892" TargetMode="External"/><Relationship Id="rId34" Type="http://schemas.openxmlformats.org/officeDocument/2006/relationships/hyperlink" Target="https://beck-online.beck.de/?typ=reference&amp;y=300&amp;z=BGHZ&amp;b=114&amp;s=326" TargetMode="External"/><Relationship Id="rId50" Type="http://schemas.openxmlformats.org/officeDocument/2006/relationships/hyperlink" Target="https://beck-online.beck.de/?typ=reference&amp;y=300&amp;z=NJW&amp;b=1998&amp;s=609" TargetMode="External"/><Relationship Id="rId55" Type="http://schemas.openxmlformats.org/officeDocument/2006/relationships/hyperlink" Target="https://beck-online.beck.de/?typ=reference&amp;y=100&amp;g=INSO&amp;p=27&amp;x=II" TargetMode="External"/><Relationship Id="rId76" Type="http://schemas.openxmlformats.org/officeDocument/2006/relationships/hyperlink" Target="https://beck-online.beck.de/?typ=reference&amp;y=100&amp;g=INSO&amp;p=130" TargetMode="External"/><Relationship Id="rId97" Type="http://schemas.openxmlformats.org/officeDocument/2006/relationships/fontTable" Target="fontTable.xml"/><Relationship Id="rId7" Type="http://schemas.openxmlformats.org/officeDocument/2006/relationships/hyperlink" Target="https://beck-online.beck.de/?typ=reference&amp;y=100&amp;g=INSO&amp;p=130&amp;x=II" TargetMode="External"/><Relationship Id="rId71" Type="http://schemas.openxmlformats.org/officeDocument/2006/relationships/hyperlink" Target="https://beck-online.beck.de/?typ=reference&amp;y=300&amp;z=NZI&amp;b=2001&amp;s=247" TargetMode="External"/><Relationship Id="rId92" Type="http://schemas.openxmlformats.org/officeDocument/2006/relationships/hyperlink" Target="https://beck-online.beck.de/?typ=reference&amp;y=300&amp;z=NJ&amp;b=2002&amp;s=313" TargetMode="External"/><Relationship Id="rId2" Type="http://schemas.openxmlformats.org/officeDocument/2006/relationships/settings" Target="settings.xml"/><Relationship Id="rId29" Type="http://schemas.openxmlformats.org/officeDocument/2006/relationships/hyperlink" Target="https://beck-online.beck.de/?typ=reference&amp;y=300&amp;z=NJW&amp;b=1998&amp;s=1318" TargetMode="External"/><Relationship Id="rId24" Type="http://schemas.openxmlformats.org/officeDocument/2006/relationships/hyperlink" Target="https://beck-online.beck.de/?typ=reference&amp;y=300&amp;z=BGHZ&amp;b=113&amp;s=216" TargetMode="External"/><Relationship Id="rId40" Type="http://schemas.openxmlformats.org/officeDocument/2006/relationships/hyperlink" Target="https://beck-online.beck.de/?typ=reference&amp;y=300&amp;z=BGHZ&amp;b=113&amp;s=216" TargetMode="External"/><Relationship Id="rId45" Type="http://schemas.openxmlformats.org/officeDocument/2006/relationships/hyperlink" Target="https://beck-online.beck.de/?typ=reference&amp;y=300&amp;z=BGHZ&amp;b=137&amp;s=49" TargetMode="External"/><Relationship Id="rId66" Type="http://schemas.openxmlformats.org/officeDocument/2006/relationships/hyperlink" Target="https://beck-online.beck.de/?typ=reference&amp;y=300&amp;z=BGHZ&amp;b=149&amp;s=184" TargetMode="External"/><Relationship Id="rId87" Type="http://schemas.openxmlformats.org/officeDocument/2006/relationships/hyperlink" Target="https://beck-online.beck.de/?typ=reference&amp;y=300&amp;z=NZI&amp;b=2002&amp;s=385" TargetMode="External"/><Relationship Id="rId61" Type="http://schemas.openxmlformats.org/officeDocument/2006/relationships/hyperlink" Target="https://beck-online.beck.de/?typ=reference&amp;y=100&amp;g=INSO&amp;p=17" TargetMode="External"/><Relationship Id="rId82" Type="http://schemas.openxmlformats.org/officeDocument/2006/relationships/hyperlink" Target="https://beck-online.beck.de/?typ=reference&amp;y=100&amp;g=BGB&amp;p=284" TargetMode="External"/><Relationship Id="rId19" Type="http://schemas.openxmlformats.org/officeDocument/2006/relationships/hyperlink" Target="https://beck-online.beck.de/?typ=reference&amp;y=300&amp;z=NJW&amp;b=1998&amp;s=609" TargetMode="External"/><Relationship Id="rId14" Type="http://schemas.openxmlformats.org/officeDocument/2006/relationships/hyperlink" Target="https://beck-online.beck.de/?typ=reference&amp;y=100&amp;g=INSO&amp;p=27&amp;x=II" TargetMode="External"/><Relationship Id="rId30" Type="http://schemas.openxmlformats.org/officeDocument/2006/relationships/hyperlink" Target="https://beck-online.beck.de/?typ=reference&amp;y=300&amp;z=BGHZ&amp;b=138&amp;s=40" TargetMode="External"/><Relationship Id="rId35" Type="http://schemas.openxmlformats.org/officeDocument/2006/relationships/hyperlink" Target="https://beck-online.beck.de/?typ=reference&amp;y=300&amp;z=NJW&amp;b=1991&amp;s=2147" TargetMode="External"/><Relationship Id="rId56" Type="http://schemas.openxmlformats.org/officeDocument/2006/relationships/hyperlink" Target="https://beck-online.beck.de/?typ=reference&amp;y=100&amp;g=ZPO&amp;p=313B" TargetMode="External"/><Relationship Id="rId77" Type="http://schemas.openxmlformats.org/officeDocument/2006/relationships/hyperlink" Target="https://beck-online.beck.de/?typ=reference&amp;y=100&amp;g=INSO&amp;p=130&amp;x=II" TargetMode="External"/><Relationship Id="rId8" Type="http://schemas.openxmlformats.org/officeDocument/2006/relationships/hyperlink" Target="https://beck-online.beck.de/?typ=reference&amp;y=100&amp;g=INSO&amp;p=130" TargetMode="External"/><Relationship Id="rId51" Type="http://schemas.openxmlformats.org/officeDocument/2006/relationships/hyperlink" Target="https://beck-online.beck.de/?typ=reference&amp;y=300&amp;z=BGHZ&amp;b=137&amp;s=49" TargetMode="External"/><Relationship Id="rId72" Type="http://schemas.openxmlformats.org/officeDocument/2006/relationships/hyperlink" Target="https://beck-online.beck.de/?typ=reference&amp;y=300&amp;z=BGHZ&amp;b=149&amp;s=178" TargetMode="External"/><Relationship Id="rId93" Type="http://schemas.openxmlformats.org/officeDocument/2006/relationships/hyperlink" Target="https://beck-online.beck.de/?typ=reference&amp;y=300&amp;z=NJW&amp;b=1998&amp;s=1318" TargetMode="External"/><Relationship Id="rId9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3600</Words>
  <Characters>20812</Characters>
  <Application>Microsoft Office Word</Application>
  <DocSecurity>0</DocSecurity>
  <Lines>315</Lines>
  <Paragraphs>69</Paragraphs>
  <ScaleCrop>false</ScaleCrop>
  <Company/>
  <LinksUpToDate>false</LinksUpToDate>
  <CharactersWithSpaces>24343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BGH: Kenntnis der Finanzverwaltung von Zahlungsunfähigkeit des Schuldners - Steuern und Bilanzen</dc:title>
  <dc:creator>beck-online.beck.de</dc:creator>
  <cp:lastModifiedBy>Martin Otten</cp:lastModifiedBy>
  <cp:revision>2</cp:revision>
  <dcterms:created xsi:type="dcterms:W3CDTF">2026-06-28T17:36:00Z</dcterms:created>
  <dcterms:modified xsi:type="dcterms:W3CDTF">2026-06-28T17:36:00Z</dcterms:modified>
</cp:coreProperties>
</file>