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38A029D7" w14:textId="7B54E4B3" w:rsidR="0000266C" w:rsidRDefault="0000266C">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472"/>
        <w:gridCol w:w="1618"/>
      </w:tblGrid>
      <w:tr w:rsidR="0000266C" w14:paraId="67519647" w14:textId="77777777">
        <w:tc>
          <w:tcPr>
            <w:tcW w:w="0" w:type="auto"/>
            <w:shd w:val="clear" w:color="auto" w:fill="F7F7F0"/>
            <w:tcMar>
              <w:top w:w="45" w:type="dxa"/>
              <w:left w:w="45" w:type="dxa"/>
              <w:bottom w:w="105" w:type="dxa"/>
              <w:right w:w="90" w:type="dxa"/>
            </w:tcMar>
            <w:hideMark/>
          </w:tcPr>
          <w:p w14:paraId="7371E6E8" w14:textId="77777777" w:rsidR="0000266C" w:rsidRDefault="00000000">
            <w:r>
              <w:rPr>
                <w:rStyle w:val="any"/>
                <w:sz w:val="20"/>
              </w:rPr>
              <w:t>BGH: Darlegungs- und Beweislast für Unternehmenskrise und Insolvenzreife wegen Überschuldung</w:t>
            </w:r>
          </w:p>
        </w:tc>
        <w:tc>
          <w:tcPr>
            <w:tcW w:w="0" w:type="auto"/>
            <w:shd w:val="clear" w:color="auto" w:fill="F7F7F0"/>
            <w:noWrap/>
            <w:tcMar>
              <w:top w:w="45" w:type="dxa"/>
              <w:left w:w="45" w:type="dxa"/>
              <w:bottom w:w="105" w:type="dxa"/>
              <w:right w:w="98" w:type="dxa"/>
            </w:tcMar>
            <w:hideMark/>
          </w:tcPr>
          <w:p w14:paraId="73B44F42" w14:textId="77777777" w:rsidR="0000266C" w:rsidRDefault="00000000">
            <w:pPr>
              <w:pStyle w:val="printcontentdivdk2spancitation"/>
              <w:ind w:left="150"/>
              <w:jc w:val="right"/>
            </w:pPr>
            <w:r>
              <w:rPr>
                <w:sz w:val="20"/>
              </w:rPr>
              <w:t>NZG 2005, 482</w:t>
            </w:r>
          </w:p>
        </w:tc>
      </w:tr>
    </w:tbl>
    <w:p w14:paraId="3FFF1303" w14:textId="77777777" w:rsidR="0000266C" w:rsidRDefault="00000000">
      <w:pPr>
        <w:pStyle w:val="bocenterh1"/>
        <w:pBdr>
          <w:top w:val="none" w:sz="0" w:space="5" w:color="auto"/>
          <w:bottom w:val="none" w:sz="0" w:space="3" w:color="auto"/>
        </w:pBdr>
        <w:spacing w:before="75" w:after="75" w:line="360" w:lineRule="auto"/>
        <w:ind w:right="150"/>
        <w:outlineLvl w:val="0"/>
        <w:rPr>
          <w:color w:val="000000"/>
          <w:sz w:val="24"/>
          <w:szCs w:val="24"/>
        </w:rPr>
      </w:pPr>
      <w:r>
        <w:rPr>
          <w:color w:val="000000"/>
          <w:sz w:val="24"/>
          <w:szCs w:val="24"/>
        </w:rPr>
        <w:t>Darlegungs- und Beweislast für Unternehmenskrise und Insolvenzreife wegen Überschuldung</w:t>
      </w:r>
    </w:p>
    <w:p w14:paraId="37891F2D" w14:textId="77777777" w:rsidR="0000266C" w:rsidRDefault="00000000">
      <w:pPr>
        <w:pStyle w:val="printcontentdivnotlawversion"/>
        <w:spacing w:line="360" w:lineRule="auto"/>
        <w:ind w:right="150"/>
      </w:pPr>
      <w:r>
        <w:rPr>
          <w:rStyle w:val="any"/>
          <w:color w:val="000000"/>
        </w:rPr>
        <w:t xml:space="preserve">GmbHG §§ </w:t>
      </w:r>
      <w:hyperlink r:id="rId6" w:history="1">
        <w:r>
          <w:rPr>
            <w:rStyle w:val="bocontentwrapperbocenteranotbeck-btn"/>
            <w:color w:val="000000"/>
            <w:u w:val="single" w:color="000000"/>
          </w:rPr>
          <w:t>30</w:t>
        </w:r>
      </w:hyperlink>
      <w:r>
        <w:rPr>
          <w:rStyle w:val="any"/>
          <w:color w:val="000000"/>
        </w:rPr>
        <w:t xml:space="preserve">, </w:t>
      </w:r>
      <w:hyperlink r:id="rId7" w:history="1">
        <w:r>
          <w:rPr>
            <w:rStyle w:val="bocontentwrapperbocenteranotbeck-btn"/>
            <w:color w:val="000000"/>
            <w:u w:val="single" w:color="000000"/>
          </w:rPr>
          <w:t>31</w:t>
        </w:r>
      </w:hyperlink>
      <w:r>
        <w:rPr>
          <w:rStyle w:val="any"/>
          <w:color w:val="000000"/>
        </w:rPr>
        <w:t xml:space="preserve">, </w:t>
      </w:r>
      <w:hyperlink r:id="rId8" w:history="1">
        <w:r>
          <w:rPr>
            <w:rStyle w:val="bocontentwrapperbocenteranotbeck-btn"/>
            <w:color w:val="000000"/>
            <w:u w:val="single" w:color="000000"/>
          </w:rPr>
          <w:t>32a</w:t>
        </w:r>
      </w:hyperlink>
      <w:r>
        <w:rPr>
          <w:rStyle w:val="divbocontentwrapperbocenterp"/>
          <w:color w:val="000000"/>
        </w:rPr>
        <w:t xml:space="preserve"> </w:t>
      </w:r>
    </w:p>
    <w:p w14:paraId="227DC6F5" w14:textId="77777777" w:rsidR="0000266C" w:rsidRDefault="00000000">
      <w:pPr>
        <w:pStyle w:val="divbocontentwrapperbocenterpParagraph"/>
        <w:spacing w:after="120" w:line="360" w:lineRule="auto"/>
        <w:ind w:right="150"/>
        <w:rPr>
          <w:b/>
          <w:bCs/>
          <w:color w:val="000000"/>
        </w:rPr>
      </w:pPr>
      <w:r>
        <w:rPr>
          <w:rStyle w:val="aufz"/>
          <w:b/>
          <w:bCs/>
          <w:color w:val="000000"/>
        </w:rPr>
        <w:t xml:space="preserve">1. </w:t>
      </w:r>
      <w:r>
        <w:rPr>
          <w:b/>
          <w:bCs/>
          <w:color w:val="000000"/>
        </w:rPr>
        <w:t xml:space="preserve">Verlangt eine GmbH oder in ihrer Insolvenz der Insolvenzverwalter von einem Gesellschafter Rückzahlung einer Leistung nach den Grundsätzen des Eigenkapitalersatzes, muss die Gesellschaft bzw. der Insolvenzverwalter darlegen und beweisen, dass die Gesellschaft zu dem maßgeblichen Zeitpunkt in einer Krise i.S. des </w:t>
      </w:r>
      <w:r>
        <w:rPr>
          <w:rStyle w:val="any"/>
          <w:b/>
          <w:bCs/>
          <w:color w:val="000000"/>
        </w:rPr>
        <w:t xml:space="preserve">§ </w:t>
      </w:r>
      <w:hyperlink r:id="rId9" w:history="1">
        <w:r>
          <w:rPr>
            <w:rStyle w:val="bocontentwrapperbocenteranotbeck-btn"/>
            <w:b/>
            <w:bCs/>
            <w:color w:val="000000"/>
            <w:u w:val="single" w:color="000000"/>
          </w:rPr>
          <w:t>32a</w:t>
        </w:r>
      </w:hyperlink>
      <w:r>
        <w:rPr>
          <w:rStyle w:val="any"/>
          <w:b/>
          <w:bCs/>
          <w:color w:val="000000"/>
        </w:rPr>
        <w:t xml:space="preserve"> </w:t>
      </w:r>
      <w:hyperlink r:id="rId10" w:history="1">
        <w:r>
          <w:rPr>
            <w:rStyle w:val="bocontentwrapperbocenteranotbeck-btn"/>
            <w:b/>
            <w:bCs/>
            <w:color w:val="000000"/>
            <w:u w:val="single" w:color="000000"/>
          </w:rPr>
          <w:t>I</w:t>
        </w:r>
      </w:hyperlink>
      <w:r>
        <w:rPr>
          <w:rStyle w:val="any"/>
          <w:b/>
          <w:bCs/>
          <w:color w:val="000000"/>
        </w:rPr>
        <w:t xml:space="preserve"> GmbHG</w:t>
      </w:r>
      <w:r>
        <w:rPr>
          <w:b/>
          <w:bCs/>
          <w:color w:val="000000"/>
        </w:rPr>
        <w:t xml:space="preserve"> war.</w:t>
      </w:r>
    </w:p>
    <w:p w14:paraId="4E467507" w14:textId="77777777" w:rsidR="0000266C" w:rsidRDefault="00000000">
      <w:pPr>
        <w:pStyle w:val="divbocontentwrapperbocenterpParagraph"/>
        <w:spacing w:after="120" w:line="360" w:lineRule="auto"/>
        <w:ind w:right="150"/>
        <w:rPr>
          <w:b/>
          <w:bCs/>
          <w:color w:val="000000"/>
        </w:rPr>
      </w:pPr>
      <w:r>
        <w:rPr>
          <w:rStyle w:val="aufz"/>
          <w:b/>
          <w:bCs/>
          <w:color w:val="000000"/>
        </w:rPr>
        <w:t xml:space="preserve">2. </w:t>
      </w:r>
      <w:r>
        <w:rPr>
          <w:b/>
          <w:bCs/>
          <w:color w:val="000000"/>
        </w:rPr>
        <w:t>Beruft sich die Gesellschaft bzw. der Insolvenzverwalter dazu auf eine Insolvenzreife wegen Überschuldung der Gesellschaft, reicht es nicht aus, wenn lediglich die Handelsbilanz vorgelegt wird, auch wenn sich daraus ein nicht durch Eigenkapital gedeckter Fehlbetrag ergibt. Vielmehr muss entweder ein Überschuldungsstatus mit Aufdeckung etwaiger stiller Reserven und Ansatz der Wirtschaftsgüter zu Veräußerungswerten aufgestellt oder dargelegt werden, dass stille Reserven und sonstige aus der Handelsbilanz nicht ersichtliche Veräußerungswerte nicht vorhanden sind. Dabei muss die Gesellschaft bzw. der Insolvenzverwalter nicht jede denkbare Möglichkeit ausschließen, sondern nur nahe liegende Anhaltspunkte, beispielsweise stille Reserven bei Grundvermögen, und die von dem Gesellschafter insoweit aufgestellten Behauptungen widerlegen.</w:t>
      </w:r>
    </w:p>
    <w:p w14:paraId="00046716" w14:textId="77777777" w:rsidR="0000266C" w:rsidRDefault="00000000">
      <w:pPr>
        <w:pStyle w:val="divbocontentwrapperbocenterpParagraph"/>
        <w:pBdr>
          <w:top w:val="single" w:sz="6" w:space="0" w:color="000000"/>
          <w:bottom w:val="single" w:sz="6" w:space="0" w:color="000000"/>
        </w:pBdr>
        <w:spacing w:after="120" w:line="360" w:lineRule="auto"/>
        <w:ind w:right="150"/>
        <w:rPr>
          <w:color w:val="000000"/>
        </w:rPr>
      </w:pPr>
      <w:r>
        <w:rPr>
          <w:rStyle w:val="any"/>
          <w:color w:val="000000"/>
        </w:rPr>
        <w:t>BGH</w:t>
      </w:r>
      <w:r>
        <w:rPr>
          <w:color w:val="000000"/>
        </w:rPr>
        <w:t xml:space="preserve">, </w:t>
      </w:r>
      <w:r>
        <w:rPr>
          <w:rStyle w:val="etyp"/>
          <w:color w:val="000000"/>
        </w:rPr>
        <w:t>Urteil</w:t>
      </w:r>
      <w:r>
        <w:rPr>
          <w:color w:val="000000"/>
        </w:rPr>
        <w:t xml:space="preserve"> vom </w:t>
      </w:r>
      <w:r>
        <w:rPr>
          <w:rStyle w:val="any"/>
          <w:color w:val="000000"/>
        </w:rPr>
        <w:t>7. 3. 2005</w:t>
      </w:r>
      <w:r>
        <w:rPr>
          <w:color w:val="000000"/>
        </w:rPr>
        <w:t xml:space="preserve"> - </w:t>
      </w:r>
      <w:r>
        <w:rPr>
          <w:rStyle w:val="any"/>
          <w:color w:val="000000"/>
        </w:rPr>
        <w:t xml:space="preserve">II ZR 138/03 (OLG Celle) </w:t>
      </w:r>
      <w:bookmarkStart w:id="0" w:name="Y-300-Z-NZG-B-2005-S-482-N-1-NAME-SACHVE"/>
      <w:bookmarkEnd w:id="0"/>
    </w:p>
    <w:p w14:paraId="43F36CCA" w14:textId="77777777" w:rsidR="0000266C" w:rsidRDefault="00000000">
      <w:pPr>
        <w:pStyle w:val="printcontenth2"/>
        <w:spacing w:line="360" w:lineRule="auto"/>
        <w:ind w:right="150"/>
        <w:outlineLvl w:val="1"/>
        <w:rPr>
          <w:b/>
          <w:bCs/>
        </w:rPr>
      </w:pPr>
      <w:r>
        <w:rPr>
          <w:b/>
          <w:bCs/>
        </w:rPr>
        <w:t>Zum Sachverhalt:</w:t>
      </w:r>
    </w:p>
    <w:p w14:paraId="6CA16B41" w14:textId="77777777" w:rsidR="0000266C" w:rsidRDefault="00000000">
      <w:pPr>
        <w:pStyle w:val="divbocontentwrapperbocenterpParagraph"/>
        <w:spacing w:after="120" w:line="360" w:lineRule="auto"/>
        <w:ind w:right="150"/>
        <w:rPr>
          <w:color w:val="000000"/>
        </w:rPr>
      </w:pPr>
      <w:r>
        <w:rPr>
          <w:color w:val="000000"/>
        </w:rPr>
        <w:t xml:space="preserve">Der Bekl. ist zu 25% an der </w:t>
      </w:r>
      <w:r>
        <w:rPr>
          <w:rStyle w:val="emitalicon"/>
          <w:color w:val="000000"/>
        </w:rPr>
        <w:t>B</w:t>
      </w:r>
      <w:r>
        <w:rPr>
          <w:color w:val="000000"/>
        </w:rPr>
        <w:t xml:space="preserve">-GmbH beteiligt. Er ist Eigentümer des Betriebsgrundstücks, das er an die Gesellschaft vermietet hat. Am 2. 6. 1999 wurde das Konkursverfahren über das Vermögen der Gesellschaft eröffnet und der Kl. zum Verwalter bestellt. Mit der Klage verlangt der Kl. Rückzahlung der von dem Bekl. im Jahre 1998 vereinnahmten Mieten. Dazu behauptet er, die Gesellschaft sei schon seit 1994 überschuldet gewesen. Das </w:t>
      </w:r>
      <w:r>
        <w:rPr>
          <w:rStyle w:val="emitalicon"/>
          <w:color w:val="000000"/>
        </w:rPr>
        <w:t xml:space="preserve">LG </w:t>
      </w:r>
      <w:r>
        <w:rPr>
          <w:color w:val="000000"/>
        </w:rPr>
        <w:t xml:space="preserve">hat der Klage im Wesentlichen stattgegeben. Die Berufung des Bekl. ist erfolglos geblieben. Dagegen richtet sich die vom </w:t>
      </w:r>
      <w:r>
        <w:rPr>
          <w:rStyle w:val="emitalicon"/>
          <w:color w:val="000000"/>
        </w:rPr>
        <w:t>Senat</w:t>
      </w:r>
      <w:r>
        <w:rPr>
          <w:color w:val="000000"/>
        </w:rPr>
        <w:t xml:space="preserve"> zugelassene Revision.</w:t>
      </w:r>
    </w:p>
    <w:p w14:paraId="079C9D92" w14:textId="77777777" w:rsidR="0000266C" w:rsidRDefault="00000000">
      <w:pPr>
        <w:pStyle w:val="divbocontentwrapperbocenterpParagraph"/>
        <w:spacing w:after="120" w:line="360" w:lineRule="auto"/>
        <w:ind w:right="150"/>
        <w:rPr>
          <w:color w:val="000000"/>
        </w:rPr>
      </w:pPr>
      <w:r>
        <w:rPr>
          <w:color w:val="000000"/>
        </w:rPr>
        <w:t>Die Revision hatte Erfolg und führte zur Aufhebung des angefochtenen Urteils und zur Zurückverweisung der Sache an das BerGer.</w:t>
      </w:r>
      <w:bookmarkStart w:id="1" w:name="Y-300-Z-NZG-B-2005-S-482-N-1-NAME-GRUEND"/>
      <w:bookmarkEnd w:id="1"/>
    </w:p>
    <w:p w14:paraId="1E558E62" w14:textId="77777777" w:rsidR="0000266C" w:rsidRDefault="00000000">
      <w:pPr>
        <w:pStyle w:val="printcontenth2"/>
        <w:spacing w:line="360" w:lineRule="auto"/>
        <w:ind w:right="150"/>
        <w:outlineLvl w:val="1"/>
        <w:rPr>
          <w:b/>
          <w:bCs/>
        </w:rPr>
      </w:pPr>
      <w:r>
        <w:rPr>
          <w:b/>
          <w:bCs/>
        </w:rPr>
        <w:t>Aus den Gründen:</w:t>
      </w:r>
    </w:p>
    <w:p w14:paraId="5343FCBF" w14:textId="77777777" w:rsidR="0000266C" w:rsidRDefault="00000000">
      <w:pPr>
        <w:pStyle w:val="divbocontentwrapperbocenterpParagraph"/>
        <w:spacing w:after="120" w:line="360" w:lineRule="auto"/>
        <w:ind w:right="150"/>
        <w:rPr>
          <w:color w:val="000000"/>
        </w:rPr>
      </w:pPr>
      <w:r>
        <w:rPr>
          <w:color w:val="000000"/>
        </w:rPr>
        <w:t>I. Das BerGer. hat ausgeführt:</w:t>
      </w:r>
    </w:p>
    <w:p w14:paraId="72441F99" w14:textId="77777777" w:rsidR="0000266C" w:rsidRDefault="00000000">
      <w:pPr>
        <w:pStyle w:val="divbocontentwrapperbocenterpParagraph"/>
        <w:spacing w:after="120" w:line="360" w:lineRule="auto"/>
        <w:ind w:right="150"/>
        <w:rPr>
          <w:color w:val="000000"/>
        </w:rPr>
      </w:pPr>
      <w:r>
        <w:rPr>
          <w:rStyle w:val="emsmall"/>
          <w:color w:val="000000"/>
          <w:sz w:val="22"/>
          <w:szCs w:val="22"/>
        </w:rPr>
        <w:lastRenderedPageBreak/>
        <w:t xml:space="preserve">Die Überlassung des Betriebsgrundstücks habe jedenfalls im Jahre 1998 eigenkapitalersetzenden Charakter gehabt. Die zum 31. 12. 1996 aufgestellte Bilanz der Gesellschaft habe einen nicht durch Eigenkapital gedeckten Fehlbetrag in Höhe von 139672,44 DM ausgewiesen. Dieser Wert sei nicht im Hinblick auf die Erstellung eines Überschuldungsstatus zu korrigieren gewesen. Zwar habe der Bekl. zu einzelnen Aktivposten der Bilanz das Vorliegen von stillen Reserven behauptet und dazu auch präzise Zahlen vorgetragen. Der daraufhin als Sachverständiger eingeschaltete Wirtschaftsprüfer habe jedoch keine ausreichenden Anhaltspunkte vorgefunden, um die tatsächlichen Werte der Wirtschaftsgüter bestimmen zu können. Das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00266C" w14:paraId="4552ED1B" w14:textId="77777777">
        <w:tc>
          <w:tcPr>
            <w:tcW w:w="4000" w:type="pct"/>
            <w:shd w:val="clear" w:color="auto" w:fill="F0F0F0"/>
            <w:tcMar>
              <w:top w:w="0" w:type="dxa"/>
              <w:left w:w="0" w:type="dxa"/>
              <w:bottom w:w="0" w:type="dxa"/>
              <w:right w:w="0" w:type="dxa"/>
            </w:tcMar>
            <w:vAlign w:val="center"/>
            <w:hideMark/>
          </w:tcPr>
          <w:p w14:paraId="3A7D2638" w14:textId="77777777" w:rsidR="0000266C" w:rsidRDefault="00000000">
            <w:pPr>
              <w:pStyle w:val="divpgdescrpspantitel"/>
              <w:spacing w:after="120"/>
              <w:ind w:left="330"/>
              <w:rPr>
                <w:color w:val="000000"/>
              </w:rPr>
            </w:pPr>
            <w:r>
              <w:rPr>
                <w:color w:val="000000"/>
              </w:rPr>
              <w:t>BGH: Darlegungs- und Beweislast für Unternehmenskrise und Insolvenzreife wegen Überschuldung</w:t>
            </w:r>
            <w:r>
              <w:rPr>
                <w:rStyle w:val="citation"/>
                <w:color w:val="000000"/>
              </w:rPr>
              <w:t>(NZG 2005, 482)</w:t>
            </w:r>
          </w:p>
        </w:tc>
        <w:tc>
          <w:tcPr>
            <w:tcW w:w="1000" w:type="pct"/>
            <w:shd w:val="clear" w:color="auto" w:fill="F0F0F0"/>
            <w:tcMar>
              <w:top w:w="0" w:type="dxa"/>
              <w:left w:w="0" w:type="dxa"/>
              <w:bottom w:w="0" w:type="dxa"/>
              <w:right w:w="0" w:type="dxa"/>
            </w:tcMar>
            <w:vAlign w:val="center"/>
            <w:hideMark/>
          </w:tcPr>
          <w:p w14:paraId="6E3012EC" w14:textId="77777777" w:rsidR="0000266C"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483</w:t>
            </w:r>
          </w:p>
        </w:tc>
      </w:tr>
    </w:tbl>
    <w:p w14:paraId="195F0AF0" w14:textId="77777777" w:rsidR="0000266C" w:rsidRDefault="00000000">
      <w:pPr>
        <w:pStyle w:val="divbocontentwrapperbocenterpParagraph"/>
        <w:spacing w:after="120" w:line="360" w:lineRule="auto"/>
        <w:ind w:right="150"/>
        <w:rPr>
          <w:color w:val="000000"/>
        </w:rPr>
      </w:pPr>
      <w:r>
        <w:rPr>
          <w:rStyle w:val="emsmall"/>
          <w:color w:val="000000"/>
          <w:sz w:val="22"/>
          <w:szCs w:val="22"/>
        </w:rPr>
        <w:t>gehe zu Lasten des Bekl. Zwar liege die Beweislast für die Kreditunwürdigkeit grundsätzlich bei der Gesellschaft bzw. ihrem Konkursverwalter. Die Jahresbilanz habe aber eine indizielle Bedeutung für die Insolvenzreife. Nur wenn greifbare Anhaltspunkte für das Vorhandensein stiller Reserven vorlägen, müsse der Konkursverwalter dazu vortragen und Beweis führen.</w:t>
      </w:r>
    </w:p>
    <w:p w14:paraId="6E3362C4" w14:textId="77777777" w:rsidR="0000266C" w:rsidRDefault="00000000">
      <w:pPr>
        <w:pStyle w:val="divbocontentwrapperbocenterpParagraph"/>
        <w:spacing w:after="120" w:line="360" w:lineRule="auto"/>
        <w:ind w:right="150"/>
        <w:rPr>
          <w:color w:val="000000"/>
        </w:rPr>
      </w:pPr>
      <w:r>
        <w:rPr>
          <w:color w:val="000000"/>
        </w:rPr>
        <w:t>II. Dem kann nicht gefolgt werden.</w:t>
      </w:r>
    </w:p>
    <w:p w14:paraId="4460E147" w14:textId="77777777" w:rsidR="0000266C" w:rsidRDefault="00000000">
      <w:pPr>
        <w:pStyle w:val="divbocontentwrapperbocenterpParagraph"/>
        <w:spacing w:after="120" w:line="360" w:lineRule="auto"/>
        <w:ind w:right="150"/>
        <w:rPr>
          <w:color w:val="000000"/>
        </w:rPr>
      </w:pPr>
      <w:r>
        <w:rPr>
          <w:color w:val="000000"/>
        </w:rPr>
        <w:t xml:space="preserve">1. Die Klage auf Rückgewähr der Mieten ist nach </w:t>
      </w:r>
      <w:r>
        <w:rPr>
          <w:rStyle w:val="any"/>
          <w:color w:val="000000"/>
        </w:rPr>
        <w:t xml:space="preserve">§§ </w:t>
      </w:r>
      <w:hyperlink r:id="rId11" w:history="1">
        <w:r>
          <w:rPr>
            <w:rStyle w:val="bocontentwrapperbocenteranotbeck-btn"/>
            <w:color w:val="000000"/>
            <w:u w:val="single" w:color="000000"/>
          </w:rPr>
          <w:t>30</w:t>
        </w:r>
      </w:hyperlink>
      <w:r>
        <w:rPr>
          <w:rStyle w:val="any"/>
          <w:color w:val="000000"/>
        </w:rPr>
        <w:t xml:space="preserve">, </w:t>
      </w:r>
      <w:hyperlink r:id="rId12" w:history="1">
        <w:r>
          <w:rPr>
            <w:rStyle w:val="bocontentwrapperbocenteranotbeck-btn"/>
            <w:color w:val="000000"/>
            <w:u w:val="single" w:color="000000"/>
          </w:rPr>
          <w:t>31</w:t>
        </w:r>
      </w:hyperlink>
      <w:r>
        <w:rPr>
          <w:rStyle w:val="any"/>
          <w:color w:val="000000"/>
        </w:rPr>
        <w:t xml:space="preserve"> </w:t>
      </w:r>
      <w:hyperlink r:id="rId13" w:history="1">
        <w:r>
          <w:rPr>
            <w:rStyle w:val="bocontentwrapperbocenteranotbeck-btn"/>
            <w:color w:val="000000"/>
            <w:u w:val="single" w:color="000000"/>
          </w:rPr>
          <w:t>I</w:t>
        </w:r>
      </w:hyperlink>
      <w:r>
        <w:rPr>
          <w:rStyle w:val="any"/>
          <w:color w:val="000000"/>
        </w:rPr>
        <w:t xml:space="preserve"> GmbHG</w:t>
      </w:r>
      <w:r>
        <w:rPr>
          <w:color w:val="000000"/>
        </w:rPr>
        <w:t xml:space="preserve"> i.V. mit den Rechtsprechungsregeln zur eigenkapitalersetzenden Gebrauchsüberlassung (</w:t>
      </w:r>
      <w:r>
        <w:rPr>
          <w:rStyle w:val="any"/>
          <w:color w:val="000000"/>
        </w:rPr>
        <w:t xml:space="preserve">BGHZ 109, </w:t>
      </w:r>
      <w:hyperlink r:id="rId14" w:history="1">
        <w:r>
          <w:rPr>
            <w:rStyle w:val="bocontentwrapperbocenteranotbeck-btn"/>
            <w:color w:val="000000"/>
            <w:u w:val="single" w:color="000000"/>
          </w:rPr>
          <w:t>55</w:t>
        </w:r>
      </w:hyperlink>
      <w:r>
        <w:rPr>
          <w:color w:val="000000"/>
        </w:rPr>
        <w:t xml:space="preserve"> = </w:t>
      </w:r>
      <w:r>
        <w:rPr>
          <w:rStyle w:val="any"/>
          <w:color w:val="000000"/>
        </w:rPr>
        <w:t xml:space="preserve">NJW 1990, </w:t>
      </w:r>
      <w:hyperlink r:id="rId15" w:history="1">
        <w:r>
          <w:rPr>
            <w:rStyle w:val="bocontentwrapperbocenteranotbeck-btn"/>
            <w:color w:val="000000"/>
            <w:u w:val="single" w:color="000000"/>
          </w:rPr>
          <w:t>516</w:t>
        </w:r>
      </w:hyperlink>
      <w:r>
        <w:rPr>
          <w:color w:val="000000"/>
        </w:rPr>
        <w:t xml:space="preserve">; </w:t>
      </w:r>
      <w:r>
        <w:rPr>
          <w:rStyle w:val="any"/>
          <w:color w:val="000000"/>
        </w:rPr>
        <w:t xml:space="preserve">BGHZ 121, </w:t>
      </w:r>
      <w:hyperlink r:id="rId16" w:history="1">
        <w:r>
          <w:rPr>
            <w:rStyle w:val="bocontentwrapperbocenteranotbeck-btn"/>
            <w:color w:val="000000"/>
            <w:u w:val="single" w:color="000000"/>
          </w:rPr>
          <w:t>31</w:t>
        </w:r>
      </w:hyperlink>
      <w:r>
        <w:rPr>
          <w:color w:val="000000"/>
        </w:rPr>
        <w:t xml:space="preserve"> = </w:t>
      </w:r>
      <w:r>
        <w:rPr>
          <w:rStyle w:val="any"/>
          <w:color w:val="000000"/>
        </w:rPr>
        <w:t xml:space="preserve">NJW 1993, </w:t>
      </w:r>
      <w:hyperlink r:id="rId17" w:history="1">
        <w:r>
          <w:rPr>
            <w:rStyle w:val="bocontentwrapperbocenteranotbeck-btn"/>
            <w:color w:val="000000"/>
            <w:u w:val="single" w:color="000000"/>
          </w:rPr>
          <w:t>392</w:t>
        </w:r>
      </w:hyperlink>
      <w:r>
        <w:rPr>
          <w:color w:val="000000"/>
        </w:rPr>
        <w:t xml:space="preserve">) nur dann begründet, wenn die Gesellschaft am 31. 12. 1996 oder jedenfalls bis zum 30. 6. 1997, als der Bekl. den Mietvertrag zum Ablauf des 31. 12. 1997 spätestens hätte kündigen können, in eine Krise i.S. des </w:t>
      </w:r>
      <w:r>
        <w:rPr>
          <w:rStyle w:val="any"/>
          <w:color w:val="000000"/>
        </w:rPr>
        <w:t xml:space="preserve">§ </w:t>
      </w:r>
      <w:hyperlink r:id="rId18" w:history="1">
        <w:r>
          <w:rPr>
            <w:rStyle w:val="bocontentwrapperbocenteranotbeck-btn"/>
            <w:color w:val="000000"/>
            <w:u w:val="single" w:color="000000"/>
          </w:rPr>
          <w:t>32a</w:t>
        </w:r>
      </w:hyperlink>
      <w:r>
        <w:rPr>
          <w:rStyle w:val="any"/>
          <w:color w:val="000000"/>
        </w:rPr>
        <w:t xml:space="preserve"> </w:t>
      </w:r>
      <w:hyperlink r:id="rId19" w:history="1">
        <w:r>
          <w:rPr>
            <w:rStyle w:val="bocontentwrapperbocenteranotbeck-btn"/>
            <w:color w:val="000000"/>
            <w:u w:val="single" w:color="000000"/>
          </w:rPr>
          <w:t>I</w:t>
        </w:r>
      </w:hyperlink>
      <w:r>
        <w:rPr>
          <w:rStyle w:val="any"/>
          <w:color w:val="000000"/>
        </w:rPr>
        <w:t xml:space="preserve"> GmbHG</w:t>
      </w:r>
      <w:r>
        <w:rPr>
          <w:color w:val="000000"/>
        </w:rPr>
        <w:t xml:space="preserve"> geraten ist und der Bekl., wovon im Normalfall auszugehen ist, das erkennen konnte. Eine Krise lag dann vor, wenn die Gesellschaft insolvenzreif oder jedenfalls „überlassungsunwürdig” war. Zu einer unabhängig von einer Insolvenzreife bestehenden Überlassungsunwürdigkeit hat das BerGer. keine Feststellungen getroffen. Dafür ist auch nichts ersichtlich. Entscheidend ist daher allein die Frage, ob die Gesellschaft insolvenzreif war. Da die Gesellschaft im Jahre 1998 noch zahlungsfähig war, konnte sich eine Insolvenzreife nur aus einer Überschuldung ergeben. Nach der hier noch anwendbaren Konkursordnung sind dazu eine rechnerische Überschuldung und eine negative Fortbestehensprognose erforderlich. Eine rechnerische Überschuldung in diesem Sinne liegt vor, wenn die im Insolvenzfall verwertbaren Vermögensgegenstände zu ihren Veräußerungswerten nicht mehr ausreichen, um die Schulden zu decken.</w:t>
      </w:r>
    </w:p>
    <w:p w14:paraId="53AF462C" w14:textId="77777777" w:rsidR="0000266C" w:rsidRDefault="00000000">
      <w:pPr>
        <w:pStyle w:val="divbocontentwrapperbocenterpParagraph"/>
        <w:spacing w:after="120" w:line="360" w:lineRule="auto"/>
        <w:ind w:right="150"/>
        <w:rPr>
          <w:color w:val="000000"/>
        </w:rPr>
      </w:pPr>
      <w:r>
        <w:rPr>
          <w:color w:val="000000"/>
        </w:rPr>
        <w:t xml:space="preserve">Nach der st. Rspr. des </w:t>
      </w:r>
      <w:r>
        <w:rPr>
          <w:rStyle w:val="emitalicon"/>
          <w:color w:val="000000"/>
        </w:rPr>
        <w:t>Senats</w:t>
      </w:r>
      <w:r>
        <w:rPr>
          <w:color w:val="000000"/>
        </w:rPr>
        <w:t xml:space="preserve"> liegt die Darlegungs- und Beweislast bezüglich der Überschuldung bei der Gesellschaft bzw. dem für sie tätig werdenden Insolvenzverwalter. Der Insolvenzverwalter hat die Überschuldung grundsätzlich durch Vorlage eines Überschuldungsstatus' darzulegen. Darin sind die stillen Reserven aufzudecken und die </w:t>
      </w:r>
      <w:r>
        <w:rPr>
          <w:color w:val="000000"/>
        </w:rPr>
        <w:lastRenderedPageBreak/>
        <w:t>Vermögensgegenstände zu Veräußerungswerten anzusetzen. Nicht ausreichend ist dagegen, lediglich die Handelsbilanz vorzulegen, weil die Handelsbilanz nach anderen Kriterien als ein Überschuldungsstatus aufzustellen ist. So sagt sie etwa nichts über stille Reserven aus. Die Handelsbilanz kann deshalb nur indizielle Bedeutung für die insolvenzrechtliche Überschuldung haben. Mindestens muss der Insolvenzverwalter die Ansätze der Handelsbilanz daraufhin überprüfen und erläutern, ob und ggf. in welchem Umfang stille Reserven oder sonstige daraus nicht ersichtliche Veräußerungswerte vorhanden sind. Dabei muss er nicht jede denkbare Möglichkeit ausschließen, sondern nur nahe liegende Anhaltspunkte, beispielsweise stille Reserven bei Grundvermögen, und die von dem Gesellschafter insoweit aufgestellten Behauptungen widerlegen (</w:t>
      </w:r>
      <w:r>
        <w:rPr>
          <w:rStyle w:val="any"/>
          <w:color w:val="000000"/>
        </w:rPr>
        <w:t xml:space="preserve">BGHZ 125, </w:t>
      </w:r>
      <w:hyperlink r:id="rId20" w:history="1">
        <w:r>
          <w:rPr>
            <w:rStyle w:val="bocontentwrapperbocenteranotbeck-btn"/>
            <w:color w:val="000000"/>
            <w:u w:val="single" w:color="000000"/>
          </w:rPr>
          <w:t>141</w:t>
        </w:r>
      </w:hyperlink>
      <w:r>
        <w:rPr>
          <w:rStyle w:val="any"/>
          <w:color w:val="000000"/>
        </w:rPr>
        <w:t xml:space="preserve"> [</w:t>
      </w:r>
      <w:hyperlink r:id="rId21" w:history="1">
        <w:r>
          <w:rPr>
            <w:rStyle w:val="bocontentwrapperbocenteranotbeck-btn"/>
            <w:color w:val="000000"/>
            <w:u w:val="single" w:color="000000"/>
          </w:rPr>
          <w:t>146</w:t>
        </w:r>
      </w:hyperlink>
      <w:r>
        <w:rPr>
          <w:color w:val="000000"/>
        </w:rPr>
        <w:t xml:space="preserve">] = </w:t>
      </w:r>
      <w:r>
        <w:rPr>
          <w:rStyle w:val="any"/>
          <w:color w:val="000000"/>
        </w:rPr>
        <w:t xml:space="preserve">NJW-RR 1994, </w:t>
      </w:r>
      <w:hyperlink r:id="rId22" w:history="1">
        <w:r>
          <w:rPr>
            <w:rStyle w:val="bocontentwrapperbocenteranotbeck-btn"/>
            <w:color w:val="000000"/>
            <w:u w:val="single" w:color="000000"/>
          </w:rPr>
          <w:t>932</w:t>
        </w:r>
      </w:hyperlink>
      <w:r>
        <w:rPr>
          <w:color w:val="000000"/>
        </w:rPr>
        <w:t xml:space="preserve"> = </w:t>
      </w:r>
      <w:r>
        <w:rPr>
          <w:rStyle w:val="any"/>
          <w:color w:val="000000"/>
        </w:rPr>
        <w:t xml:space="preserve">WiB 1994, </w:t>
      </w:r>
      <w:hyperlink r:id="rId23" w:history="1">
        <w:r>
          <w:rPr>
            <w:rStyle w:val="bocontentwrapperbocenteranotbeck-btn"/>
            <w:color w:val="000000"/>
            <w:u w:val="single" w:color="000000"/>
          </w:rPr>
          <w:t>432</w:t>
        </w:r>
      </w:hyperlink>
      <w:r>
        <w:rPr>
          <w:color w:val="000000"/>
        </w:rPr>
        <w:t xml:space="preserve">; </w:t>
      </w:r>
      <w:r>
        <w:rPr>
          <w:rStyle w:val="any"/>
          <w:color w:val="000000"/>
        </w:rPr>
        <w:t xml:space="preserve">BGHZ 146, </w:t>
      </w:r>
      <w:hyperlink r:id="rId24" w:history="1">
        <w:r>
          <w:rPr>
            <w:rStyle w:val="bocontentwrapperbocenteranotbeck-btn"/>
            <w:color w:val="000000"/>
            <w:u w:val="single" w:color="000000"/>
          </w:rPr>
          <w:t>264</w:t>
        </w:r>
      </w:hyperlink>
      <w:r>
        <w:rPr>
          <w:rStyle w:val="any"/>
          <w:color w:val="000000"/>
        </w:rPr>
        <w:t xml:space="preserve"> [</w:t>
      </w:r>
      <w:hyperlink r:id="rId25" w:history="1">
        <w:r>
          <w:rPr>
            <w:rStyle w:val="bocontentwrapperbocenteranotbeck-btn"/>
            <w:color w:val="000000"/>
            <w:u w:val="single" w:color="000000"/>
          </w:rPr>
          <w:t>267</w:t>
        </w:r>
      </w:hyperlink>
      <w:r>
        <w:rPr>
          <w:color w:val="000000"/>
        </w:rPr>
        <w:t xml:space="preserve">f.] = </w:t>
      </w:r>
      <w:r>
        <w:rPr>
          <w:rStyle w:val="any"/>
          <w:color w:val="000000"/>
        </w:rPr>
        <w:t xml:space="preserve">NZG 2001, </w:t>
      </w:r>
      <w:hyperlink r:id="rId26" w:history="1">
        <w:r>
          <w:rPr>
            <w:rStyle w:val="bocontentwrapperbocenteranotbeck-btn"/>
            <w:color w:val="000000"/>
            <w:u w:val="single" w:color="000000"/>
          </w:rPr>
          <w:t>196</w:t>
        </w:r>
      </w:hyperlink>
      <w:r>
        <w:rPr>
          <w:color w:val="000000"/>
        </w:rPr>
        <w:t xml:space="preserve">; </w:t>
      </w:r>
      <w:r>
        <w:rPr>
          <w:rStyle w:val="emitalicon"/>
          <w:color w:val="000000"/>
        </w:rPr>
        <w:t xml:space="preserve">Senat, </w:t>
      </w:r>
      <w:r>
        <w:rPr>
          <w:rStyle w:val="any"/>
          <w:color w:val="000000"/>
        </w:rPr>
        <w:t xml:space="preserve">NZG 2001, </w:t>
      </w:r>
      <w:hyperlink r:id="rId27" w:history="1">
        <w:r>
          <w:rPr>
            <w:rStyle w:val="bocontentwrapperbocenteranotbeck-btn"/>
            <w:color w:val="000000"/>
            <w:u w:val="single" w:color="000000"/>
          </w:rPr>
          <w:t>222</w:t>
        </w:r>
      </w:hyperlink>
      <w:r>
        <w:rPr>
          <w:color w:val="000000"/>
        </w:rPr>
        <w:t xml:space="preserve"> = </w:t>
      </w:r>
      <w:r>
        <w:rPr>
          <w:rStyle w:val="any"/>
          <w:color w:val="000000"/>
        </w:rPr>
        <w:t xml:space="preserve">ZIP 2001, </w:t>
      </w:r>
      <w:hyperlink r:id="rId28" w:history="1">
        <w:r>
          <w:rPr>
            <w:rStyle w:val="bocontentwrapperbocenteranotbeck-btn"/>
            <w:color w:val="000000"/>
            <w:u w:val="single" w:color="000000"/>
          </w:rPr>
          <w:t>242</w:t>
        </w:r>
      </w:hyperlink>
      <w:r>
        <w:rPr>
          <w:rStyle w:val="any"/>
          <w:color w:val="000000"/>
        </w:rPr>
        <w:t xml:space="preserve"> [</w:t>
      </w:r>
      <w:hyperlink r:id="rId29" w:history="1">
        <w:r>
          <w:rPr>
            <w:rStyle w:val="bocontentwrapperbocenteranotbeck-btn"/>
            <w:color w:val="000000"/>
            <w:u w:val="single" w:color="000000"/>
          </w:rPr>
          <w:t>243</w:t>
        </w:r>
      </w:hyperlink>
      <w:r>
        <w:rPr>
          <w:color w:val="000000"/>
        </w:rPr>
        <w:t xml:space="preserve">]; </w:t>
      </w:r>
      <w:r>
        <w:rPr>
          <w:rStyle w:val="any"/>
          <w:color w:val="000000"/>
        </w:rPr>
        <w:t xml:space="preserve">NJW-RR 2001, </w:t>
      </w:r>
      <w:hyperlink r:id="rId30" w:history="1">
        <w:r>
          <w:rPr>
            <w:rStyle w:val="bocontentwrapperbocenteranotbeck-btn"/>
            <w:color w:val="000000"/>
            <w:u w:val="single" w:color="000000"/>
          </w:rPr>
          <w:t>1043</w:t>
        </w:r>
      </w:hyperlink>
      <w:r>
        <w:rPr>
          <w:color w:val="000000"/>
        </w:rPr>
        <w:t xml:space="preserve"> = </w:t>
      </w:r>
      <w:r>
        <w:rPr>
          <w:rStyle w:val="any"/>
          <w:color w:val="000000"/>
        </w:rPr>
        <w:t xml:space="preserve">NZG 2001, </w:t>
      </w:r>
      <w:hyperlink r:id="rId31" w:history="1">
        <w:r>
          <w:rPr>
            <w:rStyle w:val="bocontentwrapperbocenteranotbeck-btn"/>
            <w:color w:val="000000"/>
            <w:u w:val="single" w:color="000000"/>
          </w:rPr>
          <w:t>562</w:t>
        </w:r>
      </w:hyperlink>
      <w:r>
        <w:rPr>
          <w:rStyle w:val="any"/>
          <w:color w:val="000000"/>
        </w:rPr>
        <w:t xml:space="preserve"> L</w:t>
      </w:r>
      <w:r>
        <w:rPr>
          <w:color w:val="000000"/>
        </w:rPr>
        <w:t xml:space="preserve"> = </w:t>
      </w:r>
      <w:r>
        <w:rPr>
          <w:rStyle w:val="any"/>
          <w:color w:val="000000"/>
        </w:rPr>
        <w:t xml:space="preserve">ZIP 2001, </w:t>
      </w:r>
      <w:hyperlink r:id="rId32" w:history="1">
        <w:r>
          <w:rPr>
            <w:rStyle w:val="bocontentwrapperbocenteranotbeck-btn"/>
            <w:color w:val="000000"/>
            <w:u w:val="single" w:color="000000"/>
          </w:rPr>
          <w:t>839</w:t>
        </w:r>
      </w:hyperlink>
      <w:r>
        <w:rPr>
          <w:color w:val="000000"/>
        </w:rPr>
        <w:t xml:space="preserve">; ebenso zur vergleichbaren Problematik bei der Kreditunwürdigkeit </w:t>
      </w:r>
      <w:r>
        <w:rPr>
          <w:rStyle w:val="emitalicon"/>
          <w:color w:val="000000"/>
        </w:rPr>
        <w:t xml:space="preserve">Senat, </w:t>
      </w:r>
      <w:r>
        <w:rPr>
          <w:rStyle w:val="any"/>
          <w:color w:val="000000"/>
        </w:rPr>
        <w:t xml:space="preserve">NJW 1997, </w:t>
      </w:r>
      <w:hyperlink r:id="rId33" w:history="1">
        <w:r>
          <w:rPr>
            <w:rStyle w:val="bocontentwrapperbocenteranotbeck-btn"/>
            <w:color w:val="000000"/>
            <w:u w:val="single" w:color="000000"/>
          </w:rPr>
          <w:t>3171</w:t>
        </w:r>
      </w:hyperlink>
      <w:r>
        <w:rPr>
          <w:rStyle w:val="any"/>
          <w:color w:val="000000"/>
        </w:rPr>
        <w:t xml:space="preserve"> [</w:t>
      </w:r>
      <w:hyperlink r:id="rId34" w:history="1">
        <w:r>
          <w:rPr>
            <w:rStyle w:val="bocontentwrapperbocenteranotbeck-btn"/>
            <w:color w:val="000000"/>
            <w:u w:val="single" w:color="000000"/>
          </w:rPr>
          <w:t>3172</w:t>
        </w:r>
      </w:hyperlink>
      <w:r>
        <w:rPr>
          <w:color w:val="000000"/>
        </w:rPr>
        <w:t xml:space="preserve">] und </w:t>
      </w:r>
      <w:r>
        <w:rPr>
          <w:rStyle w:val="any"/>
          <w:color w:val="000000"/>
        </w:rPr>
        <w:t xml:space="preserve">NJW 1998, </w:t>
      </w:r>
      <w:hyperlink r:id="rId35" w:history="1">
        <w:r>
          <w:rPr>
            <w:rStyle w:val="bocontentwrapperbocenteranotbeck-btn"/>
            <w:color w:val="000000"/>
            <w:u w:val="single" w:color="000000"/>
          </w:rPr>
          <w:t>1143</w:t>
        </w:r>
      </w:hyperlink>
      <w:r>
        <w:rPr>
          <w:rStyle w:val="any"/>
          <w:color w:val="000000"/>
        </w:rPr>
        <w:t xml:space="preserve"> [</w:t>
      </w:r>
      <w:hyperlink r:id="rId36" w:history="1">
        <w:r>
          <w:rPr>
            <w:rStyle w:val="bocontentwrapperbocenteranotbeck-btn"/>
            <w:color w:val="000000"/>
            <w:u w:val="single" w:color="000000"/>
          </w:rPr>
          <w:t>1144</w:t>
        </w:r>
      </w:hyperlink>
      <w:r>
        <w:rPr>
          <w:color w:val="000000"/>
        </w:rPr>
        <w:t>]).</w:t>
      </w:r>
    </w:p>
    <w:p w14:paraId="0623D69C" w14:textId="77777777" w:rsidR="0000266C" w:rsidRDefault="00000000">
      <w:pPr>
        <w:pStyle w:val="divbocontentwrapperbocenterpParagraph"/>
        <w:spacing w:after="120" w:line="360" w:lineRule="auto"/>
        <w:ind w:right="150"/>
        <w:rPr>
          <w:color w:val="000000"/>
        </w:rPr>
      </w:pPr>
      <w:r>
        <w:rPr>
          <w:color w:val="000000"/>
        </w:rPr>
        <w:t>2. Nach diesen Grundsätzen und dem bisherigen Vortrag der Parteien ist die Klage unbegründet. Der Kl. hat keinen Überschuldungsstatus zu dem maßgeblichen Zeitpunkt aufgestellt. Er hat auch nicht die Behauptungen des Bekl. zu den stillen Reserven widerlegt. So hat der Bekl. behauptet, die Transportfahrzeuge der Gemeinschuldnerin, die in der Handelsbilanz mit einem Erinnerungswert von 11 DM erfasst gewesen seien, hätten tatsächlich einen Wert in Höhe von 61000 DM gehabt, die Werkzeuge der Gemeinschuldnerin, in der Bilanz mit 18348 DM veranschlagt, seien 43000 DM wert gewesen, die abgeschriebenen geringwertigen Wirtschaftsgüter hätten noch einen Wert in Höhe von 11000 DM gehabt und die sonstige Betriebs- und Geschäftsausstattung, die mit einem Buchwert in Höhe von 23645 DM erfasst gewesen sei, sei tatsächlich 73000 DM wert gewesen. Dieser Vortrag ist substantiiert genug, um dem Kl. die Möglichkeit zu geben, sich damit auseinander zu setzen und die Zahlen des Bekl. zu widerlegen. Das hat das BerGer. im Ansatz auch richtig gesehen, wie sich daraus ergibt, dass es eine Beweisaufnahme durch Einholung eines Sachverständigengutachtens angeordnet hat. Dass der Sachverständige dann aber erklärt hat, er könne mangels ausreichender Unterlagen keine Feststellungen treffen, geht zu Lasten des Kl. Seine Sache war es, die Überschuldung unter Berücksichtigung des substantiierten Gegenvortrags des Bekl. darzulegen und zu beweisen. Ist ihm das nicht möglich, kann seine Klage keinen Erfolg haben. Anders wäre allenfalls dann zu entscheiden, wenn der Bekl. eine ihm obliegende Pflicht zur Führung und Aufbewahrung von Büchern bzw. Belegen verletzt hätte. Das aber macht der Kl. selbst nicht geltend.</w:t>
      </w:r>
    </w:p>
    <w:p w14:paraId="27ECE33C" w14:textId="77777777" w:rsidR="0000266C" w:rsidRDefault="00000000">
      <w:pPr>
        <w:pStyle w:val="divbocontentwrapperbocenterpParagraph"/>
        <w:spacing w:after="120" w:line="360" w:lineRule="auto"/>
        <w:ind w:right="150"/>
        <w:rPr>
          <w:color w:val="000000"/>
        </w:rPr>
      </w:pPr>
      <w:r>
        <w:rPr>
          <w:color w:val="000000"/>
        </w:rPr>
        <w:t xml:space="preserve">III. Danach kann das angefochtene Urteil keinen Bestand haben. Die Sache ist zurückzuverweisen, da sie noch nicht zur Endentscheidung reif ist. Das BerGer. hat die </w:t>
      </w:r>
      <w:r>
        <w:rPr>
          <w:color w:val="000000"/>
        </w:rPr>
        <w:lastRenderedPageBreak/>
        <w:t xml:space="preserve">Beweisaufnahme abgebrochen, ohne alles getan zu haben, um den Sachverhalt aufzuklären. So hätte versucht werden müssen, auf Grund der Veräußerungserlöse, die für die streitigen Gegenstände im Rahmen des Konkursverfahrens erzielt worden sind, auf die Verkehrswerte zu dem hier maßgeblichen Zeitpunkt rückzuschließen, soweit ausreichende Anhaltspunkte dafür vorliegen, dass die verwerteten Wirtschaftsgüter auch schon zu jenem Zeitpunkt vorhanden waren. Dazu hätte notfalls ein anderer Sachverständiger hinzugezogen werden müssen, der über das allgemeine Wissen eines Wirtschaftsprüfers hinaus über spezielle Kenntnisse in der Bewertung von Anlagegütern verfügt. Entgegen der Auffassung des Sachverständigen </w:t>
      </w:r>
      <w:r>
        <w:rPr>
          <w:rStyle w:val="emitalicon"/>
          <w:color w:val="000000"/>
        </w:rPr>
        <w:t>B</w:t>
      </w:r>
      <w:r>
        <w:rPr>
          <w:color w:val="000000"/>
        </w:rPr>
        <w:t xml:space="preserve"> ist es dagegen nicht erforderlich, eine Überschuldungsbilanz aufzustellen. Es geht allein darum zu überprüfen, ob die von dem Bekl. behaupteten stillen Reserven vorhanden waren, die nur in ihrer Summe ausreichen, um trotz des in der Handelsbilanz ausgewiesenen Fehlbetrags eine rechnerische Überschuldung im Sinne des Insolvenzrechts auszuschließen. Gelingt dem Kl., ggf. nach ergänzendem Vortrag, der Beweis, dass jedenfalls ein Teil dieser stillen Reserven nicht vorhanden war, ist von einer rechnerischen Überschuldung und damit angesichts der von dem BerGer. festgestellten negativen Fortbestehensprognose von einer Insolvenzreife auszugehen. Gelingt dem Kl. dieser Beweis dagegen nicht, ist die Klage unbegründet. Die Zurückverweisung ermöglicht den Parteien, unter Berücksichtigung der Rechtsauffassung des </w:t>
      </w:r>
      <w:r>
        <w:rPr>
          <w:rStyle w:val="emitalicon"/>
          <w:color w:val="000000"/>
        </w:rPr>
        <w:t>Senats</w:t>
      </w:r>
      <w:r>
        <w:rPr>
          <w:color w:val="000000"/>
        </w:rPr>
        <w:t xml:space="preserve"> ergänzend vorzutragen, und dem BerGer., auf dieser Grundlage die Beweisaufnahme fortzusetzen.</w:t>
      </w:r>
      <w:bookmarkStart w:id="2" w:name="Y-300-Z-NZG-B-2005-S-482-N-1-NAME-ANMRED"/>
      <w:bookmarkEnd w:id="2"/>
    </w:p>
    <w:p w14:paraId="45D62FFD" w14:textId="77777777" w:rsidR="0000266C" w:rsidRDefault="00000000">
      <w:pPr>
        <w:pStyle w:val="printcontenth2"/>
        <w:pBdr>
          <w:top w:val="single" w:sz="6" w:space="0" w:color="808080"/>
        </w:pBdr>
        <w:spacing w:before="300" w:line="360" w:lineRule="auto"/>
        <w:ind w:right="150"/>
        <w:outlineLvl w:val="1"/>
        <w:rPr>
          <w:b/>
          <w:bCs/>
        </w:rPr>
      </w:pPr>
      <w:r>
        <w:rPr>
          <w:b/>
          <w:bCs/>
        </w:rPr>
        <w:t>Anm. d. Schriftltg.:</w:t>
      </w:r>
    </w:p>
    <w:p w14:paraId="44FBE9C8" w14:textId="77777777" w:rsidR="0000266C" w:rsidRDefault="00000000">
      <w:pPr>
        <w:pStyle w:val="divbocontentwrapperbocenterpParagraph"/>
        <w:pBdr>
          <w:top w:val="single" w:sz="6" w:space="0" w:color="808080"/>
        </w:pBdr>
        <w:spacing w:after="120" w:line="360" w:lineRule="auto"/>
        <w:ind w:right="150"/>
        <w:rPr>
          <w:color w:val="000000"/>
        </w:rPr>
      </w:pPr>
      <w:r>
        <w:rPr>
          <w:color w:val="000000"/>
        </w:rPr>
        <w:t xml:space="preserve">Zu der zit. Entscheidung </w:t>
      </w:r>
      <w:r>
        <w:rPr>
          <w:rStyle w:val="any"/>
          <w:color w:val="000000"/>
        </w:rPr>
        <w:t xml:space="preserve">BGHZ 146, </w:t>
      </w:r>
      <w:hyperlink r:id="rId37" w:history="1">
        <w:r>
          <w:rPr>
            <w:rStyle w:val="bocontentwrapperbocenteranotbeck-btn"/>
            <w:color w:val="000000"/>
            <w:u w:val="single" w:color="000000"/>
          </w:rPr>
          <w:t>264</w:t>
        </w:r>
      </w:hyperlink>
      <w:r>
        <w:rPr>
          <w:color w:val="000000"/>
        </w:rPr>
        <w:t xml:space="preserve"> = </w:t>
      </w:r>
      <w:r>
        <w:rPr>
          <w:rStyle w:val="any"/>
          <w:color w:val="000000"/>
        </w:rPr>
        <w:t xml:space="preserve">NZG 2001, </w:t>
      </w:r>
      <w:hyperlink r:id="rId38" w:history="1">
        <w:r>
          <w:rPr>
            <w:rStyle w:val="bocontentwrapperbocenteranotbeck-btn"/>
            <w:color w:val="000000"/>
            <w:u w:val="single" w:color="000000"/>
          </w:rPr>
          <w:t>361</w:t>
        </w:r>
      </w:hyperlink>
      <w:r>
        <w:rPr>
          <w:color w:val="000000"/>
        </w:rPr>
        <w:t xml:space="preserve"> = </w:t>
      </w:r>
      <w:r>
        <w:rPr>
          <w:rStyle w:val="any"/>
          <w:color w:val="000000"/>
        </w:rPr>
        <w:t xml:space="preserve">NJW 2001, </w:t>
      </w:r>
      <w:hyperlink r:id="rId39" w:history="1">
        <w:r>
          <w:rPr>
            <w:rStyle w:val="bocontentwrapperbocenteranotbeck-btn"/>
            <w:color w:val="000000"/>
            <w:u w:val="single" w:color="000000"/>
          </w:rPr>
          <w:t>1280</w:t>
        </w:r>
      </w:hyperlink>
      <w:r>
        <w:rPr>
          <w:color w:val="000000"/>
        </w:rPr>
        <w:t xml:space="preserve"> vgl. auch die Besprechungen von </w:t>
      </w:r>
      <w:r>
        <w:rPr>
          <w:rStyle w:val="emitalicon"/>
          <w:color w:val="000000"/>
        </w:rPr>
        <w:t xml:space="preserve">Altmeppen, </w:t>
      </w:r>
      <w:r>
        <w:rPr>
          <w:rStyle w:val="any"/>
          <w:color w:val="000000"/>
        </w:rPr>
        <w:t xml:space="preserve">ZIP 2001, </w:t>
      </w:r>
      <w:hyperlink r:id="rId40" w:history="1">
        <w:r>
          <w:rPr>
            <w:rStyle w:val="bocontentwrapperbocenteranotbeck-btn"/>
            <w:color w:val="000000"/>
            <w:u w:val="single" w:color="000000"/>
          </w:rPr>
          <w:t>235</w:t>
        </w:r>
      </w:hyperlink>
      <w:r>
        <w:rPr>
          <w:color w:val="000000"/>
        </w:rPr>
        <w:t xml:space="preserve">; </w:t>
      </w:r>
      <w:r>
        <w:rPr>
          <w:rStyle w:val="emitalicon"/>
          <w:color w:val="000000"/>
        </w:rPr>
        <w:t xml:space="preserve">Fleischer, </w:t>
      </w:r>
      <w:r>
        <w:rPr>
          <w:rStyle w:val="any"/>
          <w:color w:val="000000"/>
        </w:rPr>
        <w:t xml:space="preserve">JZ 2001, </w:t>
      </w:r>
      <w:hyperlink r:id="rId41" w:history="1">
        <w:r>
          <w:rPr>
            <w:rStyle w:val="bocontentwrapperbocenteranotbeck-btn"/>
            <w:color w:val="000000"/>
            <w:u w:val="single" w:color="000000"/>
          </w:rPr>
          <w:t>1188</w:t>
        </w:r>
      </w:hyperlink>
      <w:r>
        <w:rPr>
          <w:color w:val="000000"/>
        </w:rPr>
        <w:t xml:space="preserve">; </w:t>
      </w:r>
      <w:r>
        <w:rPr>
          <w:rStyle w:val="emitalicon"/>
          <w:color w:val="000000"/>
        </w:rPr>
        <w:t xml:space="preserve">Goette, </w:t>
      </w:r>
      <w:r>
        <w:rPr>
          <w:rStyle w:val="any"/>
          <w:color w:val="000000"/>
        </w:rPr>
        <w:t xml:space="preserve">DStR 2001, </w:t>
      </w:r>
      <w:hyperlink r:id="rId42" w:history="1">
        <w:r>
          <w:rPr>
            <w:rStyle w:val="bocontentwrapperbocenteranotbeck-btn"/>
            <w:color w:val="000000"/>
            <w:u w:val="single" w:color="000000"/>
          </w:rPr>
          <w:t>175</w:t>
        </w:r>
      </w:hyperlink>
      <w:r>
        <w:rPr>
          <w:color w:val="000000"/>
        </w:rPr>
        <w:t xml:space="preserve">; </w:t>
      </w:r>
      <w:r>
        <w:rPr>
          <w:rStyle w:val="emitalicon"/>
          <w:color w:val="000000"/>
        </w:rPr>
        <w:t xml:space="preserve">Habersack/Mayer, </w:t>
      </w:r>
      <w:r>
        <w:rPr>
          <w:rStyle w:val="any"/>
          <w:color w:val="000000"/>
        </w:rPr>
        <w:t xml:space="preserve">NZG 2001, </w:t>
      </w:r>
      <w:hyperlink r:id="rId43" w:history="1">
        <w:r>
          <w:rPr>
            <w:rStyle w:val="bocontentwrapperbocenteranotbeck-btn"/>
            <w:color w:val="000000"/>
            <w:u w:val="single" w:color="000000"/>
          </w:rPr>
          <w:t>361</w:t>
        </w:r>
      </w:hyperlink>
      <w:r>
        <w:rPr>
          <w:color w:val="000000"/>
        </w:rPr>
        <w:t xml:space="preserve">; </w:t>
      </w:r>
      <w:r>
        <w:rPr>
          <w:rStyle w:val="emitalicon"/>
          <w:color w:val="000000"/>
        </w:rPr>
        <w:t xml:space="preserve">Kleindiek, </w:t>
      </w:r>
      <w:r>
        <w:rPr>
          <w:color w:val="000000"/>
        </w:rPr>
        <w:t xml:space="preserve">WuB H. 12/2001 II C. § 32a GmbH 5.01; </w:t>
      </w:r>
      <w:r>
        <w:rPr>
          <w:rStyle w:val="emitalicon"/>
          <w:color w:val="000000"/>
        </w:rPr>
        <w:t xml:space="preserve">W. Müller, </w:t>
      </w:r>
      <w:r>
        <w:rPr>
          <w:rStyle w:val="any"/>
          <w:color w:val="000000"/>
        </w:rPr>
        <w:t>LM H. 6/2001 § 30 GmbHG Nr. 73</w:t>
      </w:r>
      <w:r>
        <w:rPr>
          <w:color w:val="000000"/>
        </w:rPr>
        <w:t xml:space="preserve">; </w:t>
      </w:r>
      <w:r>
        <w:rPr>
          <w:rStyle w:val="emitalicon"/>
          <w:color w:val="000000"/>
        </w:rPr>
        <w:t xml:space="preserve">Priester, </w:t>
      </w:r>
      <w:r>
        <w:rPr>
          <w:color w:val="000000"/>
        </w:rPr>
        <w:t xml:space="preserve">EWiR § 32a GmbHG 1/01, 329 und </w:t>
      </w:r>
      <w:r>
        <w:rPr>
          <w:rStyle w:val="emitalicon"/>
          <w:color w:val="000000"/>
        </w:rPr>
        <w:t xml:space="preserve">Westermann, </w:t>
      </w:r>
      <w:r>
        <w:rPr>
          <w:color w:val="000000"/>
        </w:rPr>
        <w:t>DZWir 2001, 202.</w:t>
      </w:r>
    </w:p>
    <w:p w14:paraId="0F447494" w14:textId="77777777" w:rsidR="0000266C" w:rsidRDefault="00000000">
      <w:pPr>
        <w:pStyle w:val="printcontenth3"/>
        <w:spacing w:line="360" w:lineRule="auto"/>
        <w:ind w:left="150" w:right="150"/>
        <w:outlineLvl w:val="2"/>
        <w:rPr>
          <w:b/>
          <w:bCs/>
        </w:rPr>
      </w:pPr>
      <w:r>
        <w:rPr>
          <w:b/>
          <w:bCs/>
        </w:rPr>
        <w:t>Entscheidung zitiert in:</w:t>
      </w:r>
    </w:p>
    <w:p w14:paraId="5038F9DA" w14:textId="77777777" w:rsidR="0000266C" w:rsidRDefault="00000000">
      <w:pPr>
        <w:pStyle w:val="printcontentdivnotlawversion"/>
        <w:spacing w:line="360" w:lineRule="auto"/>
        <w:ind w:left="150" w:right="150"/>
      </w:pPr>
      <w:r>
        <w:t>Büchern | Beck'scher Bilanz-Kommentar, 14. A., 15. A. 2026 | Brandis/Heuermann, Ertragsteuerrecht, 181. EL Februar 2026 | Michalski GmbHG, 4. A. 2023 | Rechtsprechung | Verwaltungsvorschriften | Aufsätzen | Meldungen</w:t>
      </w:r>
    </w:p>
    <w:p w14:paraId="34D600DB" w14:textId="77777777" w:rsidR="0000266C" w:rsidRDefault="00000000">
      <w:pPr>
        <w:pStyle w:val="printcontenth3"/>
        <w:spacing w:line="360" w:lineRule="auto"/>
        <w:ind w:left="150" w:right="150"/>
        <w:outlineLvl w:val="2"/>
        <w:rPr>
          <w:b/>
          <w:bCs/>
        </w:rPr>
      </w:pPr>
      <w:r>
        <w:rPr>
          <w:b/>
          <w:bCs/>
        </w:rPr>
        <w:t>Parallelfundstellen:</w:t>
      </w:r>
    </w:p>
    <w:p w14:paraId="10EB912D" w14:textId="77777777" w:rsidR="0000266C" w:rsidRDefault="00000000">
      <w:pPr>
        <w:pStyle w:val="printcontentdivnotlawversion"/>
        <w:spacing w:line="360" w:lineRule="auto"/>
        <w:ind w:left="150" w:right="150"/>
      </w:pPr>
      <w:r>
        <w:t>Entscheidungen | NZI 2005, 351 | NJW-RR 2005, 766 | DStR 2005, 1150 | BeckRS 2005, 4271 | IBRRS 2005, 1344 | MittBayNot 2006, 164 (Ls.) | LSK 2005, 190372 (Ls.) | FHZivR 51 Nr. 5388 (Ls.) | Weitere Fundstellen | DB 2005, 996 | GmbHR 2005, 617 | GmbHR 2005, 617 (m. Anm. Dr. Jochen Blöse) | HFR 2005, 1025 | InVo 2005, 442 (m. Anm. Peter Schädel) | MDR 2005, 935 | MDR 2005, 937 | ZInsO 2005, 486 | ZIP 2005, 807</w:t>
      </w:r>
    </w:p>
    <w:p w14:paraId="382D26FE" w14:textId="7D487179" w:rsidR="0000266C" w:rsidRDefault="0000266C">
      <w:pPr>
        <w:pStyle w:val="tdm-long"/>
        <w:spacing w:before="225" w:after="2"/>
        <w:ind w:right="150"/>
        <w:rPr>
          <w:sz w:val="16"/>
          <w:szCs w:val="16"/>
        </w:rPr>
      </w:pPr>
    </w:p>
    <w:sectPr w:rsidR="0000266C">
      <w:headerReference w:type="even" r:id="rId44"/>
      <w:headerReference w:type="default" r:id="rId45"/>
      <w:headerReference w:type="first" r:id="rId46"/>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FEE129" w14:textId="77777777" w:rsidR="00A53C50" w:rsidRDefault="00A53C50">
      <w:r>
        <w:separator/>
      </w:r>
    </w:p>
  </w:endnote>
  <w:endnote w:type="continuationSeparator" w:id="0">
    <w:p w14:paraId="686FB5F6" w14:textId="77777777" w:rsidR="00A53C50" w:rsidRDefault="00A5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BDB38B" w14:textId="77777777" w:rsidR="00A53C50" w:rsidRDefault="00A53C50">
      <w:r>
        <w:separator/>
      </w:r>
    </w:p>
  </w:footnote>
  <w:footnote w:type="continuationSeparator" w:id="0">
    <w:p w14:paraId="02BCF8E5" w14:textId="77777777" w:rsidR="00A53C50" w:rsidRDefault="00A5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104C4D" w14:textId="77777777" w:rsidR="00B533EC" w:rsidRDefault="00B533E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DEAB90" w14:textId="455DF4A5" w:rsidR="0000266C" w:rsidRDefault="0000266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3C4C83" w14:textId="77777777" w:rsidR="00B533EC" w:rsidRDefault="00B533EC">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66C"/>
    <w:rsid w:val="0000266C"/>
    <w:rsid w:val="00A53C50"/>
    <w:rsid w:val="00B533EC"/>
    <w:rsid w:val="00CD38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08026"/>
  <w15:docId w15:val="{613119DB-515C-E14F-9704-31AA9C34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aufz">
    <w:name w:val="aufz"/>
    <w:basedOn w:val="Absatz-Standardschriftart"/>
  </w:style>
  <w:style w:type="character" w:customStyle="1" w:styleId="etyp">
    <w:name w:val="etyp"/>
    <w:basedOn w:val="Absatz-Standardschriftart"/>
    <w:rPr>
      <w:i w:val="0"/>
      <w:iCs w:val="0"/>
    </w:rPr>
  </w:style>
  <w:style w:type="paragraph" w:customStyle="1" w:styleId="printcontenth2">
    <w:name w:val="printcontent_h2"/>
    <w:basedOn w:val="Standard"/>
    <w:rPr>
      <w:color w:val="000000"/>
      <w:sz w:val="18"/>
      <w:szCs w:val="18"/>
    </w:rPr>
  </w:style>
  <w:style w:type="character" w:customStyle="1" w:styleId="emitalicon">
    <w:name w:val="em_italic_on"/>
    <w:basedOn w:val="em"/>
    <w:rPr>
      <w:i/>
      <w:iCs/>
    </w:rPr>
  </w:style>
  <w:style w:type="character" w:customStyle="1" w:styleId="em">
    <w:name w:val="em"/>
    <w:basedOn w:val="Absatz-Standardschriftart"/>
    <w:rPr>
      <w:i w:val="0"/>
      <w:iCs w:val="0"/>
    </w:rPr>
  </w:style>
  <w:style w:type="character" w:customStyle="1" w:styleId="emsmall">
    <w:name w:val="em_small"/>
    <w:basedOn w:val="em"/>
    <w:rPr>
      <w:i w:val="0"/>
      <w:iCs w:val="0"/>
      <w:sz w:val="24"/>
      <w:szCs w:val="24"/>
    </w:rPr>
  </w:style>
  <w:style w:type="paragraph" w:customStyle="1" w:styleId="divpgdescrpspantitel">
    <w:name w:val="div_pgdescr_p_span_titel"/>
    <w:basedOn w:val="Standard"/>
  </w:style>
  <w:style w:type="character" w:customStyle="1" w:styleId="citation">
    <w:name w:val="citation"/>
    <w:basedOn w:val="Absatz-Standardschriftart"/>
  </w:style>
  <w:style w:type="paragraph" w:customStyle="1" w:styleId="divpgdescrpspanEL">
    <w:name w:val="div_pgdescr_p_span_EL"/>
    <w:basedOn w:val="Standard"/>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B533EC"/>
    <w:pPr>
      <w:tabs>
        <w:tab w:val="center" w:pos="4536"/>
        <w:tab w:val="right" w:pos="9072"/>
      </w:tabs>
    </w:pPr>
  </w:style>
  <w:style w:type="character" w:customStyle="1" w:styleId="KopfzeileZchn">
    <w:name w:val="Kopfzeile Zchn"/>
    <w:basedOn w:val="Absatz-Standardschriftart"/>
    <w:link w:val="Kopfzeile"/>
    <w:uiPriority w:val="99"/>
    <w:rsid w:val="00B533EC"/>
    <w:rPr>
      <w:color w:val="141414"/>
      <w:sz w:val="22"/>
      <w:szCs w:val="22"/>
    </w:rPr>
  </w:style>
  <w:style w:type="paragraph" w:styleId="Fuzeile">
    <w:name w:val="footer"/>
    <w:basedOn w:val="Standard"/>
    <w:link w:val="FuzeileZchn"/>
    <w:uiPriority w:val="99"/>
    <w:unhideWhenUsed/>
    <w:rsid w:val="00B533EC"/>
    <w:pPr>
      <w:tabs>
        <w:tab w:val="center" w:pos="4536"/>
        <w:tab w:val="right" w:pos="9072"/>
      </w:tabs>
    </w:pPr>
  </w:style>
  <w:style w:type="character" w:customStyle="1" w:styleId="FuzeileZchn">
    <w:name w:val="Fußzeile Zchn"/>
    <w:basedOn w:val="Absatz-Standardschriftart"/>
    <w:link w:val="Fuzeile"/>
    <w:uiPriority w:val="99"/>
    <w:rsid w:val="00B533EC"/>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beck-online.beck.de/?typ=reference&amp;y=100&amp;g=GMBHG&amp;p=31&amp;x=I" TargetMode="External"/><Relationship Id="rId18" Type="http://schemas.openxmlformats.org/officeDocument/2006/relationships/hyperlink" Target="https://beck-online.beck.de/?typ=reference&amp;y=100&amp;g=GMBHG&amp;p=32A" TargetMode="External"/><Relationship Id="rId26" Type="http://schemas.openxmlformats.org/officeDocument/2006/relationships/hyperlink" Target="https://beck-online.beck.de/?typ=reference&amp;y=300&amp;z=NZG&amp;b=2001&amp;s=196" TargetMode="External"/><Relationship Id="rId39" Type="http://schemas.openxmlformats.org/officeDocument/2006/relationships/hyperlink" Target="https://beck-online.beck.de/?typ=reference&amp;y=300&amp;z=NJW&amp;b=2001&amp;s=1280" TargetMode="External"/><Relationship Id="rId21" Type="http://schemas.openxmlformats.org/officeDocument/2006/relationships/hyperlink" Target="https://beck-online.beck.de/?typ=reference&amp;y=300&amp;z=BGHZ&amp;b=125&amp;s=146" TargetMode="External"/><Relationship Id="rId34" Type="http://schemas.openxmlformats.org/officeDocument/2006/relationships/hyperlink" Target="https://beck-online.beck.de/?typ=reference&amp;y=300&amp;z=NJW&amp;b=1997&amp;s=3172" TargetMode="External"/><Relationship Id="rId42" Type="http://schemas.openxmlformats.org/officeDocument/2006/relationships/hyperlink" Target="https://beck-online.beck.de/?typ=reference&amp;y=300&amp;z=DSTR&amp;b=2001&amp;s=175" TargetMode="External"/><Relationship Id="rId47" Type="http://schemas.openxmlformats.org/officeDocument/2006/relationships/fontTable" Target="fontTable.xml"/><Relationship Id="rId7" Type="http://schemas.openxmlformats.org/officeDocument/2006/relationships/hyperlink" Target="https://beck-online.beck.de/?typ=reference&amp;y=100&amp;g=GMBHG&amp;p=31" TargetMode="External"/><Relationship Id="rId2" Type="http://schemas.openxmlformats.org/officeDocument/2006/relationships/settings" Target="settings.xml"/><Relationship Id="rId16" Type="http://schemas.openxmlformats.org/officeDocument/2006/relationships/hyperlink" Target="https://beck-online.beck.de/?typ=reference&amp;y=300&amp;z=BGHZ&amp;b=121&amp;s=31" TargetMode="External"/><Relationship Id="rId29" Type="http://schemas.openxmlformats.org/officeDocument/2006/relationships/hyperlink" Target="https://beck-online.beck.de/?typ=reference&amp;y=300&amp;z=ZIP&amp;b=2001&amp;s=243" TargetMode="External"/><Relationship Id="rId1" Type="http://schemas.openxmlformats.org/officeDocument/2006/relationships/styles" Target="styles.xml"/><Relationship Id="rId6" Type="http://schemas.openxmlformats.org/officeDocument/2006/relationships/hyperlink" Target="https://beck-online.beck.de/?typ=reference&amp;y=100&amp;g=GMBHG&amp;p=30" TargetMode="External"/><Relationship Id="rId11" Type="http://schemas.openxmlformats.org/officeDocument/2006/relationships/hyperlink" Target="https://beck-online.beck.de/?typ=reference&amp;y=100&amp;g=GMBHG&amp;p=30" TargetMode="External"/><Relationship Id="rId24" Type="http://schemas.openxmlformats.org/officeDocument/2006/relationships/hyperlink" Target="https://beck-online.beck.de/?typ=reference&amp;y=300&amp;z=BGHZ&amp;b=146&amp;s=264" TargetMode="External"/><Relationship Id="rId32" Type="http://schemas.openxmlformats.org/officeDocument/2006/relationships/hyperlink" Target="https://beck-online.beck.de/?typ=reference&amp;y=300&amp;z=ZIP&amp;b=2001&amp;s=839" TargetMode="External"/><Relationship Id="rId37" Type="http://schemas.openxmlformats.org/officeDocument/2006/relationships/hyperlink" Target="https://beck-online.beck.de/?typ=reference&amp;y=300&amp;z=BGHZ&amp;b=146&amp;s=264" TargetMode="External"/><Relationship Id="rId40" Type="http://schemas.openxmlformats.org/officeDocument/2006/relationships/hyperlink" Target="https://beck-online.beck.de/?typ=reference&amp;y=300&amp;z=ZIP&amp;b=2001&amp;s=235" TargetMode="External"/><Relationship Id="rId45"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hyperlink" Target="https://beck-online.beck.de/?typ=reference&amp;y=300&amp;z=NJW&amp;b=1990&amp;s=516" TargetMode="External"/><Relationship Id="rId23" Type="http://schemas.openxmlformats.org/officeDocument/2006/relationships/hyperlink" Target="https://beck-online.beck.de/?typ=reference&amp;y=300&amp;z=WIB&amp;b=1994&amp;s=432" TargetMode="External"/><Relationship Id="rId28" Type="http://schemas.openxmlformats.org/officeDocument/2006/relationships/hyperlink" Target="https://beck-online.beck.de/?typ=reference&amp;y=300&amp;z=ZIP&amp;b=2001&amp;s=242" TargetMode="External"/><Relationship Id="rId36" Type="http://schemas.openxmlformats.org/officeDocument/2006/relationships/hyperlink" Target="https://beck-online.beck.de/?typ=reference&amp;y=300&amp;z=NJW&amp;b=1998&amp;s=1144" TargetMode="External"/><Relationship Id="rId10" Type="http://schemas.openxmlformats.org/officeDocument/2006/relationships/hyperlink" Target="https://beck-online.beck.de/?typ=reference&amp;y=100&amp;g=GMBHG&amp;p=32A&amp;x=I" TargetMode="External"/><Relationship Id="rId19" Type="http://schemas.openxmlformats.org/officeDocument/2006/relationships/hyperlink" Target="https://beck-online.beck.de/?typ=reference&amp;y=100&amp;g=GMBHG&amp;p=32A&amp;x=I" TargetMode="External"/><Relationship Id="rId31" Type="http://schemas.openxmlformats.org/officeDocument/2006/relationships/hyperlink" Target="https://beck-online.beck.de/?typ=reference&amp;y=300&amp;z=NZG&amp;b=2001&amp;s=562" TargetMode="External"/><Relationship Id="rId44"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beck-online.beck.de/?typ=reference&amp;y=100&amp;g=GMBHG&amp;p=32A" TargetMode="External"/><Relationship Id="rId14" Type="http://schemas.openxmlformats.org/officeDocument/2006/relationships/hyperlink" Target="https://beck-online.beck.de/?typ=reference&amp;y=300&amp;z=BGHZ&amp;b=109&amp;s=55" TargetMode="External"/><Relationship Id="rId22" Type="http://schemas.openxmlformats.org/officeDocument/2006/relationships/hyperlink" Target="https://beck-online.beck.de/?typ=reference&amp;y=300&amp;z=NJW-RR&amp;b=1994&amp;s=932" TargetMode="External"/><Relationship Id="rId27" Type="http://schemas.openxmlformats.org/officeDocument/2006/relationships/hyperlink" Target="https://beck-online.beck.de/?typ=reference&amp;y=300&amp;z=NZG&amp;b=2001&amp;s=222" TargetMode="External"/><Relationship Id="rId30" Type="http://schemas.openxmlformats.org/officeDocument/2006/relationships/hyperlink" Target="https://beck-online.beck.de/?typ=reference&amp;y=300&amp;z=NJW-RR&amp;b=2001&amp;s=1043" TargetMode="External"/><Relationship Id="rId35" Type="http://schemas.openxmlformats.org/officeDocument/2006/relationships/hyperlink" Target="https://beck-online.beck.de/?typ=reference&amp;y=300&amp;z=NJW&amp;b=1998&amp;s=1143" TargetMode="External"/><Relationship Id="rId43" Type="http://schemas.openxmlformats.org/officeDocument/2006/relationships/hyperlink" Target="https://beck-online.beck.de/?typ=reference&amp;y=300&amp;z=NZG&amp;b=2001&amp;s=361" TargetMode="External"/><Relationship Id="rId48" Type="http://schemas.openxmlformats.org/officeDocument/2006/relationships/theme" Target="theme/theme1.xml"/><Relationship Id="rId8" Type="http://schemas.openxmlformats.org/officeDocument/2006/relationships/hyperlink" Target="https://beck-online.beck.de/?typ=reference&amp;y=100&amp;g=GMBHG&amp;p=32A" TargetMode="External"/><Relationship Id="rId3" Type="http://schemas.openxmlformats.org/officeDocument/2006/relationships/webSettings" Target="webSettings.xml"/><Relationship Id="rId12" Type="http://schemas.openxmlformats.org/officeDocument/2006/relationships/hyperlink" Target="https://beck-online.beck.de/?typ=reference&amp;y=100&amp;g=GMBHG&amp;p=31" TargetMode="External"/><Relationship Id="rId17" Type="http://schemas.openxmlformats.org/officeDocument/2006/relationships/hyperlink" Target="https://beck-online.beck.de/?typ=reference&amp;y=300&amp;z=NJW&amp;b=1993&amp;s=392" TargetMode="External"/><Relationship Id="rId25" Type="http://schemas.openxmlformats.org/officeDocument/2006/relationships/hyperlink" Target="https://beck-online.beck.de/?typ=reference&amp;y=300&amp;z=BGHZ&amp;b=146&amp;s=267" TargetMode="External"/><Relationship Id="rId33" Type="http://schemas.openxmlformats.org/officeDocument/2006/relationships/hyperlink" Target="https://beck-online.beck.de/?typ=reference&amp;y=300&amp;z=NJW&amp;b=1997&amp;s=3171" TargetMode="External"/><Relationship Id="rId38" Type="http://schemas.openxmlformats.org/officeDocument/2006/relationships/hyperlink" Target="https://beck-online.beck.de/?typ=reference&amp;y=300&amp;z=NZG&amp;b=2001&amp;s=361" TargetMode="External"/><Relationship Id="rId46" Type="http://schemas.openxmlformats.org/officeDocument/2006/relationships/header" Target="header3.xml"/><Relationship Id="rId20" Type="http://schemas.openxmlformats.org/officeDocument/2006/relationships/hyperlink" Target="https://beck-online.beck.de/?typ=reference&amp;y=300&amp;z=BGHZ&amp;b=125&amp;s=141" TargetMode="External"/><Relationship Id="rId41" Type="http://schemas.openxmlformats.org/officeDocument/2006/relationships/hyperlink" Target="https://beck-online.beck.de/?typ=reference&amp;y=300&amp;z=JZ&amp;b=2001&amp;s=11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1961</Words>
  <Characters>11983</Characters>
  <Application>Microsoft Office Word</Application>
  <DocSecurity>0</DocSecurity>
  <Lines>187</Lines>
  <Paragraphs>39</Paragraphs>
  <ScaleCrop>false</ScaleCrop>
  <Company/>
  <LinksUpToDate>false</LinksUpToDate>
  <CharactersWithSpaces>13905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Darlegungs- und Beweislast für Unternehmenskrise und Insolvenzreife wegen Überschuldung - Steuern und Bilanzen</dc:title>
  <dc:creator>beck-online.beck.de</dc:creator>
  <cp:lastModifiedBy>Martin Otten</cp:lastModifiedBy>
  <cp:revision>2</cp:revision>
  <dcterms:created xsi:type="dcterms:W3CDTF">2026-06-30T09:33:00Z</dcterms:created>
  <dcterms:modified xsi:type="dcterms:W3CDTF">2026-06-30T09:33:00Z</dcterms:modified>
</cp:coreProperties>
</file>