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DB9ED7" w14:textId="77777777" w:rsidR="001E2000" w:rsidRPr="001E2000" w:rsidRDefault="001E2000" w:rsidP="001E2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1E2000">
        <w:rPr>
          <w:rFonts w:ascii="Times New Roman" w:eastAsia="Times New Roman" w:hAnsi="Times New Roman" w:cs="Times New Roman"/>
          <w:b/>
          <w:bCs/>
          <w:kern w:val="36"/>
          <w:sz w:val="48"/>
          <w:szCs w:val="48"/>
          <w:lang w:eastAsia="de-DE"/>
          <w14:ligatures w14:val="none"/>
        </w:rPr>
        <w:t>Schadensersatzhaftung des GmbH-Geschäftsführers wegen Insolvenzverschleppung und der Wegfall des Quotenschadens beim Neugläubiger</w:t>
      </w:r>
    </w:p>
    <w:p w14:paraId="4F698056" w14:textId="77777777" w:rsidR="001E2000" w:rsidRPr="001E2000" w:rsidRDefault="001E2000" w:rsidP="001E2000">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E2000">
        <w:rPr>
          <w:rFonts w:ascii="Times New Roman" w:eastAsia="Times New Roman" w:hAnsi="Times New Roman" w:cs="Times New Roman"/>
          <w:b/>
          <w:bCs/>
          <w:kern w:val="0"/>
          <w:sz w:val="36"/>
          <w:szCs w:val="36"/>
          <w:lang w:eastAsia="de-DE"/>
          <w14:ligatures w14:val="none"/>
        </w:rPr>
        <w:t>A. Sachverhalt und Verfahrensgang der Leitentscheidung BGH, Urteil vom 06.06.1994 – II ZR 292/91</w:t>
      </w:r>
    </w:p>
    <w:p w14:paraId="1D6D421B"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Die Entscheidung erging zu einem klassischen Lieferantenfall. Der Beklagte war Geschäftsführer und seit 1985 Alleingesellschafter einer 1981 mit einem Stammkapital von 50.000 DM gegründeten Handels-GmbH.</w:t>
      </w:r>
      <w:r w:rsidRPr="001E2000">
        <w:rPr>
          <w:rFonts w:ascii="Times New Roman" w:eastAsia="Times New Roman" w:hAnsi="Times New Roman" w:cs="Times New Roman"/>
          <w:kern w:val="0"/>
          <w:vertAlign w:val="superscript"/>
          <w:lang w:eastAsia="de-DE"/>
          <w14:ligatures w14:val="none"/>
        </w:rPr>
        <w:t>1</w:t>
      </w:r>
      <w:r w:rsidRPr="001E2000">
        <w:rPr>
          <w:rFonts w:ascii="Times New Roman" w:eastAsia="Times New Roman" w:hAnsi="Times New Roman" w:cs="Times New Roman"/>
          <w:kern w:val="0"/>
          <w:lang w:eastAsia="de-DE"/>
          <w14:ligatures w14:val="none"/>
        </w:rPr>
        <w:t xml:space="preserve"> Im Dezember 1985 und Januar 1986 bestellte er namens der GmbH bei der Klägerin Waren im Gesamtwert von 98.236,22 DM, die unter Eigentumsvorbehalt geliefert wurden; auf seinen Antrag vom 27.03.1986 wurde am 25.04.1986 das Konkursverfahren eröffnet.</w:t>
      </w:r>
      <w:r w:rsidRPr="001E2000">
        <w:rPr>
          <w:rFonts w:ascii="Times New Roman" w:eastAsia="Times New Roman" w:hAnsi="Times New Roman" w:cs="Times New Roman"/>
          <w:kern w:val="0"/>
          <w:vertAlign w:val="superscript"/>
          <w:lang w:eastAsia="de-DE"/>
          <w14:ligatures w14:val="none"/>
        </w:rPr>
        <w:t>1</w:t>
      </w:r>
      <w:r w:rsidRPr="001E2000">
        <w:rPr>
          <w:rFonts w:ascii="Times New Roman" w:eastAsia="Times New Roman" w:hAnsi="Times New Roman" w:cs="Times New Roman"/>
          <w:kern w:val="0"/>
          <w:lang w:eastAsia="de-DE"/>
          <w14:ligatures w14:val="none"/>
        </w:rPr>
        <w:t xml:space="preserve"> Nach Aussonderung verblieb der Klägerin eine Ausfallforderung von 90.276,11 DM, die sie als Schadensersatz gegen den Geschäftsführer persönlich geltend machte mit der Behauptung, die GmbH sei bereits 1985 überschuldet und zahlungsunfähig gewesen, was der Beklagte gekannt habe.</w:t>
      </w:r>
      <w:r w:rsidRPr="001E2000">
        <w:rPr>
          <w:rFonts w:ascii="Times New Roman" w:eastAsia="Times New Roman" w:hAnsi="Times New Roman" w:cs="Times New Roman"/>
          <w:kern w:val="0"/>
          <w:vertAlign w:val="superscript"/>
          <w:lang w:eastAsia="de-DE"/>
          <w14:ligatures w14:val="none"/>
        </w:rPr>
        <w:t>1</w:t>
      </w:r>
    </w:p>
    <w:p w14:paraId="038DB7A4"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Prozessual ist der Gang bemerkenswert: Das Landgericht wies die Klage ab, das Berufungsgericht gab ihr statt, und der BGH hob das Berufungsurteil auf und verwies zurück.</w:t>
      </w:r>
      <w:r w:rsidRPr="001E2000">
        <w:rPr>
          <w:rFonts w:ascii="Times New Roman" w:eastAsia="Times New Roman" w:hAnsi="Times New Roman" w:cs="Times New Roman"/>
          <w:kern w:val="0"/>
          <w:vertAlign w:val="superscript"/>
          <w:lang w:eastAsia="de-DE"/>
          <w14:ligatures w14:val="none"/>
        </w:rPr>
        <w:t>1</w:t>
      </w:r>
      <w:r w:rsidRPr="001E2000">
        <w:rPr>
          <w:rFonts w:ascii="Times New Roman" w:eastAsia="Times New Roman" w:hAnsi="Times New Roman" w:cs="Times New Roman"/>
          <w:kern w:val="0"/>
          <w:lang w:eastAsia="de-DE"/>
          <w14:ligatures w14:val="none"/>
        </w:rPr>
        <w:t xml:space="preserve"> Die Aufhebung beruhte indes nicht auf der – im Ergebnis bejahten – Haftungsgrundlage, sondern auf </w:t>
      </w:r>
      <w:r w:rsidRPr="001E2000">
        <w:rPr>
          <w:rFonts w:ascii="Times New Roman" w:eastAsia="Times New Roman" w:hAnsi="Times New Roman" w:cs="Times New Roman"/>
          <w:b/>
          <w:bCs/>
          <w:kern w:val="0"/>
          <w:lang w:eastAsia="de-DE"/>
          <w14:ligatures w14:val="none"/>
        </w:rPr>
        <w:t>verfahrensfehlerhaften Tatsachenfeststellungen</w:t>
      </w:r>
      <w:r w:rsidRPr="001E2000">
        <w:rPr>
          <w:rFonts w:ascii="Times New Roman" w:eastAsia="Times New Roman" w:hAnsi="Times New Roman" w:cs="Times New Roman"/>
          <w:kern w:val="0"/>
          <w:lang w:eastAsia="de-DE"/>
          <w14:ligatures w14:val="none"/>
        </w:rPr>
        <w:t xml:space="preserve"> zur Überschuldung (dazu unten E.).</w:t>
      </w:r>
      <w:r w:rsidRPr="001E2000">
        <w:rPr>
          <w:rFonts w:ascii="Times New Roman" w:eastAsia="Times New Roman" w:hAnsi="Times New Roman" w:cs="Times New Roman"/>
          <w:kern w:val="0"/>
          <w:vertAlign w:val="superscript"/>
          <w:lang w:eastAsia="de-DE"/>
          <w14:ligatures w14:val="none"/>
        </w:rPr>
        <w:t>2</w:t>
      </w:r>
    </w:p>
    <w:p w14:paraId="6ECABA09" w14:textId="77777777" w:rsidR="001E2000" w:rsidRPr="001E2000" w:rsidRDefault="001E2000" w:rsidP="001E2000">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E2000">
        <w:rPr>
          <w:rFonts w:ascii="Times New Roman" w:eastAsia="Times New Roman" w:hAnsi="Times New Roman" w:cs="Times New Roman"/>
          <w:b/>
          <w:bCs/>
          <w:kern w:val="0"/>
          <w:sz w:val="36"/>
          <w:szCs w:val="36"/>
          <w:lang w:eastAsia="de-DE"/>
          <w14:ligatures w14:val="none"/>
        </w:rPr>
        <w:t>B. Ablehnung der bisherigen Haftungsfiguren (c.i.c.) – die dogmatische Weichenstellung</w:t>
      </w:r>
    </w:p>
    <w:p w14:paraId="724FD298"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Das Berufungsgericht hatte die Haftung auf </w:t>
      </w:r>
      <w:r w:rsidRPr="001E2000">
        <w:rPr>
          <w:rFonts w:ascii="Times New Roman" w:eastAsia="Times New Roman" w:hAnsi="Times New Roman" w:cs="Times New Roman"/>
          <w:b/>
          <w:bCs/>
          <w:kern w:val="0"/>
          <w:lang w:eastAsia="de-DE"/>
          <w14:ligatures w14:val="none"/>
        </w:rPr>
        <w:t>Verschulden bei Vertragsschluss</w:t>
      </w:r>
      <w:r w:rsidRPr="001E2000">
        <w:rPr>
          <w:rFonts w:ascii="Times New Roman" w:eastAsia="Times New Roman" w:hAnsi="Times New Roman" w:cs="Times New Roman"/>
          <w:kern w:val="0"/>
          <w:lang w:eastAsia="de-DE"/>
          <w14:ligatures w14:val="none"/>
        </w:rPr>
        <w:t xml:space="preserve"> wegen wirtschaftlichen Eigeninteresses des Geschäftsführers gestützt, weil dieser zur Absicherung von Bankverbindlichkeiten Lebensversicherungsrechte abgetreten, ein Festgeldguthaben verpfändet und sich in Höhe von 250.000 DM verbürgt hatte. Dem ist der Senat ausdrücklich entgegengetreten: Die bloße Stellung von Sicherheiten aus dem Privatvermögen rechtfertigt </w:t>
      </w:r>
      <w:r w:rsidRPr="001E2000">
        <w:rPr>
          <w:rFonts w:ascii="Times New Roman" w:eastAsia="Times New Roman" w:hAnsi="Times New Roman" w:cs="Times New Roman"/>
          <w:b/>
          <w:bCs/>
          <w:kern w:val="0"/>
          <w:lang w:eastAsia="de-DE"/>
          <w14:ligatures w14:val="none"/>
        </w:rPr>
        <w:t>keine</w:t>
      </w:r>
      <w:r w:rsidRPr="001E2000">
        <w:rPr>
          <w:rFonts w:ascii="Times New Roman" w:eastAsia="Times New Roman" w:hAnsi="Times New Roman" w:cs="Times New Roman"/>
          <w:kern w:val="0"/>
          <w:lang w:eastAsia="de-DE"/>
          <w14:ligatures w14:val="none"/>
        </w:rPr>
        <w:t xml:space="preserve"> persönliche Eigenhaftung des Geschäftsführers nach den Grundsätzen der Vertreterhaftung wegen wirtschaftlichen Eigeninteresses.</w:t>
      </w:r>
      <w:r w:rsidRPr="001E2000">
        <w:rPr>
          <w:rFonts w:ascii="Times New Roman" w:eastAsia="Times New Roman" w:hAnsi="Times New Roman" w:cs="Times New Roman"/>
          <w:kern w:val="0"/>
          <w:vertAlign w:val="superscript"/>
          <w:lang w:eastAsia="de-DE"/>
          <w14:ligatures w14:val="none"/>
        </w:rPr>
        <w:t>3</w:t>
      </w:r>
      <w:r w:rsidRPr="001E2000">
        <w:rPr>
          <w:rFonts w:ascii="Times New Roman" w:eastAsia="Times New Roman" w:hAnsi="Times New Roman" w:cs="Times New Roman"/>
          <w:kern w:val="0"/>
          <w:lang w:eastAsia="de-DE"/>
          <w14:ligatures w14:val="none"/>
        </w:rPr>
        <w:t xml:space="preserve"> Setzt der Gesellschafter neben der Kapitalbeteiligung Privatvermögen als Sicherheit ein, werden diese Leistungen in der Krise den Kapitalersatzregeln (§§ 32a, 32b GmbHG, §§ 30 f. GmbHG analog) unterworfen; darin erschöpft sich die Belastung, das übrige Privatvermögen bleibt dem Gläubigerzugriff entzogen.</w:t>
      </w:r>
      <w:r w:rsidRPr="001E2000">
        <w:rPr>
          <w:rFonts w:ascii="Times New Roman" w:eastAsia="Times New Roman" w:hAnsi="Times New Roman" w:cs="Times New Roman"/>
          <w:kern w:val="0"/>
          <w:vertAlign w:val="superscript"/>
          <w:lang w:eastAsia="de-DE"/>
          <w14:ligatures w14:val="none"/>
        </w:rPr>
        <w:t>4</w:t>
      </w:r>
      <w:r w:rsidRPr="001E2000">
        <w:rPr>
          <w:rFonts w:ascii="Times New Roman" w:eastAsia="Times New Roman" w:hAnsi="Times New Roman" w:cs="Times New Roman"/>
          <w:kern w:val="0"/>
          <w:lang w:eastAsia="de-DE"/>
          <w14:ligatures w14:val="none"/>
        </w:rPr>
        <w:t xml:space="preserve"> Dies hat in den ersten amtlichen Leitsatz Eingang gefunden.</w:t>
      </w:r>
      <w:r w:rsidRPr="001E2000">
        <w:rPr>
          <w:rFonts w:ascii="Times New Roman" w:eastAsia="Times New Roman" w:hAnsi="Times New Roman" w:cs="Times New Roman"/>
          <w:kern w:val="0"/>
          <w:vertAlign w:val="superscript"/>
          <w:lang w:eastAsia="de-DE"/>
          <w14:ligatures w14:val="none"/>
        </w:rPr>
        <w:t>5</w:t>
      </w:r>
    </w:p>
    <w:p w14:paraId="7B4EFDA3"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Auch die Haftung wegen Inanspruchnahme </w:t>
      </w:r>
      <w:r w:rsidRPr="001E2000">
        <w:rPr>
          <w:rFonts w:ascii="Times New Roman" w:eastAsia="Times New Roman" w:hAnsi="Times New Roman" w:cs="Times New Roman"/>
          <w:b/>
          <w:bCs/>
          <w:kern w:val="0"/>
          <w:lang w:eastAsia="de-DE"/>
          <w14:ligatures w14:val="none"/>
        </w:rPr>
        <w:t>besonderen persönlichen Vertrauens</w:t>
      </w:r>
      <w:r w:rsidRPr="001E2000">
        <w:rPr>
          <w:rFonts w:ascii="Times New Roman" w:eastAsia="Times New Roman" w:hAnsi="Times New Roman" w:cs="Times New Roman"/>
          <w:kern w:val="0"/>
          <w:lang w:eastAsia="de-DE"/>
          <w14:ligatures w14:val="none"/>
        </w:rPr>
        <w:t xml:space="preserve"> lehnte der Senat ab: Der Geschäftsführer nimmt bei Vertragsverhandlungen grundsätzlich nur das normale Verhandlungsvertrauen in Anspruch; eine richterrechtliche „Repräsentantenhaftung“ für die Verletzung von Solvenzaufklärungspflichten würde die gesetzliche Haftungsgrundlage des § 64 GmbHG verdrängen und sei deshalb weder erforderlich noch legitimiert.</w:t>
      </w:r>
      <w:r w:rsidRPr="001E2000">
        <w:rPr>
          <w:rFonts w:ascii="Times New Roman" w:eastAsia="Times New Roman" w:hAnsi="Times New Roman" w:cs="Times New Roman"/>
          <w:kern w:val="0"/>
          <w:vertAlign w:val="superscript"/>
          <w:lang w:eastAsia="de-DE"/>
          <w14:ligatures w14:val="none"/>
        </w:rPr>
        <w:t>6</w:t>
      </w:r>
      <w:r w:rsidRPr="001E2000">
        <w:rPr>
          <w:rFonts w:ascii="Times New Roman" w:eastAsia="Times New Roman" w:hAnsi="Times New Roman" w:cs="Times New Roman"/>
          <w:kern w:val="0"/>
          <w:lang w:eastAsia="de-DE"/>
          <w14:ligatures w14:val="none"/>
        </w:rPr>
        <w:t xml:space="preserve"> Damit </w:t>
      </w:r>
      <w:r w:rsidRPr="001E2000">
        <w:rPr>
          <w:rFonts w:ascii="Times New Roman" w:eastAsia="Times New Roman" w:hAnsi="Times New Roman" w:cs="Times New Roman"/>
          <w:kern w:val="0"/>
          <w:lang w:eastAsia="de-DE"/>
          <w14:ligatures w14:val="none"/>
        </w:rPr>
        <w:lastRenderedPageBreak/>
        <w:t>kanalisierte der Senat die Neugläubigerproblematik bewusst weg von der c.i.c. und hin zum Deliktsrecht.</w:t>
      </w:r>
    </w:p>
    <w:p w14:paraId="20655020" w14:textId="77777777" w:rsidR="001E2000" w:rsidRPr="001E2000" w:rsidRDefault="001E2000" w:rsidP="001E2000">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E2000">
        <w:rPr>
          <w:rFonts w:ascii="Times New Roman" w:eastAsia="Times New Roman" w:hAnsi="Times New Roman" w:cs="Times New Roman"/>
          <w:b/>
          <w:bCs/>
          <w:kern w:val="0"/>
          <w:sz w:val="36"/>
          <w:szCs w:val="36"/>
          <w:lang w:eastAsia="de-DE"/>
          <w14:ligatures w14:val="none"/>
        </w:rPr>
        <w:t>C. Die zentrale Aussage: § 64 Abs. 1 GmbHG (heute § 15a InsO) als Schutzgesetz und der Wegfall des Quotenschadens beim Neugläubiger</w:t>
      </w:r>
    </w:p>
    <w:p w14:paraId="69BFA37B" w14:textId="77777777" w:rsidR="001E2000" w:rsidRPr="001E2000" w:rsidRDefault="001E2000" w:rsidP="001E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1E2000">
        <w:rPr>
          <w:rFonts w:ascii="Times New Roman" w:eastAsia="Times New Roman" w:hAnsi="Times New Roman" w:cs="Times New Roman"/>
          <w:b/>
          <w:bCs/>
          <w:kern w:val="0"/>
          <w:sz w:val="27"/>
          <w:szCs w:val="27"/>
          <w:lang w:eastAsia="de-DE"/>
          <w14:ligatures w14:val="none"/>
        </w:rPr>
        <w:t>I. Schutzgesetzcharakter und Pflichtinhalt</w:t>
      </w:r>
    </w:p>
    <w:p w14:paraId="77EF86F0"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Nach § 64 Abs. 1 GmbHG a.F. hatte der Geschäftsführer bei Zahlungsunfähigkeit oder Überschuldung unverzüglich, spätestens binnen drei Wochen, die Konkurseröffnung zu beantragen; die Vorschrift ist seit langem anerkanntes </w:t>
      </w:r>
      <w:r w:rsidRPr="001E2000">
        <w:rPr>
          <w:rFonts w:ascii="Times New Roman" w:eastAsia="Times New Roman" w:hAnsi="Times New Roman" w:cs="Times New Roman"/>
          <w:b/>
          <w:bCs/>
          <w:kern w:val="0"/>
          <w:lang w:eastAsia="de-DE"/>
          <w14:ligatures w14:val="none"/>
        </w:rPr>
        <w:t>Schutzgesetz i.S.d. § 823 Abs. 2 Bürgerliches Gesetzbuch (BGB)</w:t>
      </w:r>
      <w:r w:rsidRPr="001E2000">
        <w:rPr>
          <w:rFonts w:ascii="Times New Roman" w:eastAsia="Times New Roman" w:hAnsi="Times New Roman" w:cs="Times New Roman"/>
          <w:kern w:val="0"/>
          <w:lang w:eastAsia="de-DE"/>
          <w14:ligatures w14:val="none"/>
        </w:rPr>
        <w:t xml:space="preserve"> zugunsten der Gesellschaftsgläubiger.</w:t>
      </w:r>
      <w:r w:rsidRPr="001E2000">
        <w:rPr>
          <w:rFonts w:ascii="Times New Roman" w:eastAsia="Times New Roman" w:hAnsi="Times New Roman" w:cs="Times New Roman"/>
          <w:kern w:val="0"/>
          <w:vertAlign w:val="superscript"/>
          <w:lang w:eastAsia="de-DE"/>
          <w14:ligatures w14:val="none"/>
        </w:rPr>
        <w:t>6</w:t>
      </w:r>
      <w:r w:rsidRPr="001E2000">
        <w:rPr>
          <w:rFonts w:ascii="Times New Roman" w:eastAsia="Times New Roman" w:hAnsi="Times New Roman" w:cs="Times New Roman"/>
          <w:kern w:val="0"/>
          <w:lang w:eastAsia="de-DE"/>
          <w14:ligatures w14:val="none"/>
        </w:rPr>
        <w:t xml:space="preserve"> Die Antragspflicht ist mit Wirkung ab 01.11.2008 rechtsformneutral in </w:t>
      </w:r>
      <w:r w:rsidRPr="001E2000">
        <w:rPr>
          <w:rFonts w:ascii="Times New Roman" w:eastAsia="Times New Roman" w:hAnsi="Times New Roman" w:cs="Times New Roman"/>
          <w:b/>
          <w:bCs/>
          <w:kern w:val="0"/>
          <w:lang w:eastAsia="de-DE"/>
          <w14:ligatures w14:val="none"/>
        </w:rPr>
        <w:t>§ 15a Insolvenzordnung (InsO)</w:t>
      </w:r>
      <w:r w:rsidRPr="001E2000">
        <w:rPr>
          <w:rFonts w:ascii="Times New Roman" w:eastAsia="Times New Roman" w:hAnsi="Times New Roman" w:cs="Times New Roman"/>
          <w:kern w:val="0"/>
          <w:lang w:eastAsia="de-DE"/>
          <w14:ligatures w14:val="none"/>
        </w:rPr>
        <w:t xml:space="preserve"> überführt worden; der Schutzgesetzcharakter und die Haftungsgrundsätze gelten fort, sodass die zu § 64 Abs. 1 GmbHG a.F. entwickelten Maßstäbe unverändert auf § 15a InsO anzuwenden sind.</w:t>
      </w:r>
      <w:r w:rsidRPr="001E2000">
        <w:rPr>
          <w:rFonts w:ascii="Times New Roman" w:eastAsia="Times New Roman" w:hAnsi="Times New Roman" w:cs="Times New Roman"/>
          <w:kern w:val="0"/>
          <w:vertAlign w:val="superscript"/>
          <w:lang w:eastAsia="de-DE"/>
          <w14:ligatures w14:val="none"/>
        </w:rPr>
        <w:t>3</w:t>
      </w:r>
      <w:r w:rsidRPr="001E2000">
        <w:rPr>
          <w:rFonts w:ascii="Times New Roman" w:eastAsia="Times New Roman" w:hAnsi="Times New Roman" w:cs="Times New Roman"/>
          <w:kern w:val="0"/>
          <w:lang w:eastAsia="de-DE"/>
          <w14:ligatures w14:val="none"/>
        </w:rPr>
        <w:t xml:space="preserve"> Tatbestandlich setzt der Anspruch voraus, dass kein Insolvenzantrag gestellt wurde, obwohl </w:t>
      </w:r>
      <w:r w:rsidRPr="001E2000">
        <w:rPr>
          <w:rFonts w:ascii="Times New Roman" w:eastAsia="Times New Roman" w:hAnsi="Times New Roman" w:cs="Times New Roman"/>
          <w:b/>
          <w:bCs/>
          <w:kern w:val="0"/>
          <w:lang w:eastAsia="de-DE"/>
          <w14:ligatures w14:val="none"/>
        </w:rPr>
        <w:t>Zahlungsunfähigkeit (§ 17 Abs. 2 InsO)</w:t>
      </w:r>
      <w:r w:rsidRPr="001E2000">
        <w:rPr>
          <w:rFonts w:ascii="Times New Roman" w:eastAsia="Times New Roman" w:hAnsi="Times New Roman" w:cs="Times New Roman"/>
          <w:kern w:val="0"/>
          <w:lang w:eastAsia="de-DE"/>
          <w14:ligatures w14:val="none"/>
        </w:rPr>
        <w:t xml:space="preserve"> oder </w:t>
      </w:r>
      <w:r w:rsidRPr="001E2000">
        <w:rPr>
          <w:rFonts w:ascii="Times New Roman" w:eastAsia="Times New Roman" w:hAnsi="Times New Roman" w:cs="Times New Roman"/>
          <w:b/>
          <w:bCs/>
          <w:kern w:val="0"/>
          <w:lang w:eastAsia="de-DE"/>
          <w14:ligatures w14:val="none"/>
        </w:rPr>
        <w:t>Überschuldung (§ 19 InsO)</w:t>
      </w:r>
      <w:r w:rsidRPr="001E2000">
        <w:rPr>
          <w:rFonts w:ascii="Times New Roman" w:eastAsia="Times New Roman" w:hAnsi="Times New Roman" w:cs="Times New Roman"/>
          <w:kern w:val="0"/>
          <w:lang w:eastAsia="de-DE"/>
          <w14:ligatures w14:val="none"/>
        </w:rPr>
        <w:t xml:space="preserve"> vorlag; bloß drohende Zahlungsunfähigkeit genügt nicht.</w:t>
      </w:r>
      <w:r w:rsidRPr="001E2000">
        <w:rPr>
          <w:rFonts w:ascii="Times New Roman" w:eastAsia="Times New Roman" w:hAnsi="Times New Roman" w:cs="Times New Roman"/>
          <w:kern w:val="0"/>
          <w:vertAlign w:val="superscript"/>
          <w:lang w:eastAsia="de-DE"/>
          <w14:ligatures w14:val="none"/>
        </w:rPr>
        <w:t>6</w:t>
      </w:r>
      <w:r w:rsidRPr="001E2000">
        <w:rPr>
          <w:rFonts w:ascii="Times New Roman" w:eastAsia="Times New Roman" w:hAnsi="Times New Roman" w:cs="Times New Roman"/>
          <w:kern w:val="0"/>
          <w:lang w:eastAsia="de-DE"/>
          <w14:ligatures w14:val="none"/>
        </w:rPr>
        <w:t xml:space="preserve"> </w:t>
      </w:r>
      <w:r w:rsidRPr="001E2000">
        <w:rPr>
          <w:rFonts w:ascii="Times New Roman" w:eastAsia="Times New Roman" w:hAnsi="Times New Roman" w:cs="Times New Roman"/>
          <w:kern w:val="0"/>
          <w:vertAlign w:val="superscript"/>
          <w:lang w:eastAsia="de-DE"/>
          <w14:ligatures w14:val="none"/>
        </w:rPr>
        <w:t>7</w:t>
      </w:r>
    </w:p>
    <w:p w14:paraId="3B189C8D" w14:textId="77777777" w:rsidR="001E2000" w:rsidRPr="001E2000" w:rsidRDefault="001E2000" w:rsidP="001E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1E2000">
        <w:rPr>
          <w:rFonts w:ascii="Times New Roman" w:eastAsia="Times New Roman" w:hAnsi="Times New Roman" w:cs="Times New Roman"/>
          <w:b/>
          <w:bCs/>
          <w:kern w:val="0"/>
          <w:sz w:val="27"/>
          <w:szCs w:val="27"/>
          <w:lang w:eastAsia="de-DE"/>
          <w14:ligatures w14:val="none"/>
        </w:rPr>
        <w:t>II. Die dogmatische Wende: Aufgabe von BGHZ 29, 100 für Neugläubiger</w:t>
      </w:r>
    </w:p>
    <w:p w14:paraId="3A3A8E56"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Der eigentliche Bedeutungsgehalt der Entscheidung liegt in der </w:t>
      </w:r>
      <w:r w:rsidRPr="001E2000">
        <w:rPr>
          <w:rFonts w:ascii="Times New Roman" w:eastAsia="Times New Roman" w:hAnsi="Times New Roman" w:cs="Times New Roman"/>
          <w:b/>
          <w:bCs/>
          <w:kern w:val="0"/>
          <w:lang w:eastAsia="de-DE"/>
          <w14:ligatures w14:val="none"/>
        </w:rPr>
        <w:t>Aufgabe der bisherigen Quotenschadenslehre</w:t>
      </w:r>
      <w:r w:rsidRPr="001E2000">
        <w:rPr>
          <w:rFonts w:ascii="Times New Roman" w:eastAsia="Times New Roman" w:hAnsi="Times New Roman" w:cs="Times New Roman"/>
          <w:kern w:val="0"/>
          <w:lang w:eastAsia="de-DE"/>
          <w14:ligatures w14:val="none"/>
        </w:rPr>
        <w:t xml:space="preserve"> für die Gruppe der Neugläubiger (Aufgabe von BGHZ 29, 100).</w:t>
      </w:r>
      <w:r w:rsidRPr="001E2000">
        <w:rPr>
          <w:rFonts w:ascii="Times New Roman" w:eastAsia="Times New Roman" w:hAnsi="Times New Roman" w:cs="Times New Roman"/>
          <w:kern w:val="0"/>
          <w:vertAlign w:val="superscript"/>
          <w:lang w:eastAsia="de-DE"/>
          <w14:ligatures w14:val="none"/>
        </w:rPr>
        <w:t>5</w:t>
      </w:r>
      <w:r w:rsidRPr="001E2000">
        <w:rPr>
          <w:rFonts w:ascii="Times New Roman" w:eastAsia="Times New Roman" w:hAnsi="Times New Roman" w:cs="Times New Roman"/>
          <w:kern w:val="0"/>
          <w:lang w:eastAsia="de-DE"/>
          <w14:ligatures w14:val="none"/>
        </w:rPr>
        <w:t xml:space="preserve"> </w:t>
      </w:r>
      <w:r w:rsidRPr="001E2000">
        <w:rPr>
          <w:rFonts w:ascii="Times New Roman" w:eastAsia="Times New Roman" w:hAnsi="Times New Roman" w:cs="Times New Roman"/>
          <w:kern w:val="0"/>
          <w:vertAlign w:val="superscript"/>
          <w:lang w:eastAsia="de-DE"/>
          <w14:ligatures w14:val="none"/>
        </w:rPr>
        <w:t>7</w:t>
      </w:r>
      <w:r w:rsidRPr="001E2000">
        <w:rPr>
          <w:rFonts w:ascii="Times New Roman" w:eastAsia="Times New Roman" w:hAnsi="Times New Roman" w:cs="Times New Roman"/>
          <w:kern w:val="0"/>
          <w:lang w:eastAsia="de-DE"/>
          <w14:ligatures w14:val="none"/>
        </w:rPr>
        <w:t xml:space="preserve"> Bis dahin galt einheitlich, dass alle Gläubiger – auch die erst nach Insolvenzreife hinzutretenden – nur den </w:t>
      </w:r>
      <w:r w:rsidRPr="001E2000">
        <w:rPr>
          <w:rFonts w:ascii="Times New Roman" w:eastAsia="Times New Roman" w:hAnsi="Times New Roman" w:cs="Times New Roman"/>
          <w:b/>
          <w:bCs/>
          <w:kern w:val="0"/>
          <w:lang w:eastAsia="de-DE"/>
          <w14:ligatures w14:val="none"/>
        </w:rPr>
        <w:t>Quotenschaden</w:t>
      </w:r>
      <w:r w:rsidRPr="001E2000">
        <w:rPr>
          <w:rFonts w:ascii="Times New Roman" w:eastAsia="Times New Roman" w:hAnsi="Times New Roman" w:cs="Times New Roman"/>
          <w:kern w:val="0"/>
          <w:lang w:eastAsia="de-DE"/>
          <w14:ligatures w14:val="none"/>
        </w:rPr>
        <w:t xml:space="preserve"> ersetzt verlangen konnten, also den Betrag, um den sich die bei rechtzeitiger Antragstellung erzielbare Quote durch die Verzögerung verringert hatte. Der Senat begründet die Differenzierung mit der unterschiedlichen Risikolage: Hätte der Geschäftsführer rechtzeitig Antrag gestellt, wären die Neugläubiger gar nicht erst in die Gläubigerstellung gelangt, hätten keinen Vertrag geschlossen, keinen Kredit gewährt und damit keinen Schaden erlitten.</w:t>
      </w:r>
      <w:r w:rsidRPr="001E2000">
        <w:rPr>
          <w:rFonts w:ascii="Times New Roman" w:eastAsia="Times New Roman" w:hAnsi="Times New Roman" w:cs="Times New Roman"/>
          <w:kern w:val="0"/>
          <w:vertAlign w:val="superscript"/>
          <w:lang w:eastAsia="de-DE"/>
          <w14:ligatures w14:val="none"/>
        </w:rPr>
        <w:t>1</w:t>
      </w:r>
    </w:p>
    <w:p w14:paraId="73734D29"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Tragend ist die </w:t>
      </w:r>
      <w:r w:rsidRPr="001E2000">
        <w:rPr>
          <w:rFonts w:ascii="Times New Roman" w:eastAsia="Times New Roman" w:hAnsi="Times New Roman" w:cs="Times New Roman"/>
          <w:b/>
          <w:bCs/>
          <w:kern w:val="0"/>
          <w:lang w:eastAsia="de-DE"/>
          <w14:ligatures w14:val="none"/>
        </w:rPr>
        <w:t>Schutzzweckerwägung</w:t>
      </w:r>
      <w:r w:rsidRPr="001E2000">
        <w:rPr>
          <w:rFonts w:ascii="Times New Roman" w:eastAsia="Times New Roman" w:hAnsi="Times New Roman" w:cs="Times New Roman"/>
          <w:kern w:val="0"/>
          <w:lang w:eastAsia="de-DE"/>
          <w14:ligatures w14:val="none"/>
        </w:rPr>
        <w:t>: Das Verbot der Insolvenzverschleppung dient nicht nur der Erhaltung des Gesellschaftsvermögens, sondern auch dem Zweck, insolvenzreife Gesellschaften mit beschränktem Haftungsfonds vom Geschäftsverkehr fernzuhalten, damit durch ihr Auftreten nicht Gläubiger geschädigt oder gefährdet werden.</w:t>
      </w:r>
      <w:r w:rsidRPr="001E2000">
        <w:rPr>
          <w:rFonts w:ascii="Times New Roman" w:eastAsia="Times New Roman" w:hAnsi="Times New Roman" w:cs="Times New Roman"/>
          <w:kern w:val="0"/>
          <w:vertAlign w:val="superscript"/>
          <w:lang w:eastAsia="de-DE"/>
          <w14:ligatures w14:val="none"/>
        </w:rPr>
        <w:t>7</w:t>
      </w:r>
      <w:r w:rsidRPr="001E2000">
        <w:rPr>
          <w:rFonts w:ascii="Times New Roman" w:eastAsia="Times New Roman" w:hAnsi="Times New Roman" w:cs="Times New Roman"/>
          <w:kern w:val="0"/>
          <w:lang w:eastAsia="de-DE"/>
          <w14:ligatures w14:val="none"/>
        </w:rPr>
        <w:t xml:space="preserve"> Diesen weitergehenden Zweck des Absatzes 1 hatte die frühere Sicht nur dem öffentlichen Interesse zugeordnet und den Neugläubiger als bloßen „Teil der Allgemeinheit“ behandelt; dem trat der Senat entgegen und billigte den Neugläubigern einen </w:t>
      </w:r>
      <w:r w:rsidRPr="001E2000">
        <w:rPr>
          <w:rFonts w:ascii="Times New Roman" w:eastAsia="Times New Roman" w:hAnsi="Times New Roman" w:cs="Times New Roman"/>
          <w:b/>
          <w:bCs/>
          <w:kern w:val="0"/>
          <w:lang w:eastAsia="de-DE"/>
          <w14:ligatures w14:val="none"/>
        </w:rPr>
        <w:t>Individualschadensersatzanspruch</w:t>
      </w:r>
      <w:r w:rsidRPr="001E2000">
        <w:rPr>
          <w:rFonts w:ascii="Times New Roman" w:eastAsia="Times New Roman" w:hAnsi="Times New Roman" w:cs="Times New Roman"/>
          <w:kern w:val="0"/>
          <w:lang w:eastAsia="de-DE"/>
          <w14:ligatures w14:val="none"/>
        </w:rPr>
        <w:t xml:space="preserve"> zu.</w:t>
      </w:r>
      <w:r w:rsidRPr="001E2000">
        <w:rPr>
          <w:rFonts w:ascii="Times New Roman" w:eastAsia="Times New Roman" w:hAnsi="Times New Roman" w:cs="Times New Roman"/>
          <w:kern w:val="0"/>
          <w:vertAlign w:val="superscript"/>
          <w:lang w:eastAsia="de-DE"/>
          <w14:ligatures w14:val="none"/>
        </w:rPr>
        <w:t>8</w:t>
      </w:r>
      <w:r w:rsidRPr="001E2000">
        <w:rPr>
          <w:rFonts w:ascii="Times New Roman" w:eastAsia="Times New Roman" w:hAnsi="Times New Roman" w:cs="Times New Roman"/>
          <w:kern w:val="0"/>
          <w:lang w:eastAsia="de-DE"/>
          <w14:ligatures w14:val="none"/>
        </w:rPr>
        <w:t xml:space="preserve"> Praktisch verstärkt wurde dies durch die „beängstigenden Schwierigkeiten der Schadensschätzung“ beim Quotenschaden, dessen Berechnung als „juristische Spielerei“ und „praktisch undurchführbar“ kritisiert worden war und die Haftungsnorm faktisch außer Kraft setzte.</w:t>
      </w:r>
    </w:p>
    <w:p w14:paraId="29640885" w14:textId="77777777" w:rsidR="001E2000" w:rsidRPr="001E2000" w:rsidRDefault="001E2000" w:rsidP="001E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1E2000">
        <w:rPr>
          <w:rFonts w:ascii="Times New Roman" w:eastAsia="Times New Roman" w:hAnsi="Times New Roman" w:cs="Times New Roman"/>
          <w:b/>
          <w:bCs/>
          <w:kern w:val="0"/>
          <w:sz w:val="27"/>
          <w:szCs w:val="27"/>
          <w:lang w:eastAsia="de-DE"/>
          <w14:ligatures w14:val="none"/>
        </w:rPr>
        <w:t>III. Heutiger Stand: gefestigte Zwei-Gruppen-Dogmatik</w:t>
      </w:r>
    </w:p>
    <w:p w14:paraId="7DA79C12"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Die Differenzierung ist heute ganz herrschende Auffassung und seit den beiden Leitentscheidungen der Neunzigerjahre Grundlage der gesamten Insolvenzverschleppungshaftung.</w:t>
      </w:r>
      <w:r w:rsidRPr="001E2000">
        <w:rPr>
          <w:rFonts w:ascii="Times New Roman" w:eastAsia="Times New Roman" w:hAnsi="Times New Roman" w:cs="Times New Roman"/>
          <w:kern w:val="0"/>
          <w:vertAlign w:val="superscript"/>
          <w:lang w:eastAsia="de-DE"/>
          <w14:ligatures w14:val="none"/>
        </w:rPr>
        <w:t>2</w:t>
      </w:r>
      <w:r w:rsidRPr="001E2000">
        <w:rPr>
          <w:rFonts w:ascii="Times New Roman" w:eastAsia="Times New Roman" w:hAnsi="Times New Roman" w:cs="Times New Roman"/>
          <w:kern w:val="0"/>
          <w:lang w:eastAsia="de-DE"/>
          <w14:ligatures w14:val="none"/>
        </w:rPr>
        <w:t xml:space="preserve"> Auf der </w:t>
      </w:r>
      <w:r w:rsidRPr="001E2000">
        <w:rPr>
          <w:rFonts w:ascii="Times New Roman" w:eastAsia="Times New Roman" w:hAnsi="Times New Roman" w:cs="Times New Roman"/>
          <w:b/>
          <w:bCs/>
          <w:kern w:val="0"/>
          <w:lang w:eastAsia="de-DE"/>
          <w14:ligatures w14:val="none"/>
        </w:rPr>
        <w:t>Rechtsfolgenseite</w:t>
      </w:r>
      <w:r w:rsidRPr="001E2000">
        <w:rPr>
          <w:rFonts w:ascii="Times New Roman" w:eastAsia="Times New Roman" w:hAnsi="Times New Roman" w:cs="Times New Roman"/>
          <w:kern w:val="0"/>
          <w:lang w:eastAsia="de-DE"/>
          <w14:ligatures w14:val="none"/>
        </w:rPr>
        <w:t xml:space="preserve"> ist zu unterscheiden:</w:t>
      </w:r>
      <w:r w:rsidRPr="001E2000">
        <w:rPr>
          <w:rFonts w:ascii="Times New Roman" w:eastAsia="Times New Roman" w:hAnsi="Times New Roman" w:cs="Times New Roman"/>
          <w:kern w:val="0"/>
          <w:vertAlign w:val="superscript"/>
          <w:lang w:eastAsia="de-DE"/>
          <w14:ligatures w14:val="none"/>
        </w:rPr>
        <w:t>9</w:t>
      </w:r>
    </w:p>
    <w:p w14:paraId="221B62DD" w14:textId="77777777" w:rsidR="001E2000" w:rsidRPr="001E2000" w:rsidRDefault="001E2000" w:rsidP="001E2000">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b/>
          <w:bCs/>
          <w:kern w:val="0"/>
          <w:lang w:eastAsia="de-DE"/>
          <w14:ligatures w14:val="none"/>
        </w:rPr>
        <w:lastRenderedPageBreak/>
        <w:t>Altgläubiger</w:t>
      </w:r>
      <w:r w:rsidRPr="001E2000">
        <w:rPr>
          <w:rFonts w:ascii="Times New Roman" w:eastAsia="Times New Roman" w:hAnsi="Times New Roman" w:cs="Times New Roman"/>
          <w:kern w:val="0"/>
          <w:lang w:eastAsia="de-DE"/>
          <w14:ligatures w14:val="none"/>
        </w:rPr>
        <w:t xml:space="preserve"> – Gläubiger, deren Forderung bereits bei Eintritt der Antragspflicht bestand – können nur den </w:t>
      </w:r>
      <w:r w:rsidRPr="001E2000">
        <w:rPr>
          <w:rFonts w:ascii="Times New Roman" w:eastAsia="Times New Roman" w:hAnsi="Times New Roman" w:cs="Times New Roman"/>
          <w:b/>
          <w:bCs/>
          <w:kern w:val="0"/>
          <w:lang w:eastAsia="de-DE"/>
          <w14:ligatures w14:val="none"/>
        </w:rPr>
        <w:t>Quoten(verringerungs)schaden</w:t>
      </w:r>
      <w:r w:rsidRPr="001E2000">
        <w:rPr>
          <w:rFonts w:ascii="Times New Roman" w:eastAsia="Times New Roman" w:hAnsi="Times New Roman" w:cs="Times New Roman"/>
          <w:kern w:val="0"/>
          <w:lang w:eastAsia="de-DE"/>
          <w14:ligatures w14:val="none"/>
        </w:rPr>
        <w:t xml:space="preserve"> verlangen, also die Differenz zwischen der bei rechtzeitiger Antragstellung erzielbaren Soll-Quote und der tatsächlichen Ist-Quote.</w:t>
      </w:r>
      <w:r w:rsidRPr="001E2000">
        <w:rPr>
          <w:rFonts w:ascii="Times New Roman" w:eastAsia="Times New Roman" w:hAnsi="Times New Roman" w:cs="Times New Roman"/>
          <w:kern w:val="0"/>
          <w:vertAlign w:val="superscript"/>
          <w:lang w:eastAsia="de-DE"/>
          <w14:ligatures w14:val="none"/>
        </w:rPr>
        <w:t>9</w:t>
      </w:r>
      <w:r w:rsidRPr="001E2000">
        <w:rPr>
          <w:rFonts w:ascii="Times New Roman" w:eastAsia="Times New Roman" w:hAnsi="Times New Roman" w:cs="Times New Roman"/>
          <w:kern w:val="0"/>
          <w:lang w:eastAsia="de-DE"/>
          <w14:ligatures w14:val="none"/>
        </w:rPr>
        <w:t xml:space="preserve"> </w:t>
      </w:r>
      <w:r w:rsidRPr="001E2000">
        <w:rPr>
          <w:rFonts w:ascii="Times New Roman" w:eastAsia="Times New Roman" w:hAnsi="Times New Roman" w:cs="Times New Roman"/>
          <w:kern w:val="0"/>
          <w:vertAlign w:val="superscript"/>
          <w:lang w:eastAsia="de-DE"/>
          <w14:ligatures w14:val="none"/>
        </w:rPr>
        <w:t>10</w:t>
      </w:r>
      <w:r w:rsidRPr="001E2000">
        <w:rPr>
          <w:rFonts w:ascii="Times New Roman" w:eastAsia="Times New Roman" w:hAnsi="Times New Roman" w:cs="Times New Roman"/>
          <w:kern w:val="0"/>
          <w:lang w:eastAsia="de-DE"/>
          <w14:ligatures w14:val="none"/>
        </w:rPr>
        <w:t xml:space="preserve"> Dieser Schaden ist ein </w:t>
      </w:r>
      <w:r w:rsidRPr="001E2000">
        <w:rPr>
          <w:rFonts w:ascii="Times New Roman" w:eastAsia="Times New Roman" w:hAnsi="Times New Roman" w:cs="Times New Roman"/>
          <w:b/>
          <w:bCs/>
          <w:kern w:val="0"/>
          <w:lang w:eastAsia="de-DE"/>
          <w14:ligatures w14:val="none"/>
        </w:rPr>
        <w:t>Gesamtschaden i.S.d. § 92 InsO</w:t>
      </w:r>
      <w:r w:rsidRPr="001E2000">
        <w:rPr>
          <w:rFonts w:ascii="Times New Roman" w:eastAsia="Times New Roman" w:hAnsi="Times New Roman" w:cs="Times New Roman"/>
          <w:kern w:val="0"/>
          <w:lang w:eastAsia="de-DE"/>
          <w14:ligatures w14:val="none"/>
        </w:rPr>
        <w:t xml:space="preserve"> und wird während des Verfahrens allein vom Insolvenzverwalter zur Masse gezogen.</w:t>
      </w:r>
      <w:r w:rsidRPr="001E2000">
        <w:rPr>
          <w:rFonts w:ascii="Times New Roman" w:eastAsia="Times New Roman" w:hAnsi="Times New Roman" w:cs="Times New Roman"/>
          <w:kern w:val="0"/>
          <w:vertAlign w:val="superscript"/>
          <w:lang w:eastAsia="de-DE"/>
          <w14:ligatures w14:val="none"/>
        </w:rPr>
        <w:t>10</w:t>
      </w:r>
    </w:p>
    <w:p w14:paraId="0FAC8996" w14:textId="77777777" w:rsidR="001E2000" w:rsidRPr="001E2000" w:rsidRDefault="001E2000" w:rsidP="001E2000">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b/>
          <w:bCs/>
          <w:kern w:val="0"/>
          <w:lang w:eastAsia="de-DE"/>
          <w14:ligatures w14:val="none"/>
        </w:rPr>
        <w:t>Neugläubiger</w:t>
      </w:r>
      <w:r w:rsidRPr="001E2000">
        <w:rPr>
          <w:rFonts w:ascii="Times New Roman" w:eastAsia="Times New Roman" w:hAnsi="Times New Roman" w:cs="Times New Roman"/>
          <w:kern w:val="0"/>
          <w:lang w:eastAsia="de-DE"/>
          <w14:ligatures w14:val="none"/>
        </w:rPr>
        <w:t xml:space="preserve"> – Gläubiger, die erst nach Eintritt der Antragspflicht kontrahiert haben – erhalten ihren vollen, nicht durch den Quotenschaden begrenzten </w:t>
      </w:r>
      <w:r w:rsidRPr="001E2000">
        <w:rPr>
          <w:rFonts w:ascii="Times New Roman" w:eastAsia="Times New Roman" w:hAnsi="Times New Roman" w:cs="Times New Roman"/>
          <w:b/>
          <w:bCs/>
          <w:kern w:val="0"/>
          <w:lang w:eastAsia="de-DE"/>
          <w14:ligatures w14:val="none"/>
        </w:rPr>
        <w:t>Individualschaden</w:t>
      </w:r>
      <w:r w:rsidRPr="001E2000">
        <w:rPr>
          <w:rFonts w:ascii="Times New Roman" w:eastAsia="Times New Roman" w:hAnsi="Times New Roman" w:cs="Times New Roman"/>
          <w:kern w:val="0"/>
          <w:lang w:eastAsia="de-DE"/>
          <w14:ligatures w14:val="none"/>
        </w:rPr>
        <w:t xml:space="preserve"> und machen diesen als </w:t>
      </w:r>
      <w:r w:rsidRPr="001E2000">
        <w:rPr>
          <w:rFonts w:ascii="Times New Roman" w:eastAsia="Times New Roman" w:hAnsi="Times New Roman" w:cs="Times New Roman"/>
          <w:b/>
          <w:bCs/>
          <w:kern w:val="0"/>
          <w:lang w:eastAsia="de-DE"/>
          <w14:ligatures w14:val="none"/>
        </w:rPr>
        <w:t>Einzelschaden selbst</w:t>
      </w:r>
      <w:r w:rsidRPr="001E2000">
        <w:rPr>
          <w:rFonts w:ascii="Times New Roman" w:eastAsia="Times New Roman" w:hAnsi="Times New Roman" w:cs="Times New Roman"/>
          <w:kern w:val="0"/>
          <w:lang w:eastAsia="de-DE"/>
          <w14:ligatures w14:val="none"/>
        </w:rPr>
        <w:t xml:space="preserve"> geltend, auch während eines laufenden Insolvenzverfahrens; der Verwalter ist insoweit nicht aktivlegitimiert.</w:t>
      </w:r>
      <w:r w:rsidRPr="001E2000">
        <w:rPr>
          <w:rFonts w:ascii="Times New Roman" w:eastAsia="Times New Roman" w:hAnsi="Times New Roman" w:cs="Times New Roman"/>
          <w:kern w:val="0"/>
          <w:vertAlign w:val="superscript"/>
          <w:lang w:eastAsia="de-DE"/>
          <w14:ligatures w14:val="none"/>
        </w:rPr>
        <w:t>4</w:t>
      </w:r>
      <w:r w:rsidRPr="001E2000">
        <w:rPr>
          <w:rFonts w:ascii="Times New Roman" w:eastAsia="Times New Roman" w:hAnsi="Times New Roman" w:cs="Times New Roman"/>
          <w:kern w:val="0"/>
          <w:lang w:eastAsia="de-DE"/>
          <w14:ligatures w14:val="none"/>
        </w:rPr>
        <w:t xml:space="preserve"> </w:t>
      </w:r>
      <w:r w:rsidRPr="001E2000">
        <w:rPr>
          <w:rFonts w:ascii="Times New Roman" w:eastAsia="Times New Roman" w:hAnsi="Times New Roman" w:cs="Times New Roman"/>
          <w:kern w:val="0"/>
          <w:vertAlign w:val="superscript"/>
          <w:lang w:eastAsia="de-DE"/>
          <w14:ligatures w14:val="none"/>
        </w:rPr>
        <w:t>7</w:t>
      </w:r>
    </w:p>
    <w:p w14:paraId="6926F60A"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Für die Abgrenzung – insbesondere bei Dauerschuldverhältnissen und Kontokorrentkrediten – kommt es nicht zwingend auf die Begründung des Vertragsverhältnisses an, sondern auf Art und Umfang des durch die Verschleppung entstandenen Schadens; eine Bank ist nur insoweit Neugläubigerin (Kreditgewährungsschaden), wie sich ihr Saldo in der Verschleppungsphase erhöht hat.</w:t>
      </w:r>
      <w:r w:rsidRPr="001E2000">
        <w:rPr>
          <w:rFonts w:ascii="Times New Roman" w:eastAsia="Times New Roman" w:hAnsi="Times New Roman" w:cs="Times New Roman"/>
          <w:kern w:val="0"/>
          <w:vertAlign w:val="superscript"/>
          <w:lang w:eastAsia="de-DE"/>
          <w14:ligatures w14:val="none"/>
        </w:rPr>
        <w:t>9</w:t>
      </w:r>
    </w:p>
    <w:p w14:paraId="16B9C077" w14:textId="77777777" w:rsidR="001E2000" w:rsidRPr="001E2000" w:rsidRDefault="001E2000" w:rsidP="001E2000">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E2000">
        <w:rPr>
          <w:rFonts w:ascii="Times New Roman" w:eastAsia="Times New Roman" w:hAnsi="Times New Roman" w:cs="Times New Roman"/>
          <w:b/>
          <w:bCs/>
          <w:kern w:val="0"/>
          <w:sz w:val="36"/>
          <w:szCs w:val="36"/>
          <w:lang w:eastAsia="de-DE"/>
          <w14:ligatures w14:val="none"/>
        </w:rPr>
        <w:t>D. Inhalt und Umfang des Neugläubigerschadens</w:t>
      </w:r>
    </w:p>
    <w:p w14:paraId="6F195F1B" w14:textId="77777777" w:rsidR="001E2000" w:rsidRPr="001E2000" w:rsidRDefault="001E2000" w:rsidP="001E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1E2000">
        <w:rPr>
          <w:rFonts w:ascii="Times New Roman" w:eastAsia="Times New Roman" w:hAnsi="Times New Roman" w:cs="Times New Roman"/>
          <w:b/>
          <w:bCs/>
          <w:kern w:val="0"/>
          <w:sz w:val="27"/>
          <w:szCs w:val="27"/>
          <w:lang w:eastAsia="de-DE"/>
          <w14:ligatures w14:val="none"/>
        </w:rPr>
        <w:t>I. Negatives Interesse, nicht Erfüllungsinteresse</w:t>
      </w:r>
    </w:p>
    <w:p w14:paraId="3B6292C2"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Der ersatzfähige Schaden des Neugläubigers besteht </w:t>
      </w:r>
      <w:r w:rsidRPr="001E2000">
        <w:rPr>
          <w:rFonts w:ascii="Times New Roman" w:eastAsia="Times New Roman" w:hAnsi="Times New Roman" w:cs="Times New Roman"/>
          <w:b/>
          <w:bCs/>
          <w:kern w:val="0"/>
          <w:lang w:eastAsia="de-DE"/>
          <w14:ligatures w14:val="none"/>
        </w:rPr>
        <w:t>nicht</w:t>
      </w:r>
      <w:r w:rsidRPr="001E2000">
        <w:rPr>
          <w:rFonts w:ascii="Times New Roman" w:eastAsia="Times New Roman" w:hAnsi="Times New Roman" w:cs="Times New Roman"/>
          <w:kern w:val="0"/>
          <w:lang w:eastAsia="de-DE"/>
          <w14:ligatures w14:val="none"/>
        </w:rPr>
        <w:t xml:space="preserve"> im insolvenzbedingt „entwerteten“ Erfüllungsanspruch – dieser zielt auf das deliktsrechtlich grundsätzlich nicht geschützte positive Interesse –, sondern auf das </w:t>
      </w:r>
      <w:r w:rsidRPr="001E2000">
        <w:rPr>
          <w:rFonts w:ascii="Times New Roman" w:eastAsia="Times New Roman" w:hAnsi="Times New Roman" w:cs="Times New Roman"/>
          <w:b/>
          <w:bCs/>
          <w:kern w:val="0"/>
          <w:lang w:eastAsia="de-DE"/>
          <w14:ligatures w14:val="none"/>
        </w:rPr>
        <w:t>negative Interesse (Vertrauensschaden)</w:t>
      </w:r>
      <w:r w:rsidRPr="001E2000">
        <w:rPr>
          <w:rFonts w:ascii="Times New Roman" w:eastAsia="Times New Roman" w:hAnsi="Times New Roman" w:cs="Times New Roman"/>
          <w:kern w:val="0"/>
          <w:lang w:eastAsia="de-DE"/>
          <w14:ligatures w14:val="none"/>
        </w:rPr>
        <w:t>.</w:t>
      </w:r>
      <w:r w:rsidRPr="001E2000">
        <w:rPr>
          <w:rFonts w:ascii="Times New Roman" w:eastAsia="Times New Roman" w:hAnsi="Times New Roman" w:cs="Times New Roman"/>
          <w:kern w:val="0"/>
          <w:vertAlign w:val="superscript"/>
          <w:lang w:eastAsia="de-DE"/>
          <w14:ligatures w14:val="none"/>
        </w:rPr>
        <w:t>4</w:t>
      </w:r>
      <w:r w:rsidRPr="001E2000">
        <w:rPr>
          <w:rFonts w:ascii="Times New Roman" w:eastAsia="Times New Roman" w:hAnsi="Times New Roman" w:cs="Times New Roman"/>
          <w:kern w:val="0"/>
          <w:lang w:eastAsia="de-DE"/>
          <w14:ligatures w14:val="none"/>
        </w:rPr>
        <w:t xml:space="preserve"> </w:t>
      </w:r>
      <w:r w:rsidRPr="001E2000">
        <w:rPr>
          <w:rFonts w:ascii="Times New Roman" w:eastAsia="Times New Roman" w:hAnsi="Times New Roman" w:cs="Times New Roman"/>
          <w:kern w:val="0"/>
          <w:vertAlign w:val="superscript"/>
          <w:lang w:eastAsia="de-DE"/>
          <w14:ligatures w14:val="none"/>
        </w:rPr>
        <w:t>11</w:t>
      </w:r>
      <w:r w:rsidRPr="001E2000">
        <w:rPr>
          <w:rFonts w:ascii="Times New Roman" w:eastAsia="Times New Roman" w:hAnsi="Times New Roman" w:cs="Times New Roman"/>
          <w:kern w:val="0"/>
          <w:lang w:eastAsia="de-DE"/>
          <w14:ligatures w14:val="none"/>
        </w:rPr>
        <w:t xml:space="preserve"> Der Geschädigte ist so zu stellen, wie er stünde, wenn der Geschäftsführer rechtzeitig Antrag gestellt hätte und der Neugläubiger keine Vertragsbeziehung eingegangen wäre.</w:t>
      </w:r>
      <w:r w:rsidRPr="001E2000">
        <w:rPr>
          <w:rFonts w:ascii="Times New Roman" w:eastAsia="Times New Roman" w:hAnsi="Times New Roman" w:cs="Times New Roman"/>
          <w:kern w:val="0"/>
          <w:vertAlign w:val="superscript"/>
          <w:lang w:eastAsia="de-DE"/>
          <w14:ligatures w14:val="none"/>
        </w:rPr>
        <w:t>4</w:t>
      </w:r>
      <w:r w:rsidRPr="001E2000">
        <w:rPr>
          <w:rFonts w:ascii="Times New Roman" w:eastAsia="Times New Roman" w:hAnsi="Times New Roman" w:cs="Times New Roman"/>
          <w:kern w:val="0"/>
          <w:lang w:eastAsia="de-DE"/>
          <w14:ligatures w14:val="none"/>
        </w:rPr>
        <w:t xml:space="preserve"> Ersatzfähig sind etwa Vorleistungen, Waren- und Lohnkosten oder Aufwendungen, die infolge des Vertragsschlusses mit der insolvenzreifen Gesellschaft erbracht wurden.</w:t>
      </w:r>
      <w:r w:rsidRPr="001E2000">
        <w:rPr>
          <w:rFonts w:ascii="Times New Roman" w:eastAsia="Times New Roman" w:hAnsi="Times New Roman" w:cs="Times New Roman"/>
          <w:kern w:val="0"/>
          <w:vertAlign w:val="superscript"/>
          <w:lang w:eastAsia="de-DE"/>
          <w14:ligatures w14:val="none"/>
        </w:rPr>
        <w:t>4</w:t>
      </w:r>
      <w:r w:rsidRPr="001E2000">
        <w:rPr>
          <w:rFonts w:ascii="Times New Roman" w:eastAsia="Times New Roman" w:hAnsi="Times New Roman" w:cs="Times New Roman"/>
          <w:kern w:val="0"/>
          <w:lang w:eastAsia="de-DE"/>
          <w14:ligatures w14:val="none"/>
        </w:rPr>
        <w:t xml:space="preserve"> </w:t>
      </w:r>
      <w:r w:rsidRPr="001E2000">
        <w:rPr>
          <w:rFonts w:ascii="Times New Roman" w:eastAsia="Times New Roman" w:hAnsi="Times New Roman" w:cs="Times New Roman"/>
          <w:kern w:val="0"/>
          <w:vertAlign w:val="superscript"/>
          <w:lang w:eastAsia="de-DE"/>
          <w14:ligatures w14:val="none"/>
        </w:rPr>
        <w:t>11</w:t>
      </w:r>
      <w:r w:rsidRPr="001E2000">
        <w:rPr>
          <w:rFonts w:ascii="Times New Roman" w:eastAsia="Times New Roman" w:hAnsi="Times New Roman" w:cs="Times New Roman"/>
          <w:kern w:val="0"/>
          <w:lang w:eastAsia="de-DE"/>
          <w14:ligatures w14:val="none"/>
        </w:rPr>
        <w:t xml:space="preserve"> Der Höhe nach entspricht der Anspruch dem Vertrauensschaden, soweit dieser nicht durch eine auf den Gläubiger entfallende Quote gedeckt ist.</w:t>
      </w:r>
      <w:r w:rsidRPr="001E2000">
        <w:rPr>
          <w:rFonts w:ascii="Times New Roman" w:eastAsia="Times New Roman" w:hAnsi="Times New Roman" w:cs="Times New Roman"/>
          <w:kern w:val="0"/>
          <w:vertAlign w:val="superscript"/>
          <w:lang w:eastAsia="de-DE"/>
          <w14:ligatures w14:val="none"/>
        </w:rPr>
        <w:t>12</w:t>
      </w:r>
    </w:p>
    <w:p w14:paraId="4FA4F15F" w14:textId="77777777" w:rsidR="001E2000" w:rsidRPr="001E2000" w:rsidRDefault="001E2000" w:rsidP="001E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1E2000">
        <w:rPr>
          <w:rFonts w:ascii="Times New Roman" w:eastAsia="Times New Roman" w:hAnsi="Times New Roman" w:cs="Times New Roman"/>
          <w:b/>
          <w:bCs/>
          <w:kern w:val="0"/>
          <w:sz w:val="27"/>
          <w:szCs w:val="27"/>
          <w:lang w:eastAsia="de-DE"/>
          <w14:ligatures w14:val="none"/>
        </w:rPr>
        <w:t>II. Reichweite, Schutzzweckgrenze und Bereicherungsverbot</w:t>
      </w:r>
    </w:p>
    <w:p w14:paraId="05CC9BA3"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Ein </w:t>
      </w:r>
      <w:r w:rsidRPr="001E2000">
        <w:rPr>
          <w:rFonts w:ascii="Times New Roman" w:eastAsia="Times New Roman" w:hAnsi="Times New Roman" w:cs="Times New Roman"/>
          <w:b/>
          <w:bCs/>
          <w:kern w:val="0"/>
          <w:lang w:eastAsia="de-DE"/>
          <w14:ligatures w14:val="none"/>
        </w:rPr>
        <w:t>entgangener Gewinn (§ 252 BGB)</w:t>
      </w:r>
      <w:r w:rsidRPr="001E2000">
        <w:rPr>
          <w:rFonts w:ascii="Times New Roman" w:eastAsia="Times New Roman" w:hAnsi="Times New Roman" w:cs="Times New Roman"/>
          <w:kern w:val="0"/>
          <w:lang w:eastAsia="de-DE"/>
          <w14:ligatures w14:val="none"/>
        </w:rPr>
        <w:t xml:space="preserve"> kann ausnahmsweise umfasst sein, wenn der Neugläubiger ohne den Vertrag anderweitig einen Gewinn erzielt hätte;</w:t>
      </w:r>
      <w:r w:rsidRPr="001E2000">
        <w:rPr>
          <w:rFonts w:ascii="Times New Roman" w:eastAsia="Times New Roman" w:hAnsi="Times New Roman" w:cs="Times New Roman"/>
          <w:kern w:val="0"/>
          <w:vertAlign w:val="superscript"/>
          <w:lang w:eastAsia="de-DE"/>
          <w14:ligatures w14:val="none"/>
        </w:rPr>
        <w:t>4</w:t>
      </w:r>
      <w:r w:rsidRPr="001E2000">
        <w:rPr>
          <w:rFonts w:ascii="Times New Roman" w:eastAsia="Times New Roman" w:hAnsi="Times New Roman" w:cs="Times New Roman"/>
          <w:kern w:val="0"/>
          <w:lang w:eastAsia="de-DE"/>
          <w14:ligatures w14:val="none"/>
        </w:rPr>
        <w:t xml:space="preserve"> ebenso gehören Rechtsverfolgungskosten zum ersatzfähigen Schaden. Die Schutzzweckgrenze hat der BGH allerdings betont: Hat die insolvenzreife GmbH ihre Leistung nicht ordnungsgemäß erbracht und wurde dadurch nur die Schädigung durch deliktisches Handeln eines Dritten begünstigt, fehlt der innere Zusammenhang zwischen Antragspflichtverletzung und Schaden (BGH, Urteil vom 21.10.2014 – II ZR 113/13).</w:t>
      </w:r>
      <w:r w:rsidRPr="001E2000">
        <w:rPr>
          <w:rFonts w:ascii="Times New Roman" w:eastAsia="Times New Roman" w:hAnsi="Times New Roman" w:cs="Times New Roman"/>
          <w:kern w:val="0"/>
          <w:vertAlign w:val="superscript"/>
          <w:lang w:eastAsia="de-DE"/>
          <w14:ligatures w14:val="none"/>
        </w:rPr>
        <w:t>7</w:t>
      </w:r>
      <w:r w:rsidRPr="001E2000">
        <w:rPr>
          <w:rFonts w:ascii="Times New Roman" w:eastAsia="Times New Roman" w:hAnsi="Times New Roman" w:cs="Times New Roman"/>
          <w:kern w:val="0"/>
          <w:lang w:eastAsia="de-DE"/>
          <w14:ligatures w14:val="none"/>
        </w:rPr>
        <w:t xml:space="preserve"> Zur Vermeidung einer Überkompensation steht dem in voller Höhe ersatzpflichtigen Geschäftsführer entsprechend </w:t>
      </w:r>
      <w:r w:rsidRPr="001E2000">
        <w:rPr>
          <w:rFonts w:ascii="Times New Roman" w:eastAsia="Times New Roman" w:hAnsi="Times New Roman" w:cs="Times New Roman"/>
          <w:b/>
          <w:bCs/>
          <w:kern w:val="0"/>
          <w:lang w:eastAsia="de-DE"/>
          <w14:ligatures w14:val="none"/>
        </w:rPr>
        <w:t>§ 255 BGB</w:t>
      </w:r>
      <w:r w:rsidRPr="001E2000">
        <w:rPr>
          <w:rFonts w:ascii="Times New Roman" w:eastAsia="Times New Roman" w:hAnsi="Times New Roman" w:cs="Times New Roman"/>
          <w:kern w:val="0"/>
          <w:lang w:eastAsia="de-DE"/>
          <w14:ligatures w14:val="none"/>
        </w:rPr>
        <w:t xml:space="preserve"> ein Anspruch auf Abtretung der Insolvenzforderung Zug um Zug gegen Zahlung des Schadensersatzes zu (BGH, BGHZ 171, 46). Der Anspruch ist schließlich nach </w:t>
      </w:r>
      <w:r w:rsidRPr="001E2000">
        <w:rPr>
          <w:rFonts w:ascii="Times New Roman" w:eastAsia="Times New Roman" w:hAnsi="Times New Roman" w:cs="Times New Roman"/>
          <w:b/>
          <w:bCs/>
          <w:kern w:val="0"/>
          <w:lang w:eastAsia="de-DE"/>
          <w14:ligatures w14:val="none"/>
        </w:rPr>
        <w:t>§ 254 BGB</w:t>
      </w:r>
      <w:r w:rsidRPr="001E2000">
        <w:rPr>
          <w:rFonts w:ascii="Times New Roman" w:eastAsia="Times New Roman" w:hAnsi="Times New Roman" w:cs="Times New Roman"/>
          <w:kern w:val="0"/>
          <w:lang w:eastAsia="de-DE"/>
          <w14:ligatures w14:val="none"/>
        </w:rPr>
        <w:t xml:space="preserve"> durch ein </w:t>
      </w:r>
      <w:r w:rsidRPr="001E2000">
        <w:rPr>
          <w:rFonts w:ascii="Times New Roman" w:eastAsia="Times New Roman" w:hAnsi="Times New Roman" w:cs="Times New Roman"/>
          <w:b/>
          <w:bCs/>
          <w:kern w:val="0"/>
          <w:lang w:eastAsia="de-DE"/>
          <w14:ligatures w14:val="none"/>
        </w:rPr>
        <w:t>Mitverschulden</w:t>
      </w:r>
      <w:r w:rsidRPr="001E2000">
        <w:rPr>
          <w:rFonts w:ascii="Times New Roman" w:eastAsia="Times New Roman" w:hAnsi="Times New Roman" w:cs="Times New Roman"/>
          <w:kern w:val="0"/>
          <w:lang w:eastAsia="de-DE"/>
          <w14:ligatures w14:val="none"/>
        </w:rPr>
        <w:t xml:space="preserve"> des Gläubigers minderbar, etwa wenn ihm bei Vertragsschluss erkennbare Gefährdungsumstände vorlagen; allein die Höhe des Stammkapitals genügt hierfür nach dem BGH jedoch nicht, da andernfalls das Unterkapitalisierungsrisiko auf den Gläubiger abgewälzt würde.</w:t>
      </w:r>
      <w:r w:rsidRPr="001E2000">
        <w:rPr>
          <w:rFonts w:ascii="Times New Roman" w:eastAsia="Times New Roman" w:hAnsi="Times New Roman" w:cs="Times New Roman"/>
          <w:kern w:val="0"/>
          <w:vertAlign w:val="superscript"/>
          <w:lang w:eastAsia="de-DE"/>
          <w14:ligatures w14:val="none"/>
        </w:rPr>
        <w:t>2</w:t>
      </w:r>
    </w:p>
    <w:p w14:paraId="157B72B1" w14:textId="77777777" w:rsidR="001E2000" w:rsidRPr="001E2000" w:rsidRDefault="001E2000" w:rsidP="001E2000">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E2000">
        <w:rPr>
          <w:rFonts w:ascii="Times New Roman" w:eastAsia="Times New Roman" w:hAnsi="Times New Roman" w:cs="Times New Roman"/>
          <w:b/>
          <w:bCs/>
          <w:kern w:val="0"/>
          <w:sz w:val="36"/>
          <w:szCs w:val="36"/>
          <w:lang w:eastAsia="de-DE"/>
          <w14:ligatures w14:val="none"/>
        </w:rPr>
        <w:t>E. Verschulden, Darlegungs- und Beweislast</w:t>
      </w:r>
    </w:p>
    <w:p w14:paraId="3BEBA5CD" w14:textId="77777777" w:rsidR="001E2000" w:rsidRPr="001E2000" w:rsidRDefault="001E2000" w:rsidP="001E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1E2000">
        <w:rPr>
          <w:rFonts w:ascii="Times New Roman" w:eastAsia="Times New Roman" w:hAnsi="Times New Roman" w:cs="Times New Roman"/>
          <w:b/>
          <w:bCs/>
          <w:kern w:val="0"/>
          <w:sz w:val="27"/>
          <w:szCs w:val="27"/>
          <w:lang w:eastAsia="de-DE"/>
          <w14:ligatures w14:val="none"/>
        </w:rPr>
        <w:lastRenderedPageBreak/>
        <w:t>I. Verschuldensmaßstab und Geschäftsführerpflichten</w:t>
      </w:r>
    </w:p>
    <w:p w14:paraId="5A447779"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Die Haftung setzt </w:t>
      </w:r>
      <w:r w:rsidRPr="001E2000">
        <w:rPr>
          <w:rFonts w:ascii="Times New Roman" w:eastAsia="Times New Roman" w:hAnsi="Times New Roman" w:cs="Times New Roman"/>
          <w:b/>
          <w:bCs/>
          <w:kern w:val="0"/>
          <w:lang w:eastAsia="de-DE"/>
          <w14:ligatures w14:val="none"/>
        </w:rPr>
        <w:t>Verschulden</w:t>
      </w:r>
      <w:r w:rsidRPr="001E2000">
        <w:rPr>
          <w:rFonts w:ascii="Times New Roman" w:eastAsia="Times New Roman" w:hAnsi="Times New Roman" w:cs="Times New Roman"/>
          <w:kern w:val="0"/>
          <w:lang w:eastAsia="de-DE"/>
          <w14:ligatures w14:val="none"/>
        </w:rPr>
        <w:t xml:space="preserve"> voraus; </w:t>
      </w:r>
      <w:r w:rsidRPr="001E2000">
        <w:rPr>
          <w:rFonts w:ascii="Times New Roman" w:eastAsia="Times New Roman" w:hAnsi="Times New Roman" w:cs="Times New Roman"/>
          <w:b/>
          <w:bCs/>
          <w:kern w:val="0"/>
          <w:lang w:eastAsia="de-DE"/>
          <w14:ligatures w14:val="none"/>
        </w:rPr>
        <w:t>Fahrlässigkeit genügt</w:t>
      </w:r>
      <w:r w:rsidRPr="001E2000">
        <w:rPr>
          <w:rFonts w:ascii="Times New Roman" w:eastAsia="Times New Roman" w:hAnsi="Times New Roman" w:cs="Times New Roman"/>
          <w:kern w:val="0"/>
          <w:lang w:eastAsia="de-DE"/>
          <w14:ligatures w14:val="none"/>
        </w:rPr>
        <w:t>.</w:t>
      </w:r>
      <w:r w:rsidRPr="001E2000">
        <w:rPr>
          <w:rFonts w:ascii="Times New Roman" w:eastAsia="Times New Roman" w:hAnsi="Times New Roman" w:cs="Times New Roman"/>
          <w:kern w:val="0"/>
          <w:vertAlign w:val="superscript"/>
          <w:lang w:eastAsia="de-DE"/>
          <w14:ligatures w14:val="none"/>
        </w:rPr>
        <w:t>6</w:t>
      </w:r>
      <w:r w:rsidRPr="001E2000">
        <w:rPr>
          <w:rFonts w:ascii="Times New Roman" w:eastAsia="Times New Roman" w:hAnsi="Times New Roman" w:cs="Times New Roman"/>
          <w:kern w:val="0"/>
          <w:lang w:eastAsia="de-DE"/>
          <w14:ligatures w14:val="none"/>
        </w:rPr>
        <w:t xml:space="preserve"> </w:t>
      </w:r>
      <w:r w:rsidRPr="001E2000">
        <w:rPr>
          <w:rFonts w:ascii="Times New Roman" w:eastAsia="Times New Roman" w:hAnsi="Times New Roman" w:cs="Times New Roman"/>
          <w:kern w:val="0"/>
          <w:vertAlign w:val="superscript"/>
          <w:lang w:eastAsia="de-DE"/>
          <w14:ligatures w14:val="none"/>
        </w:rPr>
        <w:t>12</w:t>
      </w:r>
      <w:r w:rsidRPr="001E2000">
        <w:rPr>
          <w:rFonts w:ascii="Times New Roman" w:eastAsia="Times New Roman" w:hAnsi="Times New Roman" w:cs="Times New Roman"/>
          <w:kern w:val="0"/>
          <w:lang w:eastAsia="de-DE"/>
          <w14:ligatures w14:val="none"/>
        </w:rPr>
        <w:t xml:space="preserve"> Der Geschäftsführer muss die wirtschaftliche Lage laufend beobachten, sich bei Krisenanzeichen durch einen Vermögensstatus einen Überblick verschaffen und bei rechnerischer Überschuldung prüfen, ob eine positive Fortbestehensprognose besteht; hierbei steht ihm ein gewisser Beurteilungsspielraum aus damaliger Sicht zu, notfalls muss er sich fachkundig beraten lassen.</w:t>
      </w:r>
      <w:r w:rsidRPr="001E2000">
        <w:rPr>
          <w:rFonts w:ascii="Times New Roman" w:eastAsia="Times New Roman" w:hAnsi="Times New Roman" w:cs="Times New Roman"/>
          <w:kern w:val="0"/>
          <w:vertAlign w:val="superscript"/>
          <w:lang w:eastAsia="de-DE"/>
          <w14:ligatures w14:val="none"/>
        </w:rPr>
        <w:t>12</w:t>
      </w:r>
      <w:r w:rsidRPr="001E2000">
        <w:rPr>
          <w:rFonts w:ascii="Times New Roman" w:eastAsia="Times New Roman" w:hAnsi="Times New Roman" w:cs="Times New Roman"/>
          <w:kern w:val="0"/>
          <w:lang w:eastAsia="de-DE"/>
          <w14:ligatures w14:val="none"/>
        </w:rPr>
        <w:t xml:space="preserve"> Für vertretbare Sanierungsversuche gilt die Dreiwochenfrist.</w:t>
      </w:r>
      <w:r w:rsidRPr="001E2000">
        <w:rPr>
          <w:rFonts w:ascii="Times New Roman" w:eastAsia="Times New Roman" w:hAnsi="Times New Roman" w:cs="Times New Roman"/>
          <w:kern w:val="0"/>
          <w:vertAlign w:val="superscript"/>
          <w:lang w:eastAsia="de-DE"/>
          <w14:ligatures w14:val="none"/>
        </w:rPr>
        <w:t>12</w:t>
      </w:r>
    </w:p>
    <w:p w14:paraId="0FA83A2C" w14:textId="77777777" w:rsidR="001E2000" w:rsidRPr="001E2000" w:rsidRDefault="001E2000" w:rsidP="001E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1E2000">
        <w:rPr>
          <w:rFonts w:ascii="Times New Roman" w:eastAsia="Times New Roman" w:hAnsi="Times New Roman" w:cs="Times New Roman"/>
          <w:b/>
          <w:bCs/>
          <w:kern w:val="0"/>
          <w:sz w:val="27"/>
          <w:szCs w:val="27"/>
          <w:lang w:eastAsia="de-DE"/>
          <w14:ligatures w14:val="none"/>
        </w:rPr>
        <w:t>II. Verteilung der Beweislast</w:t>
      </w:r>
    </w:p>
    <w:p w14:paraId="43CC5BF6"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Der BGH hat in der Leitentscheidung – und damit zum dritten amtlichen Leitsatz – eine differenzierte Beweislastverteilung festgelegt:</w:t>
      </w:r>
    </w:p>
    <w:p w14:paraId="11F0CC21" w14:textId="77777777" w:rsidR="001E2000" w:rsidRPr="001E2000" w:rsidRDefault="001E2000" w:rsidP="001E2000">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Die </w:t>
      </w:r>
      <w:r w:rsidRPr="001E2000">
        <w:rPr>
          <w:rFonts w:ascii="Times New Roman" w:eastAsia="Times New Roman" w:hAnsi="Times New Roman" w:cs="Times New Roman"/>
          <w:b/>
          <w:bCs/>
          <w:kern w:val="0"/>
          <w:lang w:eastAsia="de-DE"/>
          <w14:ligatures w14:val="none"/>
        </w:rPr>
        <w:t>objektiven Voraussetzungen</w:t>
      </w:r>
      <w:r w:rsidRPr="001E2000">
        <w:rPr>
          <w:rFonts w:ascii="Times New Roman" w:eastAsia="Times New Roman" w:hAnsi="Times New Roman" w:cs="Times New Roman"/>
          <w:kern w:val="0"/>
          <w:lang w:eastAsia="de-DE"/>
          <w14:ligatures w14:val="none"/>
        </w:rPr>
        <w:t xml:space="preserve"> der Antragspflicht (Insolvenzreife) hat grundsätzlich der </w:t>
      </w:r>
      <w:r w:rsidRPr="001E2000">
        <w:rPr>
          <w:rFonts w:ascii="Times New Roman" w:eastAsia="Times New Roman" w:hAnsi="Times New Roman" w:cs="Times New Roman"/>
          <w:b/>
          <w:bCs/>
          <w:kern w:val="0"/>
          <w:lang w:eastAsia="de-DE"/>
          <w14:ligatures w14:val="none"/>
        </w:rPr>
        <w:t>Gläubiger</w:t>
      </w:r>
      <w:r w:rsidRPr="001E2000">
        <w:rPr>
          <w:rFonts w:ascii="Times New Roman" w:eastAsia="Times New Roman" w:hAnsi="Times New Roman" w:cs="Times New Roman"/>
          <w:kern w:val="0"/>
          <w:lang w:eastAsia="de-DE"/>
          <w14:ligatures w14:val="none"/>
        </w:rPr>
        <w:t xml:space="preserve"> darzulegen und zu beweisen.</w:t>
      </w:r>
      <w:r w:rsidRPr="001E2000">
        <w:rPr>
          <w:rFonts w:ascii="Times New Roman" w:eastAsia="Times New Roman" w:hAnsi="Times New Roman" w:cs="Times New Roman"/>
          <w:kern w:val="0"/>
          <w:vertAlign w:val="superscript"/>
          <w:lang w:eastAsia="de-DE"/>
          <w14:ligatures w14:val="none"/>
        </w:rPr>
        <w:t>12</w:t>
      </w:r>
    </w:p>
    <w:p w14:paraId="5DD3C6B5" w14:textId="77777777" w:rsidR="001E2000" w:rsidRPr="001E2000" w:rsidRDefault="001E2000" w:rsidP="001E2000">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Steht die rechnerische Überschuldung zu einem Zeitpunkt fest, trifft den Geschäftsführer eine </w:t>
      </w:r>
      <w:r w:rsidRPr="001E2000">
        <w:rPr>
          <w:rFonts w:ascii="Times New Roman" w:eastAsia="Times New Roman" w:hAnsi="Times New Roman" w:cs="Times New Roman"/>
          <w:b/>
          <w:bCs/>
          <w:kern w:val="0"/>
          <w:lang w:eastAsia="de-DE"/>
          <w14:ligatures w14:val="none"/>
        </w:rPr>
        <w:t>sekundäre Darlegungslast</w:t>
      </w:r>
      <w:r w:rsidRPr="001E2000">
        <w:rPr>
          <w:rFonts w:ascii="Times New Roman" w:eastAsia="Times New Roman" w:hAnsi="Times New Roman" w:cs="Times New Roman"/>
          <w:kern w:val="0"/>
          <w:lang w:eastAsia="de-DE"/>
          <w14:ligatures w14:val="none"/>
        </w:rPr>
        <w:t>: Er hat die Umstände vorzutragen, die aus damaliger Sicht eine Fortführung rechtfertigten, weil er hierzu weit besser in der Lage ist als ein außenstehender Gläubiger.</w:t>
      </w:r>
      <w:r w:rsidRPr="001E2000">
        <w:rPr>
          <w:rFonts w:ascii="Times New Roman" w:eastAsia="Times New Roman" w:hAnsi="Times New Roman" w:cs="Times New Roman"/>
          <w:kern w:val="0"/>
          <w:vertAlign w:val="superscript"/>
          <w:lang w:eastAsia="de-DE"/>
          <w14:ligatures w14:val="none"/>
        </w:rPr>
        <w:t>6</w:t>
      </w:r>
      <w:r w:rsidRPr="001E2000">
        <w:rPr>
          <w:rFonts w:ascii="Times New Roman" w:eastAsia="Times New Roman" w:hAnsi="Times New Roman" w:cs="Times New Roman"/>
          <w:kern w:val="0"/>
          <w:lang w:eastAsia="de-DE"/>
          <w14:ligatures w14:val="none"/>
        </w:rPr>
        <w:t xml:space="preserve"> </w:t>
      </w:r>
      <w:r w:rsidRPr="001E2000">
        <w:rPr>
          <w:rFonts w:ascii="Times New Roman" w:eastAsia="Times New Roman" w:hAnsi="Times New Roman" w:cs="Times New Roman"/>
          <w:kern w:val="0"/>
          <w:vertAlign w:val="superscript"/>
          <w:lang w:eastAsia="de-DE"/>
          <w14:ligatures w14:val="none"/>
        </w:rPr>
        <w:t>12</w:t>
      </w:r>
    </w:p>
    <w:p w14:paraId="207AFADA" w14:textId="77777777" w:rsidR="001E2000" w:rsidRPr="001E2000" w:rsidRDefault="001E2000" w:rsidP="001E2000">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Das </w:t>
      </w:r>
      <w:r w:rsidRPr="001E2000">
        <w:rPr>
          <w:rFonts w:ascii="Times New Roman" w:eastAsia="Times New Roman" w:hAnsi="Times New Roman" w:cs="Times New Roman"/>
          <w:b/>
          <w:bCs/>
          <w:kern w:val="0"/>
          <w:lang w:eastAsia="de-DE"/>
          <w14:ligatures w14:val="none"/>
        </w:rPr>
        <w:t>fehlende Verschulden</w:t>
      </w:r>
      <w:r w:rsidRPr="001E2000">
        <w:rPr>
          <w:rFonts w:ascii="Times New Roman" w:eastAsia="Times New Roman" w:hAnsi="Times New Roman" w:cs="Times New Roman"/>
          <w:kern w:val="0"/>
          <w:lang w:eastAsia="de-DE"/>
          <w14:ligatures w14:val="none"/>
        </w:rPr>
        <w:t xml:space="preserve"> hat der </w:t>
      </w:r>
      <w:r w:rsidRPr="001E2000">
        <w:rPr>
          <w:rFonts w:ascii="Times New Roman" w:eastAsia="Times New Roman" w:hAnsi="Times New Roman" w:cs="Times New Roman"/>
          <w:b/>
          <w:bCs/>
          <w:kern w:val="0"/>
          <w:lang w:eastAsia="de-DE"/>
          <w14:ligatures w14:val="none"/>
        </w:rPr>
        <w:t>Geschäftsführer</w:t>
      </w:r>
      <w:r w:rsidRPr="001E2000">
        <w:rPr>
          <w:rFonts w:ascii="Times New Roman" w:eastAsia="Times New Roman" w:hAnsi="Times New Roman" w:cs="Times New Roman"/>
          <w:kern w:val="0"/>
          <w:lang w:eastAsia="de-DE"/>
          <w14:ligatures w14:val="none"/>
        </w:rPr>
        <w:t xml:space="preserve"> zu beweisen (entsprechend § 130a Abs. 3 S. 2 HGB).</w:t>
      </w:r>
      <w:r w:rsidRPr="001E2000">
        <w:rPr>
          <w:rFonts w:ascii="Times New Roman" w:eastAsia="Times New Roman" w:hAnsi="Times New Roman" w:cs="Times New Roman"/>
          <w:kern w:val="0"/>
          <w:vertAlign w:val="superscript"/>
          <w:lang w:eastAsia="de-DE"/>
          <w14:ligatures w14:val="none"/>
        </w:rPr>
        <w:t>12</w:t>
      </w:r>
    </w:p>
    <w:p w14:paraId="28F642A8"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Beim Nachweis der Überschuldung bedarf es grundsätzlich einer </w:t>
      </w:r>
      <w:r w:rsidRPr="001E2000">
        <w:rPr>
          <w:rFonts w:ascii="Times New Roman" w:eastAsia="Times New Roman" w:hAnsi="Times New Roman" w:cs="Times New Roman"/>
          <w:b/>
          <w:bCs/>
          <w:kern w:val="0"/>
          <w:lang w:eastAsia="de-DE"/>
          <w14:ligatures w14:val="none"/>
        </w:rPr>
        <w:t>Überschuldungsbilanz</w:t>
      </w:r>
      <w:r w:rsidRPr="001E2000">
        <w:rPr>
          <w:rFonts w:ascii="Times New Roman" w:eastAsia="Times New Roman" w:hAnsi="Times New Roman" w:cs="Times New Roman"/>
          <w:kern w:val="0"/>
          <w:lang w:eastAsia="de-DE"/>
          <w14:ligatures w14:val="none"/>
        </w:rPr>
        <w:t xml:space="preserve"> mit Verkehrs- bzw. Liquidationswerten; der Handelsbilanz kommt nur indizielle Bedeutung zu, wobei der Gläubiger ggf. stille Reserven zu erläutern und der Geschäftsführer im Rahmen seiner sekundären Darlegungslast einzelne nicht abgebildete Werte vorzutragen hat.</w:t>
      </w:r>
      <w:r w:rsidRPr="001E2000">
        <w:rPr>
          <w:rFonts w:ascii="Times New Roman" w:eastAsia="Times New Roman" w:hAnsi="Times New Roman" w:cs="Times New Roman"/>
          <w:kern w:val="0"/>
          <w:vertAlign w:val="superscript"/>
          <w:lang w:eastAsia="de-DE"/>
          <w14:ligatures w14:val="none"/>
        </w:rPr>
        <w:t>6</w:t>
      </w:r>
      <w:r w:rsidRPr="001E2000">
        <w:rPr>
          <w:rFonts w:ascii="Times New Roman" w:eastAsia="Times New Roman" w:hAnsi="Times New Roman" w:cs="Times New Roman"/>
          <w:kern w:val="0"/>
          <w:lang w:eastAsia="de-DE"/>
          <w14:ligatures w14:val="none"/>
        </w:rPr>
        <w:t xml:space="preserve"> Genau hier setzte die Aufhebung im Ausgangsfall an: Das Berufungsgericht hatte sich mit dem Vortrag des Beklagten zur lagerwirtschaftlich begründeten Aufstockung der Warenvorräte und mit der Inventurgrundlage der Bilanz nicht hinreichend auseinandergesetzt, sodass die Feststellung der Überschuldung seit 1984 verfahrensfehlerhaft war.</w:t>
      </w:r>
    </w:p>
    <w:p w14:paraId="0A67E91F" w14:textId="77777777" w:rsidR="001E2000" w:rsidRPr="001E2000" w:rsidRDefault="001E2000" w:rsidP="001E2000">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E2000">
        <w:rPr>
          <w:rFonts w:ascii="Times New Roman" w:eastAsia="Times New Roman" w:hAnsi="Times New Roman" w:cs="Times New Roman"/>
          <w:b/>
          <w:bCs/>
          <w:kern w:val="0"/>
          <w:sz w:val="36"/>
          <w:szCs w:val="36"/>
          <w:lang w:eastAsia="de-DE"/>
          <w14:ligatures w14:val="none"/>
        </w:rPr>
        <w:t>F. Praktikerkommentierung, Parallelentscheidungen und Fortentwicklung</w:t>
      </w:r>
    </w:p>
    <w:p w14:paraId="4F6705AE"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Die Differenzierung ist von der gesamten instanzgerichtlichen und höchstrichterlichen Rechtsprechung übernommen worden – so vom BAG (Urteil vom 03.09.1998 – 8 AZR 189/97) für arbeitsrechtliche Neugläubiger </w:t>
      </w:r>
      <w:r w:rsidRPr="001E2000">
        <w:rPr>
          <w:rFonts w:ascii="Times New Roman" w:eastAsia="Times New Roman" w:hAnsi="Times New Roman" w:cs="Times New Roman"/>
          <w:kern w:val="0"/>
          <w:vertAlign w:val="superscript"/>
          <w:lang w:eastAsia="de-DE"/>
          <w14:ligatures w14:val="none"/>
        </w:rPr>
        <w:t>6</w:t>
      </w:r>
      <w:r w:rsidRPr="001E2000">
        <w:rPr>
          <w:rFonts w:ascii="Times New Roman" w:eastAsia="Times New Roman" w:hAnsi="Times New Roman" w:cs="Times New Roman"/>
          <w:kern w:val="0"/>
          <w:lang w:eastAsia="de-DE"/>
          <w14:ligatures w14:val="none"/>
        </w:rPr>
        <w:t xml:space="preserve"> und in einer dichten Kette von BGH-Entscheidungen (u.a. BGHZ 164, 50; BGHZ 171, 46; BGH, Urteil vom 14.05.2012 – II ZR 130/10; Urteil vom 22.10.2013 – II ZR 394/12).</w:t>
      </w:r>
      <w:r w:rsidRPr="001E2000">
        <w:rPr>
          <w:rFonts w:ascii="Times New Roman" w:eastAsia="Times New Roman" w:hAnsi="Times New Roman" w:cs="Times New Roman"/>
          <w:kern w:val="0"/>
          <w:vertAlign w:val="superscript"/>
          <w:lang w:eastAsia="de-DE"/>
          <w14:ligatures w14:val="none"/>
        </w:rPr>
        <w:t>4</w:t>
      </w:r>
      <w:r w:rsidRPr="001E2000">
        <w:rPr>
          <w:rFonts w:ascii="Times New Roman" w:eastAsia="Times New Roman" w:hAnsi="Times New Roman" w:cs="Times New Roman"/>
          <w:kern w:val="0"/>
          <w:lang w:eastAsia="de-DE"/>
          <w14:ligatures w14:val="none"/>
        </w:rPr>
        <w:t xml:space="preserve"> </w:t>
      </w:r>
      <w:r w:rsidRPr="001E2000">
        <w:rPr>
          <w:rFonts w:ascii="Times New Roman" w:eastAsia="Times New Roman" w:hAnsi="Times New Roman" w:cs="Times New Roman"/>
          <w:kern w:val="0"/>
          <w:vertAlign w:val="superscript"/>
          <w:lang w:eastAsia="de-DE"/>
          <w14:ligatures w14:val="none"/>
        </w:rPr>
        <w:t>7</w:t>
      </w:r>
      <w:r w:rsidRPr="001E2000">
        <w:rPr>
          <w:rFonts w:ascii="Times New Roman" w:eastAsia="Times New Roman" w:hAnsi="Times New Roman" w:cs="Times New Roman"/>
          <w:kern w:val="0"/>
          <w:lang w:eastAsia="de-DE"/>
          <w14:ligatures w14:val="none"/>
        </w:rPr>
        <w:t xml:space="preserve"> Die Kommentarliteratur (Kölner Kommentar zur InsO/Stöber, Hamburger Kommentar/Pohlmann, Berliner Kommentar/Baumert, Schwerdtfeger/Kuhne) bestätigt die Zwei-Gruppen-Dogmatik und ihre prozessuale Konsequenz, dass der Verwalter nur den Altgläubiger-Quotenschaden nach § 92 InsO zur Masse zieht, während Neugläubiger ihren Vertrauensschaden eigenständig verfolgen.</w:t>
      </w:r>
    </w:p>
    <w:p w14:paraId="3E51BFA0"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Die Fortentwicklung reicht bis in jüngste Zeit: Mit Urteil vom 23.07.2024 – II ZR 206/22 (BGHZ 241, 127) hat der BGH klargestellt, dass auch ein </w:t>
      </w:r>
      <w:r w:rsidRPr="001E2000">
        <w:rPr>
          <w:rFonts w:ascii="Times New Roman" w:eastAsia="Times New Roman" w:hAnsi="Times New Roman" w:cs="Times New Roman"/>
          <w:b/>
          <w:bCs/>
          <w:kern w:val="0"/>
          <w:lang w:eastAsia="de-DE"/>
          <w14:ligatures w14:val="none"/>
        </w:rPr>
        <w:t>ausgeschiedener Geschäftsführer</w:t>
      </w:r>
      <w:r w:rsidRPr="001E2000">
        <w:rPr>
          <w:rFonts w:ascii="Times New Roman" w:eastAsia="Times New Roman" w:hAnsi="Times New Roman" w:cs="Times New Roman"/>
          <w:kern w:val="0"/>
          <w:lang w:eastAsia="de-DE"/>
          <w14:ligatures w14:val="none"/>
        </w:rPr>
        <w:t xml:space="preserve"> gemäß § 823 Abs. 2 BGB i.V.m. § 15a InsO für Neugläubigerschäden haftet, die erst nach seinem Ausscheiden entstehen, sofern die verschleppungsbedingte Gefahrenlage im Zeitpunkt </w:t>
      </w:r>
      <w:r w:rsidRPr="001E2000">
        <w:rPr>
          <w:rFonts w:ascii="Times New Roman" w:eastAsia="Times New Roman" w:hAnsi="Times New Roman" w:cs="Times New Roman"/>
          <w:kern w:val="0"/>
          <w:lang w:eastAsia="de-DE"/>
          <w14:ligatures w14:val="none"/>
        </w:rPr>
        <w:lastRenderedPageBreak/>
        <w:t>der Schadensentstehung noch fortbesteht und (mit)ursächlich ist;</w:t>
      </w:r>
      <w:r w:rsidRPr="001E2000">
        <w:rPr>
          <w:rFonts w:ascii="Times New Roman" w:eastAsia="Times New Roman" w:hAnsi="Times New Roman" w:cs="Times New Roman"/>
          <w:kern w:val="0"/>
          <w:vertAlign w:val="superscript"/>
          <w:lang w:eastAsia="de-DE"/>
          <w14:ligatures w14:val="none"/>
        </w:rPr>
        <w:t>1</w:t>
      </w:r>
      <w:r w:rsidRPr="001E2000">
        <w:rPr>
          <w:rFonts w:ascii="Times New Roman" w:eastAsia="Times New Roman" w:hAnsi="Times New Roman" w:cs="Times New Roman"/>
          <w:kern w:val="0"/>
          <w:lang w:eastAsia="de-DE"/>
          <w14:ligatures w14:val="none"/>
        </w:rPr>
        <w:t xml:space="preserve"> dies wurde mit Urteil vom 29.04.2025 – II ZR 165/23 bestätigt.</w:t>
      </w:r>
      <w:r w:rsidRPr="001E2000">
        <w:rPr>
          <w:rFonts w:ascii="Times New Roman" w:eastAsia="Times New Roman" w:hAnsi="Times New Roman" w:cs="Times New Roman"/>
          <w:kern w:val="0"/>
          <w:vertAlign w:val="superscript"/>
          <w:lang w:eastAsia="de-DE"/>
          <w14:ligatures w14:val="none"/>
        </w:rPr>
        <w:t>7</w:t>
      </w:r>
      <w:r w:rsidRPr="001E2000">
        <w:rPr>
          <w:rFonts w:ascii="Times New Roman" w:eastAsia="Times New Roman" w:hAnsi="Times New Roman" w:cs="Times New Roman"/>
          <w:kern w:val="0"/>
          <w:lang w:eastAsia="de-DE"/>
          <w14:ligatures w14:val="none"/>
        </w:rPr>
        <w:t xml:space="preserve"> Abzugrenzen bleibt die Haftung von der – nur unter den verschärften Voraussetzungen des </w:t>
      </w:r>
      <w:r w:rsidRPr="001E2000">
        <w:rPr>
          <w:rFonts w:ascii="Times New Roman" w:eastAsia="Times New Roman" w:hAnsi="Times New Roman" w:cs="Times New Roman"/>
          <w:b/>
          <w:bCs/>
          <w:kern w:val="0"/>
          <w:lang w:eastAsia="de-DE"/>
          <w14:ligatures w14:val="none"/>
        </w:rPr>
        <w:t>§ 826 BGB</w:t>
      </w:r>
      <w:r w:rsidRPr="001E2000">
        <w:rPr>
          <w:rFonts w:ascii="Times New Roman" w:eastAsia="Times New Roman" w:hAnsi="Times New Roman" w:cs="Times New Roman"/>
          <w:kern w:val="0"/>
          <w:lang w:eastAsia="de-DE"/>
          <w14:ligatures w14:val="none"/>
        </w:rPr>
        <w:t xml:space="preserve"> eingreifenden – Inanspruchnahme durch Gläubiger, die nicht in den Schutzbereich der Antragspflicht fallen, etwa die Arbeitsverwaltung wegen Insolvenzgeld (BGH, Urteil vom 13.10.2009 – VI ZR 288/08).</w:t>
      </w:r>
      <w:r w:rsidRPr="001E2000">
        <w:rPr>
          <w:rFonts w:ascii="Times New Roman" w:eastAsia="Times New Roman" w:hAnsi="Times New Roman" w:cs="Times New Roman"/>
          <w:kern w:val="0"/>
          <w:vertAlign w:val="superscript"/>
          <w:lang w:eastAsia="de-DE"/>
          <w14:ligatures w14:val="none"/>
        </w:rPr>
        <w:t>1</w:t>
      </w:r>
    </w:p>
    <w:p w14:paraId="613127AD" w14:textId="77777777" w:rsidR="001E2000" w:rsidRPr="001E2000" w:rsidRDefault="006932FF" w:rsidP="001E2000">
      <w:pPr>
        <w:spacing w:after="0" w:line="240" w:lineRule="auto"/>
        <w:rPr>
          <w:rFonts w:ascii="Times New Roman" w:eastAsia="Times New Roman" w:hAnsi="Times New Roman" w:cs="Times New Roman"/>
          <w:kern w:val="0"/>
          <w:lang w:eastAsia="de-DE"/>
          <w14:ligatures w14:val="none"/>
        </w:rPr>
      </w:pPr>
      <w:r w:rsidRPr="006932FF">
        <w:rPr>
          <w:rFonts w:ascii="Times New Roman" w:eastAsia="Times New Roman" w:hAnsi="Times New Roman" w:cs="Times New Roman"/>
          <w:noProof/>
          <w:kern w:val="0"/>
          <w:lang w:eastAsia="de-DE"/>
        </w:rPr>
        <w:pict w14:anchorId="4070D07C">
          <v:rect id="_x0000_i1025" alt="" style="width:453.6pt;height:.05pt;mso-width-percent:0;mso-height-percent:0;mso-width-percent:0;mso-height-percent:0" o:hralign="center" o:hrstd="t" o:hr="t" fillcolor="#a0a0a0" stroked="f"/>
        </w:pict>
      </w:r>
    </w:p>
    <w:p w14:paraId="35CC0DC9"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b/>
          <w:bCs/>
          <w:kern w:val="0"/>
          <w:lang w:eastAsia="de-DE"/>
          <w14:ligatures w14:val="none"/>
        </w:rPr>
        <w:t>Zusammenfassend</w:t>
      </w:r>
      <w:r w:rsidRPr="001E2000">
        <w:rPr>
          <w:rFonts w:ascii="Times New Roman" w:eastAsia="Times New Roman" w:hAnsi="Times New Roman" w:cs="Times New Roman"/>
          <w:kern w:val="0"/>
          <w:lang w:eastAsia="de-DE"/>
          <w14:ligatures w14:val="none"/>
        </w:rPr>
        <w:t xml:space="preserve"> hat der BGH mit dem Urteil vom 06.06.1994 (BGHZ 126, 181) die Insolvenzverschleppungshaftung von gekünstelten c.i.c.-Konstruktionen gelöst und sie konsequent in § 823 Abs. 2 BGB i.V.m. § 64 Abs. 1 GmbHG a.F. (heute § 15a InsO) verankert. Tragende Neuerung ist der </w:t>
      </w:r>
      <w:r w:rsidRPr="001E2000">
        <w:rPr>
          <w:rFonts w:ascii="Times New Roman" w:eastAsia="Times New Roman" w:hAnsi="Times New Roman" w:cs="Times New Roman"/>
          <w:b/>
          <w:bCs/>
          <w:kern w:val="0"/>
          <w:lang w:eastAsia="de-DE"/>
          <w14:ligatures w14:val="none"/>
        </w:rPr>
        <w:t>Wegfall der Quotenschadensbegrenzung beim Neugläubiger</w:t>
      </w:r>
      <w:r w:rsidRPr="001E2000">
        <w:rPr>
          <w:rFonts w:ascii="Times New Roman" w:eastAsia="Times New Roman" w:hAnsi="Times New Roman" w:cs="Times New Roman"/>
          <w:kern w:val="0"/>
          <w:lang w:eastAsia="de-DE"/>
          <w14:ligatures w14:val="none"/>
        </w:rPr>
        <w:t>: Dieser erhält sein volles negatives Interesse, weil ihn die Antragspflicht gerade davor schützen soll, überhaupt noch mit einer insolvenzreifen Gesellschaft zu kontrahieren. Flankiert wird dies durch eine gläubigerfreundliche, aber differenzierte Beweislastverteilung mit sekundärer Darlegungslast und Verschuldensvermutung zulasten des Geschäftsführers.</w:t>
      </w:r>
    </w:p>
    <w:p w14:paraId="7039AE1C"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b/>
          <w:bCs/>
          <w:kern w:val="0"/>
          <w:lang w:eastAsia="de-DE"/>
          <w14:ligatures w14:val="none"/>
        </w:rPr>
        <w:t>Hinweis zum Quellenstatus:</w:t>
      </w:r>
      <w:r w:rsidRPr="001E2000">
        <w:rPr>
          <w:rFonts w:ascii="Times New Roman" w:eastAsia="Times New Roman" w:hAnsi="Times New Roman" w:cs="Times New Roman"/>
          <w:kern w:val="0"/>
          <w:lang w:eastAsia="de-DE"/>
          <w14:ligatures w14:val="none"/>
        </w:rPr>
        <w:t xml:space="preserve"> Die obenstehende Darstellung beruht auf den beigefügten Dokumentenauszügen [aktenbelegt] sowie auf Treffern aus Wolters Kluwer Online [</w:t>
      </w:r>
      <w:r w:rsidRPr="001E2000">
        <w:rPr>
          <w:rFonts w:ascii="Times New Roman" w:eastAsia="Times New Roman" w:hAnsi="Times New Roman" w:cs="Times New Roman"/>
          <w:kern w:val="0"/>
          <w:highlight w:val="yellow"/>
          <w:lang w:eastAsia="de-DE"/>
          <w14:ligatures w14:val="none"/>
        </w:rPr>
        <w:t>WK/Libra belegt</w:t>
      </w:r>
      <w:r w:rsidRPr="001E2000">
        <w:rPr>
          <w:rFonts w:ascii="Times New Roman" w:eastAsia="Times New Roman" w:hAnsi="Times New Roman" w:cs="Times New Roman"/>
          <w:kern w:val="0"/>
          <w:lang w:eastAsia="de-DE"/>
          <w14:ligatures w14:val="none"/>
        </w:rPr>
        <w:t>]. Sämtliche Fundstellen, Aktenzeichen, Entscheidungsdaten und Kernsätze – insbesondere die jüngeren Entscheidungen (</w:t>
      </w:r>
      <w:r w:rsidRPr="001E2000">
        <w:rPr>
          <w:rFonts w:ascii="Times New Roman" w:eastAsia="Times New Roman" w:hAnsi="Times New Roman" w:cs="Times New Roman"/>
          <w:kern w:val="0"/>
          <w:highlight w:val="yellow"/>
          <w:lang w:eastAsia="de-DE"/>
          <w14:ligatures w14:val="none"/>
        </w:rPr>
        <w:t>BGH II ZR 206/22; II ZR 165/23</w:t>
      </w:r>
      <w:r w:rsidRPr="001E2000">
        <w:rPr>
          <w:rFonts w:ascii="Times New Roman" w:eastAsia="Times New Roman" w:hAnsi="Times New Roman" w:cs="Times New Roman"/>
          <w:kern w:val="0"/>
          <w:lang w:eastAsia="de-DE"/>
          <w14:ligatures w14:val="none"/>
        </w:rPr>
        <w:t>) und die Kommentaraussagen – sind vor einer Außenverwendung noch im Volltext gegen die Primärquelle zu prüfen [WK/Libra zu verifizieren].</w:t>
      </w:r>
    </w:p>
    <w:p w14:paraId="6FD95D0F" w14:textId="77777777" w:rsidR="001E2000" w:rsidRPr="001E2000" w:rsidRDefault="001E2000" w:rsidP="001E2000">
      <w:p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 xml:space="preserve">Möchten Sie, dass ich daraus eine </w:t>
      </w:r>
      <w:r w:rsidRPr="001E2000">
        <w:rPr>
          <w:rFonts w:ascii="Times New Roman" w:eastAsia="Times New Roman" w:hAnsi="Times New Roman" w:cs="Times New Roman"/>
          <w:b/>
          <w:bCs/>
          <w:kern w:val="0"/>
          <w:lang w:eastAsia="de-DE"/>
          <w14:ligatures w14:val="none"/>
        </w:rPr>
        <w:t>versandfähige gutachterliche Außenfassung</w:t>
      </w:r>
      <w:r w:rsidRPr="001E2000">
        <w:rPr>
          <w:rFonts w:ascii="Times New Roman" w:eastAsia="Times New Roman" w:hAnsi="Times New Roman" w:cs="Times New Roman"/>
          <w:kern w:val="0"/>
          <w:lang w:eastAsia="de-DE"/>
          <w14:ligatures w14:val="none"/>
        </w:rPr>
        <w:t xml:space="preserve"> im WPNO-Format (mit Gliederung A./I./1. und verifizierter Fundstellenliste) erstelle, oder soll ich die Parallelentscheidungen in einer </w:t>
      </w:r>
      <w:r w:rsidRPr="001E2000">
        <w:rPr>
          <w:rFonts w:ascii="Times New Roman" w:eastAsia="Times New Roman" w:hAnsi="Times New Roman" w:cs="Times New Roman"/>
          <w:b/>
          <w:bCs/>
          <w:kern w:val="0"/>
          <w:lang w:eastAsia="de-DE"/>
          <w14:ligatures w14:val="none"/>
        </w:rPr>
        <w:t>Verifikationsliste (MODE: VERIFY)</w:t>
      </w:r>
      <w:r w:rsidRPr="001E2000">
        <w:rPr>
          <w:rFonts w:ascii="Times New Roman" w:eastAsia="Times New Roman" w:hAnsi="Times New Roman" w:cs="Times New Roman"/>
          <w:kern w:val="0"/>
          <w:lang w:eastAsia="de-DE"/>
          <w14:ligatures w14:val="none"/>
        </w:rPr>
        <w:t xml:space="preserve"> mit Prüfstatus zusammenstellen?</w:t>
      </w:r>
    </w:p>
    <w:p w14:paraId="00D3F014" w14:textId="77777777" w:rsidR="001E2000" w:rsidRPr="001E2000" w:rsidRDefault="001E2000" w:rsidP="001E2000">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E2000">
        <w:rPr>
          <w:rFonts w:ascii="Times New Roman" w:eastAsia="Times New Roman" w:hAnsi="Times New Roman" w:cs="Times New Roman"/>
          <w:b/>
          <w:bCs/>
          <w:kern w:val="0"/>
          <w:sz w:val="36"/>
          <w:szCs w:val="36"/>
          <w:lang w:eastAsia="de-DE"/>
          <w14:ligatures w14:val="none"/>
        </w:rPr>
        <w:t>Literaturverzeichnis</w:t>
      </w:r>
    </w:p>
    <w:p w14:paraId="5DADEAD5" w14:textId="77777777" w:rsidR="001E2000" w:rsidRPr="001E2000" w:rsidRDefault="001E2000" w:rsidP="001E2000">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BGH Schadensersatzpflicht des GmbH-Geschäftsführers wegen Verletzung der Konkursantragspflicht; Wegfall des Quotenschadens - Steuern und Bilanzen (2).docx, S. 2</w:t>
      </w:r>
    </w:p>
    <w:p w14:paraId="7416D6BA" w14:textId="77777777" w:rsidR="001E2000" w:rsidRPr="001E2000" w:rsidRDefault="001E2000" w:rsidP="001E2000">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BGH Schadensersatzpflicht des GmbH-Geschäftsführers wegen Verletzung der Konkursantragspflicht; Wegfall des Quotenschadens - Steuern und Bilanzen (2).docx, S. 19</w:t>
      </w:r>
    </w:p>
    <w:p w14:paraId="2B3891B6" w14:textId="77777777" w:rsidR="001E2000" w:rsidRPr="001E2000" w:rsidRDefault="001E2000" w:rsidP="001E2000">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BGH Schadensersatzpflicht des GmbH-Geschäftsführers wegen Verletzung der Konkursantragspflicht; Wegfall des Quotenschadens - Steuern und Bilanzen (2).docx, S. 6</w:t>
      </w:r>
    </w:p>
    <w:p w14:paraId="343ABB6D" w14:textId="77777777" w:rsidR="001E2000" w:rsidRPr="001E2000" w:rsidRDefault="001E2000" w:rsidP="001E2000">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BGH Schadensersatzpflicht des GmbH-Geschäftsführers wegen Verletzung der Konkursantragspflicht; Wegfall des Quotenschadens - Steuern und Bilanzen (2).docx, S. 7</w:t>
      </w:r>
    </w:p>
    <w:p w14:paraId="4C3502F0" w14:textId="77777777" w:rsidR="001E2000" w:rsidRPr="001E2000" w:rsidRDefault="001E2000" w:rsidP="001E2000">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BGH Schadensersatzpflicht des GmbH-Geschäftsführers wegen Verletzung der Konkursantragspflicht; Wegfall des Quotenschadens - Steuern und Bilanzen (1).docx, S. 1</w:t>
      </w:r>
    </w:p>
    <w:p w14:paraId="28BE8FD3" w14:textId="77777777" w:rsidR="001E2000" w:rsidRPr="001E2000" w:rsidRDefault="001E2000" w:rsidP="001E2000">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BGH Schadensersatzpflicht des GmbH-Geschäftsführers wegen Verletzung der Konkursantragspflicht; Wegfall des Quotenschadens - Steuern und Bilanzen (2).docx, S. 9</w:t>
      </w:r>
    </w:p>
    <w:p w14:paraId="31A054F0" w14:textId="77777777" w:rsidR="001E2000" w:rsidRPr="001E2000" w:rsidRDefault="001E2000" w:rsidP="001E2000">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lastRenderedPageBreak/>
        <w:t>BGH Schadensersatzpflicht des GmbH-Geschäftsführers wegen Verletzung der Konkursantragspflicht; Wegfall des Quotenschadens - Steuern und Bilanzen (2).docx, S. 1</w:t>
      </w:r>
    </w:p>
    <w:p w14:paraId="6EE7595F" w14:textId="77777777" w:rsidR="001E2000" w:rsidRPr="001E2000" w:rsidRDefault="001E2000" w:rsidP="001E2000">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BGH Schadensersatzpflicht des GmbH-Geschäftsführers wegen Verletzung der Konkursantragspflicht; Wegfall des Quotenschadens - Steuern und Bilanzen (2).docx, S. 17</w:t>
      </w:r>
    </w:p>
    <w:p w14:paraId="3C5C77B7" w14:textId="77777777" w:rsidR="001E2000" w:rsidRPr="001E2000" w:rsidRDefault="001E2000" w:rsidP="001E2000">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BGH Schadensersatzpflicht des GmbH-Geschäftsführers wegen Verletzung der Konkursantragspflicht; Wegfall des Quotenschadens - Steuern und Bilanzen (2).docx, S. 15</w:t>
      </w:r>
    </w:p>
    <w:p w14:paraId="42697807" w14:textId="77777777" w:rsidR="001E2000" w:rsidRPr="001E2000" w:rsidRDefault="001E2000" w:rsidP="001E2000">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BGH Schadensersatzpflicht des GmbH-Geschäftsführers wegen Verletzung der Konkursantragspflicht; Wegfall des Quotenschadens - Steuern und Bilanzen (2).docx, S. 12</w:t>
      </w:r>
    </w:p>
    <w:p w14:paraId="632E887F" w14:textId="77777777" w:rsidR="001E2000" w:rsidRPr="001E2000" w:rsidRDefault="001E2000" w:rsidP="001E2000">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BGH Schadensersatzpflicht des GmbH-Geschäftsführers wegen Verletzung der Konkursantragspflicht; Wegfall des Quotenschadens - Steuern und Bilanzen (2).docx, S. 8</w:t>
      </w:r>
    </w:p>
    <w:p w14:paraId="0B3755D1" w14:textId="77777777" w:rsidR="001E2000" w:rsidRPr="001E2000" w:rsidRDefault="001E2000" w:rsidP="001E2000">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E2000">
        <w:rPr>
          <w:rFonts w:ascii="Times New Roman" w:eastAsia="Times New Roman" w:hAnsi="Times New Roman" w:cs="Times New Roman"/>
          <w:kern w:val="0"/>
          <w:lang w:eastAsia="de-DE"/>
          <w14:ligatures w14:val="none"/>
        </w:rPr>
        <w:t>BGH Schadensersatzpflicht des GmbH-Geschäftsführers wegen Verletzung der Konkursantragspflicht; Wegfall des Quotenschadens - Steuern und Bilanzen (2).docx, S. 18</w:t>
      </w:r>
    </w:p>
    <w:p w14:paraId="0866BBAD" w14:textId="77777777" w:rsidR="004E69B4" w:rsidRDefault="004E69B4"/>
    <w:sectPr w:rsidR="004E69B4">
      <w:footerReference w:type="even"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2017E9" w14:textId="77777777" w:rsidR="006932FF" w:rsidRDefault="006932FF" w:rsidP="001E2000">
      <w:pPr>
        <w:spacing w:after="0" w:line="240" w:lineRule="auto"/>
      </w:pPr>
      <w:r>
        <w:separator/>
      </w:r>
    </w:p>
  </w:endnote>
  <w:endnote w:type="continuationSeparator" w:id="0">
    <w:p w14:paraId="345F4B75" w14:textId="77777777" w:rsidR="006932FF" w:rsidRDefault="006932FF" w:rsidP="001E2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544949242"/>
      <w:docPartObj>
        <w:docPartGallery w:val="Page Numbers (Bottom of Page)"/>
        <w:docPartUnique/>
      </w:docPartObj>
    </w:sdtPr>
    <w:sdtContent>
      <w:p w14:paraId="40079312" w14:textId="49531E4A" w:rsidR="001E2000" w:rsidRDefault="001E2000" w:rsidP="00126CDB">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71FE336B" w14:textId="77777777" w:rsidR="001E2000" w:rsidRDefault="001E2000" w:rsidP="001E2000">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844538370"/>
      <w:docPartObj>
        <w:docPartGallery w:val="Page Numbers (Bottom of Page)"/>
        <w:docPartUnique/>
      </w:docPartObj>
    </w:sdtPr>
    <w:sdtContent>
      <w:p w14:paraId="3B25A726" w14:textId="739C3EB1" w:rsidR="001E2000" w:rsidRDefault="001E2000" w:rsidP="00126CDB">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10A171E" w14:textId="77777777" w:rsidR="001E2000" w:rsidRDefault="001E2000" w:rsidP="001E2000">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332DBD" w14:textId="77777777" w:rsidR="006932FF" w:rsidRDefault="006932FF" w:rsidP="001E2000">
      <w:pPr>
        <w:spacing w:after="0" w:line="240" w:lineRule="auto"/>
      </w:pPr>
      <w:r>
        <w:separator/>
      </w:r>
    </w:p>
  </w:footnote>
  <w:footnote w:type="continuationSeparator" w:id="0">
    <w:p w14:paraId="7F837985" w14:textId="77777777" w:rsidR="006932FF" w:rsidRDefault="006932FF" w:rsidP="001E20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18232A"/>
    <w:multiLevelType w:val="multilevel"/>
    <w:tmpl w:val="D38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06417"/>
    <w:multiLevelType w:val="multilevel"/>
    <w:tmpl w:val="40D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16BDA"/>
    <w:multiLevelType w:val="multilevel"/>
    <w:tmpl w:val="CF2A1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352802">
    <w:abstractNumId w:val="0"/>
  </w:num>
  <w:num w:numId="2" w16cid:durableId="850487424">
    <w:abstractNumId w:val="1"/>
  </w:num>
  <w:num w:numId="3" w16cid:durableId="187619361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000"/>
    <w:rsid w:val="000318A2"/>
    <w:rsid w:val="001E2000"/>
    <w:rsid w:val="004E69B4"/>
    <w:rsid w:val="006932FF"/>
    <w:rsid w:val="00CD38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1B7C8"/>
  <w15:chartTrackingRefBased/>
  <w15:docId w15:val="{02439DFB-EF87-2D45-BB2E-5B84E081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E2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E2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E200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E200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E200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E200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E200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E200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E200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E200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E200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E200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E200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E200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E200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E200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E200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E2000"/>
    <w:rPr>
      <w:rFonts w:eastAsiaTheme="majorEastAsia" w:cstheme="majorBidi"/>
      <w:color w:val="272727" w:themeColor="text1" w:themeTint="D8"/>
    </w:rPr>
  </w:style>
  <w:style w:type="paragraph" w:styleId="Titel">
    <w:name w:val="Title"/>
    <w:basedOn w:val="Standard"/>
    <w:next w:val="Standard"/>
    <w:link w:val="TitelZchn"/>
    <w:uiPriority w:val="10"/>
    <w:qFormat/>
    <w:rsid w:val="001E2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E200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E200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E200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E200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E2000"/>
    <w:rPr>
      <w:i/>
      <w:iCs/>
      <w:color w:val="404040" w:themeColor="text1" w:themeTint="BF"/>
    </w:rPr>
  </w:style>
  <w:style w:type="paragraph" w:styleId="Listenabsatz">
    <w:name w:val="List Paragraph"/>
    <w:basedOn w:val="Standard"/>
    <w:uiPriority w:val="34"/>
    <w:qFormat/>
    <w:rsid w:val="001E2000"/>
    <w:pPr>
      <w:ind w:left="720"/>
      <w:contextualSpacing/>
    </w:pPr>
  </w:style>
  <w:style w:type="character" w:styleId="IntensiveHervorhebung">
    <w:name w:val="Intense Emphasis"/>
    <w:basedOn w:val="Absatz-Standardschriftart"/>
    <w:uiPriority w:val="21"/>
    <w:qFormat/>
    <w:rsid w:val="001E2000"/>
    <w:rPr>
      <w:i/>
      <w:iCs/>
      <w:color w:val="0F4761" w:themeColor="accent1" w:themeShade="BF"/>
    </w:rPr>
  </w:style>
  <w:style w:type="paragraph" w:styleId="IntensivesZitat">
    <w:name w:val="Intense Quote"/>
    <w:basedOn w:val="Standard"/>
    <w:next w:val="Standard"/>
    <w:link w:val="IntensivesZitatZchn"/>
    <w:uiPriority w:val="30"/>
    <w:qFormat/>
    <w:rsid w:val="001E2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E2000"/>
    <w:rPr>
      <w:i/>
      <w:iCs/>
      <w:color w:val="0F4761" w:themeColor="accent1" w:themeShade="BF"/>
    </w:rPr>
  </w:style>
  <w:style w:type="character" w:styleId="IntensiverVerweis">
    <w:name w:val="Intense Reference"/>
    <w:basedOn w:val="Absatz-Standardschriftart"/>
    <w:uiPriority w:val="32"/>
    <w:qFormat/>
    <w:rsid w:val="001E2000"/>
    <w:rPr>
      <w:b/>
      <w:bCs/>
      <w:smallCaps/>
      <w:color w:val="0F4761" w:themeColor="accent1" w:themeShade="BF"/>
      <w:spacing w:val="5"/>
    </w:rPr>
  </w:style>
  <w:style w:type="paragraph" w:styleId="StandardWeb">
    <w:name w:val="Normal (Web)"/>
    <w:basedOn w:val="Standard"/>
    <w:uiPriority w:val="99"/>
    <w:semiHidden/>
    <w:unhideWhenUsed/>
    <w:rsid w:val="001E2000"/>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1E2000"/>
    <w:rPr>
      <w:b/>
      <w:bCs/>
    </w:rPr>
  </w:style>
  <w:style w:type="paragraph" w:styleId="Fuzeile">
    <w:name w:val="footer"/>
    <w:basedOn w:val="Standard"/>
    <w:link w:val="FuzeileZchn"/>
    <w:uiPriority w:val="99"/>
    <w:unhideWhenUsed/>
    <w:rsid w:val="001E200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E2000"/>
  </w:style>
  <w:style w:type="character" w:styleId="Seitenzahl">
    <w:name w:val="page number"/>
    <w:basedOn w:val="Absatz-Standardschriftart"/>
    <w:uiPriority w:val="99"/>
    <w:semiHidden/>
    <w:unhideWhenUsed/>
    <w:rsid w:val="001E2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1958</Words>
  <Characters>13983</Characters>
  <Application>Microsoft Office Word</Application>
  <DocSecurity>0</DocSecurity>
  <Lines>229</Lines>
  <Paragraphs>57</Paragraphs>
  <ScaleCrop>false</ScaleCrop>
  <Company/>
  <LinksUpToDate>false</LinksUpToDate>
  <CharactersWithSpaces>15884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Otten</dc:creator>
  <cp:keywords/>
  <dc:description/>
  <cp:lastModifiedBy>Martin Otten</cp:lastModifiedBy>
  <cp:revision>1</cp:revision>
  <dcterms:created xsi:type="dcterms:W3CDTF">2026-06-28T15:59:00Z</dcterms:created>
  <dcterms:modified xsi:type="dcterms:W3CDTF">2026-06-28T16:01:00Z</dcterms:modified>
</cp:coreProperties>
</file>