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CD6879B" w14:textId="55156BA8" w:rsidR="00234792" w:rsidRDefault="00234792">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472"/>
        <w:gridCol w:w="1618"/>
      </w:tblGrid>
      <w:tr w:rsidR="00234792" w14:paraId="68B88F75" w14:textId="77777777">
        <w:tc>
          <w:tcPr>
            <w:tcW w:w="0" w:type="auto"/>
            <w:shd w:val="clear" w:color="auto" w:fill="F7F7F0"/>
            <w:tcMar>
              <w:top w:w="45" w:type="dxa"/>
              <w:left w:w="45" w:type="dxa"/>
              <w:bottom w:w="105" w:type="dxa"/>
              <w:right w:w="90" w:type="dxa"/>
            </w:tcMar>
            <w:hideMark/>
          </w:tcPr>
          <w:p w14:paraId="5D1D110E" w14:textId="77777777" w:rsidR="00234792" w:rsidRDefault="00000000">
            <w:r>
              <w:rPr>
                <w:rStyle w:val="any"/>
                <w:sz w:val="20"/>
              </w:rPr>
              <w:t>BGH: Erstattung des Wertes einer Gesellschaftersicherheit nach Rechtsprechungsregeln – Verjährung</w:t>
            </w:r>
          </w:p>
        </w:tc>
        <w:tc>
          <w:tcPr>
            <w:tcW w:w="0" w:type="auto"/>
            <w:shd w:val="clear" w:color="auto" w:fill="F7F7F0"/>
            <w:noWrap/>
            <w:tcMar>
              <w:top w:w="45" w:type="dxa"/>
              <w:left w:w="45" w:type="dxa"/>
              <w:bottom w:w="105" w:type="dxa"/>
              <w:right w:w="98" w:type="dxa"/>
            </w:tcMar>
            <w:hideMark/>
          </w:tcPr>
          <w:p w14:paraId="3F242552" w14:textId="77777777" w:rsidR="00234792" w:rsidRDefault="00000000">
            <w:pPr>
              <w:pStyle w:val="printcontentdivdk2spancitation"/>
              <w:ind w:left="150"/>
              <w:jc w:val="right"/>
            </w:pPr>
            <w:r>
              <w:rPr>
                <w:sz w:val="20"/>
              </w:rPr>
              <w:t>NZG 2011, 904</w:t>
            </w:r>
          </w:p>
        </w:tc>
      </w:tr>
    </w:tbl>
    <w:p w14:paraId="0B645F16" w14:textId="77777777" w:rsidR="00234792"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Erstattung des Wertes einer Gesellschaftersicherheit nach Rechtsprechungsregeln – Verjährung</w:t>
      </w:r>
    </w:p>
    <w:p w14:paraId="24A091D5" w14:textId="77777777" w:rsidR="00234792" w:rsidRDefault="00000000">
      <w:pPr>
        <w:pStyle w:val="printcontentdivnotlawversion"/>
        <w:spacing w:line="360" w:lineRule="auto"/>
        <w:ind w:left="600" w:right="150"/>
      </w:pPr>
      <w:r>
        <w:rPr>
          <w:rStyle w:val="any"/>
          <w:color w:val="000000"/>
        </w:rPr>
        <w:t>GmbHG §§ </w:t>
      </w:r>
      <w:hyperlink r:id="rId6" w:history="1">
        <w:r>
          <w:rPr>
            <w:rStyle w:val="bocontentwrapperbocenteranotbeck-btn"/>
            <w:color w:val="000000"/>
            <w:u w:val="single" w:color="000000"/>
          </w:rPr>
          <w:t>31</w:t>
        </w:r>
      </w:hyperlink>
      <w:r>
        <w:rPr>
          <w:rStyle w:val="any"/>
          <w:color w:val="000000"/>
        </w:rPr>
        <w:t xml:space="preserve"> </w:t>
      </w:r>
      <w:hyperlink r:id="rId7" w:history="1">
        <w:r>
          <w:rPr>
            <w:rStyle w:val="bocontentwrapperbocenteranotbeck-btn"/>
            <w:color w:val="000000"/>
            <w:u w:val="single" w:color="000000"/>
          </w:rPr>
          <w:t>V</w:t>
        </w:r>
      </w:hyperlink>
      <w:r>
        <w:rPr>
          <w:rStyle w:val="any"/>
          <w:color w:val="000000"/>
        </w:rPr>
        <w:t>, </w:t>
      </w:r>
      <w:hyperlink r:id="rId8" w:history="1">
        <w:r>
          <w:rPr>
            <w:rStyle w:val="bocontentwrapperbocenteranotbeck-btn"/>
            <w:color w:val="000000"/>
            <w:u w:val="single" w:color="000000"/>
          </w:rPr>
          <w:t>32 b</w:t>
        </w:r>
      </w:hyperlink>
      <w:r>
        <w:rPr>
          <w:rStyle w:val="divbocontentwrapperbocenterp"/>
          <w:color w:val="000000"/>
        </w:rPr>
        <w:t xml:space="preserve"> a. F.; </w:t>
      </w:r>
      <w:r>
        <w:rPr>
          <w:rStyle w:val="any"/>
          <w:color w:val="000000"/>
        </w:rPr>
        <w:t>InsO § </w:t>
      </w:r>
      <w:hyperlink r:id="rId9" w:history="1">
        <w:r>
          <w:rPr>
            <w:rStyle w:val="bocontentwrapperbocenteranotbeck-btn"/>
            <w:color w:val="000000"/>
            <w:u w:val="single" w:color="000000"/>
          </w:rPr>
          <w:t>146</w:t>
        </w:r>
      </w:hyperlink>
    </w:p>
    <w:p w14:paraId="3F074CC1" w14:textId="77777777" w:rsidR="00234792" w:rsidRDefault="00000000">
      <w:pPr>
        <w:pStyle w:val="divbocontentwrapperbocenterpParagraph"/>
        <w:spacing w:after="120" w:line="360" w:lineRule="auto"/>
        <w:ind w:left="600" w:right="150"/>
        <w:rPr>
          <w:b/>
          <w:bCs/>
          <w:color w:val="000000"/>
        </w:rPr>
      </w:pPr>
      <w:r>
        <w:rPr>
          <w:b/>
          <w:bCs/>
          <w:color w:val="000000"/>
        </w:rPr>
        <w:t xml:space="preserve">Der Anspruch auf Erstattung des Wertes einer Gesellschaftersicherheit nach den so genannten Rechtsprechungsregeln verjährt gem. </w:t>
      </w:r>
      <w:r>
        <w:rPr>
          <w:rStyle w:val="any"/>
          <w:b/>
          <w:bCs/>
          <w:color w:val="000000"/>
        </w:rPr>
        <w:t xml:space="preserve">§ </w:t>
      </w:r>
      <w:hyperlink r:id="rId10" w:history="1">
        <w:r>
          <w:rPr>
            <w:rStyle w:val="bocontentwrapperbocenteranotbeck-btn"/>
            <w:b/>
            <w:bCs/>
            <w:color w:val="000000"/>
            <w:u w:val="single" w:color="000000"/>
          </w:rPr>
          <w:t>31</w:t>
        </w:r>
      </w:hyperlink>
      <w:r>
        <w:rPr>
          <w:rStyle w:val="any"/>
          <w:b/>
          <w:bCs/>
          <w:color w:val="000000"/>
        </w:rPr>
        <w:t xml:space="preserve"> </w:t>
      </w:r>
      <w:hyperlink r:id="rId11" w:history="1">
        <w:r>
          <w:rPr>
            <w:rStyle w:val="bocontentwrapperbocenteranotbeck-btn"/>
            <w:b/>
            <w:bCs/>
            <w:color w:val="000000"/>
            <w:u w:val="single" w:color="000000"/>
          </w:rPr>
          <w:t>V</w:t>
        </w:r>
      </w:hyperlink>
      <w:r>
        <w:rPr>
          <w:rStyle w:val="any"/>
          <w:b/>
          <w:bCs/>
          <w:color w:val="000000"/>
        </w:rPr>
        <w:t xml:space="preserve"> GmbHG</w:t>
      </w:r>
      <w:r>
        <w:rPr>
          <w:b/>
          <w:bCs/>
          <w:color w:val="000000"/>
        </w:rPr>
        <w:t xml:space="preserve"> in fünf Jahren. Auf diesen Anspruch ist </w:t>
      </w:r>
      <w:r>
        <w:rPr>
          <w:rStyle w:val="any"/>
          <w:b/>
          <w:bCs/>
          <w:color w:val="000000"/>
        </w:rPr>
        <w:t xml:space="preserve">§ </w:t>
      </w:r>
      <w:hyperlink r:id="rId12" w:history="1">
        <w:r>
          <w:rPr>
            <w:rStyle w:val="bocontentwrapperbocenteranotbeck-btn"/>
            <w:b/>
            <w:bCs/>
            <w:color w:val="000000"/>
            <w:u w:val="single" w:color="000000"/>
          </w:rPr>
          <w:t>146</w:t>
        </w:r>
      </w:hyperlink>
      <w:r>
        <w:rPr>
          <w:rStyle w:val="any"/>
          <w:b/>
          <w:bCs/>
          <w:color w:val="000000"/>
        </w:rPr>
        <w:t xml:space="preserve"> InsO</w:t>
      </w:r>
      <w:r>
        <w:rPr>
          <w:b/>
          <w:bCs/>
          <w:color w:val="000000"/>
        </w:rPr>
        <w:t xml:space="preserve"> auch dann nicht anwendbar, wenn zugleich der Tatbestand des </w:t>
      </w:r>
      <w:r>
        <w:rPr>
          <w:rStyle w:val="any"/>
          <w:b/>
          <w:bCs/>
          <w:color w:val="000000"/>
        </w:rPr>
        <w:t xml:space="preserve">§ </w:t>
      </w:r>
      <w:hyperlink r:id="rId13" w:history="1">
        <w:r>
          <w:rPr>
            <w:rStyle w:val="bocontentwrapperbocenteranotbeck-btn"/>
            <w:b/>
            <w:bCs/>
            <w:color w:val="000000"/>
            <w:u w:val="single" w:color="000000"/>
          </w:rPr>
          <w:t>32 b</w:t>
        </w:r>
      </w:hyperlink>
      <w:r>
        <w:rPr>
          <w:rStyle w:val="any"/>
          <w:b/>
          <w:bCs/>
          <w:color w:val="000000"/>
        </w:rPr>
        <w:t xml:space="preserve"> GmbHG</w:t>
      </w:r>
      <w:r>
        <w:rPr>
          <w:b/>
          <w:bCs/>
          <w:color w:val="000000"/>
        </w:rPr>
        <w:t xml:space="preserve"> a. F. erfüllt ist.</w:t>
      </w:r>
    </w:p>
    <w:p w14:paraId="161860AE" w14:textId="77777777" w:rsidR="00234792"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Beschl.</w:t>
      </w:r>
      <w:r>
        <w:rPr>
          <w:color w:val="000000"/>
        </w:rPr>
        <w:t xml:space="preserve"> v. </w:t>
      </w:r>
      <w:r>
        <w:rPr>
          <w:rStyle w:val="any"/>
          <w:color w:val="000000"/>
        </w:rPr>
        <w:t>31. 5. 2011</w:t>
      </w:r>
      <w:r>
        <w:rPr>
          <w:color w:val="000000"/>
        </w:rPr>
        <w:t xml:space="preserve"> − </w:t>
      </w:r>
      <w:r>
        <w:rPr>
          <w:rStyle w:val="any"/>
          <w:color w:val="000000"/>
        </w:rPr>
        <w:t>II ZR 106/10</w:t>
      </w:r>
      <w:r>
        <w:rPr>
          <w:color w:val="000000"/>
        </w:rPr>
        <w:t> (OLG Koblenz)</w:t>
      </w:r>
      <w:bookmarkStart w:id="0" w:name="Y-300-Z-NZG-B-2011-S-904-N-1-Gl-1"/>
      <w:bookmarkEnd w:id="0"/>
    </w:p>
    <w:p w14:paraId="4041C183" w14:textId="77777777" w:rsidR="00234792"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35A99150" w14:textId="77777777" w:rsidR="00234792" w:rsidRDefault="00000000">
      <w:pPr>
        <w:pStyle w:val="divbocontentwrapperbocenterpParagraph"/>
        <w:spacing w:after="120" w:line="360" w:lineRule="auto"/>
        <w:ind w:left="600" w:right="150"/>
        <w:jc w:val="both"/>
        <w:rPr>
          <w:color w:val="000000"/>
        </w:rPr>
      </w:pPr>
      <w:r>
        <w:rPr>
          <w:color w:val="000000"/>
        </w:rPr>
        <w:t xml:space="preserve">Der Kl. ist Insolvenzverwalter über das Vermögen der </w:t>
      </w:r>
      <w:r>
        <w:rPr>
          <w:rStyle w:val="emitalicon"/>
          <w:color w:val="000000"/>
        </w:rPr>
        <w:t>M</w:t>
      </w:r>
      <w:r>
        <w:rPr>
          <w:color w:val="000000"/>
        </w:rPr>
        <w:t>-Bauunternehmen GmbH &amp; Co. KG in K.; die Bekl. ist eine der Kommanditistinnen und Mehrheitsgesellschafterin der Komplementär-GmbH. Der Kl. verlangt die Freigabe des von der Sparkasse zur Auszahlung bereit gehaltenen Übererlöses aus der freihändigen Verwertung eines mit einer Sicherungsgrundschuld belasteten Grundstücks der Bekl. Wegen des Sachverhalts im Einzelnen wird auf die Vorinstanz (</w:t>
      </w:r>
      <w:r>
        <w:rPr>
          <w:rStyle w:val="emitalicon"/>
          <w:color w:val="000000"/>
        </w:rPr>
        <w:t>OLG Koblenz</w:t>
      </w:r>
      <w:r>
        <w:rPr>
          <w:color w:val="000000"/>
        </w:rPr>
        <w:t xml:space="preserve">, </w:t>
      </w:r>
      <w:r>
        <w:rPr>
          <w:rStyle w:val="any"/>
          <w:color w:val="000000"/>
        </w:rPr>
        <w:t xml:space="preserve">BeckRS 2010, </w:t>
      </w:r>
      <w:hyperlink r:id="rId14" w:history="1">
        <w:r>
          <w:rPr>
            <w:rStyle w:val="bocontentwrapperbocenteranotbeck-btn"/>
            <w:color w:val="000000"/>
            <w:u w:val="single" w:color="000000"/>
          </w:rPr>
          <w:t>17619</w:t>
        </w:r>
      </w:hyperlink>
      <w:r>
        <w:rPr>
          <w:color w:val="000000"/>
        </w:rPr>
        <w:t>) verwiesen.</w:t>
      </w:r>
    </w:p>
    <w:p w14:paraId="453871EB" w14:textId="77777777" w:rsidR="00234792" w:rsidRDefault="00000000">
      <w:pPr>
        <w:pStyle w:val="divbocontentwrapperbocenterpParagraph"/>
        <w:spacing w:after="120" w:line="360" w:lineRule="auto"/>
        <w:ind w:left="600" w:right="150"/>
        <w:jc w:val="both"/>
        <w:rPr>
          <w:color w:val="000000"/>
        </w:rPr>
      </w:pPr>
      <w:r>
        <w:rPr>
          <w:color w:val="000000"/>
        </w:rPr>
        <w:t xml:space="preserve">Das </w:t>
      </w:r>
      <w:r>
        <w:rPr>
          <w:rStyle w:val="emitalicon"/>
          <w:color w:val="000000"/>
        </w:rPr>
        <w:t>LG</w:t>
      </w:r>
      <w:r>
        <w:rPr>
          <w:color w:val="000000"/>
        </w:rPr>
        <w:t xml:space="preserve"> hat die Klage abgewiesen; die Berufung des Kl. wurde zurückgewiesen. </w:t>
      </w:r>
    </w:p>
    <w:p w14:paraId="217725A1" w14:textId="77777777" w:rsidR="00234792" w:rsidRDefault="00000000">
      <w:pPr>
        <w:pStyle w:val="divbocontentwrapperbocenterpParagraph"/>
        <w:spacing w:after="120" w:line="360" w:lineRule="auto"/>
        <w:ind w:left="600" w:right="150"/>
        <w:jc w:val="both"/>
        <w:rPr>
          <w:color w:val="000000"/>
        </w:rPr>
      </w:pPr>
      <w:r>
        <w:rPr>
          <w:color w:val="000000"/>
        </w:rPr>
        <w:t>Die Nichtzulassungsbeschwerde des Kl. führte zur Aufhebung und Zurückverweisung.</w:t>
      </w:r>
      <w:bookmarkStart w:id="1" w:name="Y-300-Z-NZG-B-2011-S-904-N-1-Gl-2"/>
      <w:bookmarkEnd w:id="1"/>
    </w:p>
    <w:p w14:paraId="72EB627C" w14:textId="77777777" w:rsidR="00234792"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4B2E1673" w14:textId="77777777" w:rsidR="00234792" w:rsidRDefault="00000000">
      <w:pPr>
        <w:pStyle w:val="divbocontentwrapperbocenterpParagraph"/>
        <w:spacing w:after="120" w:line="360" w:lineRule="auto"/>
        <w:ind w:left="600" w:right="150"/>
        <w:jc w:val="both"/>
        <w:rPr>
          <w:color w:val="000000"/>
        </w:rPr>
      </w:pPr>
      <w:bookmarkStart w:id="2" w:name="Y-300-Z-NZG-B-2011-S-904-N-1-RN-1"/>
      <w:bookmarkEnd w:id="2"/>
      <w:r>
        <w:rPr>
          <w:rStyle w:val="printcontentemrandnr"/>
          <w:rFonts w:ascii="Verdana" w:eastAsia="Verdana" w:hAnsi="Verdana" w:cs="Verdana"/>
          <w:b/>
          <w:bCs/>
          <w:color w:val="000000"/>
          <w:sz w:val="19"/>
          <w:szCs w:val="19"/>
        </w:rPr>
        <w:t>1</w:t>
      </w:r>
      <w:r>
        <w:rPr>
          <w:color w:val="000000"/>
        </w:rPr>
        <w:t xml:space="preserve">Das BerGer. hat bei der Prüfung der Überschuldung der </w:t>
      </w:r>
      <w:r>
        <w:rPr>
          <w:rStyle w:val="emitalicon"/>
          <w:color w:val="000000"/>
        </w:rPr>
        <w:t>M-</w:t>
      </w:r>
      <w:r>
        <w:rPr>
          <w:color w:val="000000"/>
        </w:rPr>
        <w:t>Bauunternehmen-GmbH &amp; Co. KG (im Folgenden: Insolvenzschuldnerin) den Anspruch des Kl. auf rechtliches Gehör in entscheidungserheblicher Weise verletzt.</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234792" w14:paraId="111274BD" w14:textId="77777777">
        <w:tc>
          <w:tcPr>
            <w:tcW w:w="4000" w:type="pct"/>
            <w:shd w:val="clear" w:color="auto" w:fill="F0F0F0"/>
            <w:tcMar>
              <w:top w:w="0" w:type="dxa"/>
              <w:left w:w="0" w:type="dxa"/>
              <w:bottom w:w="0" w:type="dxa"/>
              <w:right w:w="0" w:type="dxa"/>
            </w:tcMar>
            <w:vAlign w:val="center"/>
            <w:hideMark/>
          </w:tcPr>
          <w:p w14:paraId="422006BB" w14:textId="77777777" w:rsidR="00234792" w:rsidRDefault="00000000">
            <w:pPr>
              <w:pStyle w:val="divpgdescrpspantitel"/>
              <w:spacing w:after="120"/>
              <w:ind w:left="330"/>
              <w:rPr>
                <w:color w:val="000000"/>
              </w:rPr>
            </w:pPr>
            <w:r>
              <w:rPr>
                <w:color w:val="000000"/>
              </w:rPr>
              <w:t>BGH: Erstattung des Wertes einer Gesellschaftersicherheit nach Rechtsprechungsregeln – Verjährung</w:t>
            </w:r>
            <w:r>
              <w:rPr>
                <w:rStyle w:val="citation"/>
                <w:color w:val="000000"/>
              </w:rPr>
              <w:t>(NZG 2011, 904)</w:t>
            </w:r>
          </w:p>
        </w:tc>
        <w:tc>
          <w:tcPr>
            <w:tcW w:w="1000" w:type="pct"/>
            <w:shd w:val="clear" w:color="auto" w:fill="F0F0F0"/>
            <w:tcMar>
              <w:top w:w="0" w:type="dxa"/>
              <w:left w:w="0" w:type="dxa"/>
              <w:bottom w:w="0" w:type="dxa"/>
              <w:right w:w="0" w:type="dxa"/>
            </w:tcMar>
            <w:vAlign w:val="center"/>
            <w:hideMark/>
          </w:tcPr>
          <w:p w14:paraId="61AEFC50" w14:textId="77777777" w:rsidR="00234792"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905</w:t>
            </w:r>
          </w:p>
        </w:tc>
      </w:tr>
    </w:tbl>
    <w:p w14:paraId="0C152AD0" w14:textId="77777777" w:rsidR="00234792" w:rsidRDefault="00000000">
      <w:pPr>
        <w:pStyle w:val="divbocontentwrapperbocenterpParagraph"/>
        <w:spacing w:after="120" w:line="360" w:lineRule="auto"/>
        <w:ind w:left="600" w:right="150"/>
        <w:jc w:val="both"/>
        <w:rPr>
          <w:color w:val="000000"/>
        </w:rPr>
      </w:pPr>
      <w:bookmarkStart w:id="3" w:name="Y-300-Z-NZG-B-2011-S-904-N-1-RN-2"/>
      <w:bookmarkEnd w:id="3"/>
      <w:r>
        <w:rPr>
          <w:rStyle w:val="printcontentemrandnr"/>
          <w:rFonts w:ascii="Verdana" w:eastAsia="Verdana" w:hAnsi="Verdana" w:cs="Verdana"/>
          <w:b/>
          <w:bCs/>
          <w:color w:val="000000"/>
          <w:sz w:val="19"/>
          <w:szCs w:val="19"/>
        </w:rPr>
        <w:t>2</w:t>
      </w:r>
      <w:r>
        <w:rPr>
          <w:color w:val="000000"/>
        </w:rPr>
        <w:t xml:space="preserve">1. Noch zutreffend ist das BerGer. davon ausgegangen, dass auf den Fall </w:t>
      </w:r>
      <w:r>
        <w:rPr>
          <w:rStyle w:val="any"/>
          <w:color w:val="000000"/>
        </w:rPr>
        <w:t>§§ </w:t>
      </w:r>
      <w:hyperlink r:id="rId15" w:history="1">
        <w:r>
          <w:rPr>
            <w:rStyle w:val="bocontentwrapperbocenteranotbeck-btn"/>
            <w:color w:val="000000"/>
            <w:u w:val="single" w:color="000000"/>
          </w:rPr>
          <w:t>32 a</w:t>
        </w:r>
      </w:hyperlink>
      <w:r>
        <w:rPr>
          <w:rStyle w:val="any"/>
          <w:color w:val="000000"/>
        </w:rPr>
        <w:t xml:space="preserve">, </w:t>
      </w:r>
      <w:hyperlink r:id="rId16" w:history="1">
        <w:r>
          <w:rPr>
            <w:rStyle w:val="bocontentwrapperbocenteranotbeck-btn"/>
            <w:color w:val="000000"/>
            <w:u w:val="single" w:color="000000"/>
          </w:rPr>
          <w:t>32 b</w:t>
        </w:r>
      </w:hyperlink>
      <w:r>
        <w:rPr>
          <w:rStyle w:val="any"/>
          <w:color w:val="000000"/>
        </w:rPr>
        <w:t xml:space="preserve"> GmbHG</w:t>
      </w:r>
      <w:r>
        <w:rPr>
          <w:color w:val="000000"/>
        </w:rPr>
        <w:t xml:space="preserve"> a. F. und die so genannten Rechtsprechungsregeln zu den eigenkapitalersetzenden Gesellschafterleistungen zur Anwendung kommen, weil das Insolvenzverfahren vor dem 1. 11. 2008 eröffnet worden ist (</w:t>
      </w:r>
      <w:r>
        <w:rPr>
          <w:rStyle w:val="any"/>
          <w:color w:val="000000"/>
        </w:rPr>
        <w:t xml:space="preserve">BGHZ 179, </w:t>
      </w:r>
      <w:hyperlink r:id="rId17" w:history="1">
        <w:r>
          <w:rPr>
            <w:rStyle w:val="bocontentwrapperbocenteranotbeck-btn"/>
            <w:color w:val="000000"/>
            <w:u w:val="single" w:color="000000"/>
          </w:rPr>
          <w:t>249</w:t>
        </w:r>
      </w:hyperlink>
      <w:r>
        <w:rPr>
          <w:color w:val="000000"/>
        </w:rPr>
        <w:t xml:space="preserve"> = </w:t>
      </w:r>
      <w:r>
        <w:rPr>
          <w:rStyle w:val="any"/>
          <w:color w:val="000000"/>
        </w:rPr>
        <w:t xml:space="preserve">NZG 2009, </w:t>
      </w:r>
      <w:hyperlink r:id="rId18" w:history="1">
        <w:r>
          <w:rPr>
            <w:rStyle w:val="bocontentwrapperbocenteranotbeck-btn"/>
            <w:color w:val="000000"/>
            <w:u w:val="single" w:color="000000"/>
          </w:rPr>
          <w:t>422</w:t>
        </w:r>
      </w:hyperlink>
      <w:r>
        <w:rPr>
          <w:color w:val="000000"/>
        </w:rPr>
        <w:t xml:space="preserve"> = </w:t>
      </w:r>
      <w:r>
        <w:rPr>
          <w:rStyle w:val="any"/>
          <w:color w:val="000000"/>
        </w:rPr>
        <w:t xml:space="preserve">NJW 2009, </w:t>
      </w:r>
      <w:hyperlink r:id="rId19" w:history="1">
        <w:r>
          <w:rPr>
            <w:rStyle w:val="bocontentwrapperbocenteranotbeck-btn"/>
            <w:color w:val="000000"/>
            <w:u w:val="single" w:color="000000"/>
          </w:rPr>
          <w:t>1277</w:t>
        </w:r>
      </w:hyperlink>
      <w:r>
        <w:rPr>
          <w:rStyle w:val="any"/>
          <w:color w:val="000000"/>
        </w:rPr>
        <w:t xml:space="preserve"> Rdnrn. </w:t>
      </w:r>
      <w:hyperlink r:id="rId20" w:history="1">
        <w:r>
          <w:rPr>
            <w:rStyle w:val="bocontentwrapperbocenteranotbeck-btn"/>
            <w:color w:val="000000"/>
            <w:u w:val="single" w:color="000000"/>
          </w:rPr>
          <w:t>9</w:t>
        </w:r>
      </w:hyperlink>
      <w:r>
        <w:rPr>
          <w:color w:val="000000"/>
        </w:rPr>
        <w:t xml:space="preserve"> ff.– Gut Buschow). Nach diesen Regeln wird eine Sicherheit für eine Gesellschaftsverbindlichkeit u. a. dann wie Eigenkapital behandelt, wenn der Gesellschafter diese Sicherheit außerhalb einer Krise bestellt hat und bei </w:t>
      </w:r>
      <w:r>
        <w:rPr>
          <w:color w:val="000000"/>
        </w:rPr>
        <w:lastRenderedPageBreak/>
        <w:t>Eintritt der Krise weder entzieht, obwohl dies möglich ist, noch die Gesellschaft in die Liquidation führt. Eine Krise in diesem Sinne liegt vor, wenn die Gesellschaft insolvenzreif oder kreditunwürdig ist (</w:t>
      </w:r>
      <w:r>
        <w:rPr>
          <w:rStyle w:val="emitalicon"/>
          <w:color w:val="000000"/>
        </w:rPr>
        <w:t>BGH</w:t>
      </w:r>
      <w:r>
        <w:rPr>
          <w:color w:val="000000"/>
        </w:rPr>
        <w:t xml:space="preserve">, </w:t>
      </w:r>
      <w:r>
        <w:rPr>
          <w:rStyle w:val="any"/>
          <w:color w:val="000000"/>
        </w:rPr>
        <w:t xml:space="preserve">NZG 2011, </w:t>
      </w:r>
      <w:hyperlink r:id="rId21" w:history="1">
        <w:r>
          <w:rPr>
            <w:rStyle w:val="bocontentwrapperbocenteranotbeck-btn"/>
            <w:color w:val="000000"/>
            <w:u w:val="single" w:color="000000"/>
          </w:rPr>
          <w:t>273</w:t>
        </w:r>
      </w:hyperlink>
      <w:r>
        <w:rPr>
          <w:color w:val="000000"/>
        </w:rPr>
        <w:t xml:space="preserve"> = </w:t>
      </w:r>
      <w:r>
        <w:rPr>
          <w:rStyle w:val="any"/>
          <w:color w:val="000000"/>
        </w:rPr>
        <w:t xml:space="preserve">NJW 2011, </w:t>
      </w:r>
      <w:hyperlink r:id="rId22" w:history="1">
        <w:r>
          <w:rPr>
            <w:rStyle w:val="bocontentwrapperbocenteranotbeck-btn"/>
            <w:color w:val="000000"/>
            <w:u w:val="single" w:color="000000"/>
          </w:rPr>
          <w:t>844</w:t>
        </w:r>
      </w:hyperlink>
      <w:r>
        <w:rPr>
          <w:color w:val="000000"/>
        </w:rPr>
        <w:t xml:space="preserve"> = </w:t>
      </w:r>
      <w:r>
        <w:rPr>
          <w:rStyle w:val="any"/>
          <w:color w:val="000000"/>
        </w:rPr>
        <w:t xml:space="preserve">ZIP 2011, </w:t>
      </w:r>
      <w:hyperlink r:id="rId23" w:history="1">
        <w:r>
          <w:rPr>
            <w:rStyle w:val="bocontentwrapperbocenteranotbeck-btn"/>
            <w:color w:val="000000"/>
            <w:u w:val="single" w:color="000000"/>
          </w:rPr>
          <w:t>328</w:t>
        </w:r>
      </w:hyperlink>
      <w:r>
        <w:rPr>
          <w:rStyle w:val="any"/>
          <w:color w:val="000000"/>
        </w:rPr>
        <w:t xml:space="preserve"> Rdnr. </w:t>
      </w:r>
      <w:hyperlink r:id="rId24" w:history="1">
        <w:r>
          <w:rPr>
            <w:rStyle w:val="bocontentwrapperbocenteranotbeck-btn"/>
            <w:color w:val="000000"/>
            <w:u w:val="single" w:color="000000"/>
          </w:rPr>
          <w:t>21</w:t>
        </w:r>
      </w:hyperlink>
      <w:r>
        <w:rPr>
          <w:color w:val="000000"/>
        </w:rPr>
        <w:t xml:space="preserve">). Bei einer GmbH &amp; Co. KG – wie hier – gilt gem. </w:t>
      </w:r>
      <w:r>
        <w:rPr>
          <w:rStyle w:val="any"/>
          <w:color w:val="000000"/>
        </w:rPr>
        <w:t xml:space="preserve">§ </w:t>
      </w:r>
      <w:hyperlink r:id="rId25" w:history="1">
        <w:r>
          <w:rPr>
            <w:rStyle w:val="bocontentwrapperbocenteranotbeck-btn"/>
            <w:color w:val="000000"/>
            <w:u w:val="single" w:color="000000"/>
          </w:rPr>
          <w:t>172 a</w:t>
        </w:r>
      </w:hyperlink>
      <w:r>
        <w:rPr>
          <w:rStyle w:val="any"/>
          <w:color w:val="000000"/>
        </w:rPr>
        <w:t xml:space="preserve"> HGB</w:t>
      </w:r>
      <w:r>
        <w:rPr>
          <w:color w:val="000000"/>
        </w:rPr>
        <w:t xml:space="preserve"> dasselbe, wenn ein Gesellschafter der Komplementär-GmbH oder ein Kommanditist eine Sicherheit zu Gunsten der Kommanditgesellschaft bestellt (</w:t>
      </w:r>
      <w:r>
        <w:rPr>
          <w:rStyle w:val="any"/>
          <w:color w:val="000000"/>
        </w:rPr>
        <w:t xml:space="preserve">BGHZ 67, </w:t>
      </w:r>
      <w:hyperlink r:id="rId26" w:history="1">
        <w:r>
          <w:rPr>
            <w:rStyle w:val="bocontentwrapperbocenteranotbeck-btn"/>
            <w:color w:val="000000"/>
            <w:u w:val="single" w:color="000000"/>
          </w:rPr>
          <w:t>171</w:t>
        </w:r>
      </w:hyperlink>
      <w:r>
        <w:rPr>
          <w:rStyle w:val="any"/>
          <w:color w:val="000000"/>
        </w:rPr>
        <w:t xml:space="preserve"> [</w:t>
      </w:r>
      <w:hyperlink r:id="rId27" w:history="1">
        <w:r>
          <w:rPr>
            <w:rStyle w:val="bocontentwrapperbocenteranotbeck-btn"/>
            <w:color w:val="000000"/>
            <w:u w:val="single" w:color="000000"/>
          </w:rPr>
          <w:t>182</w:t>
        </w:r>
      </w:hyperlink>
      <w:r>
        <w:rPr>
          <w:color w:val="000000"/>
        </w:rPr>
        <w:t xml:space="preserve"> f.] = </w:t>
      </w:r>
      <w:r>
        <w:rPr>
          <w:rStyle w:val="any"/>
          <w:color w:val="000000"/>
        </w:rPr>
        <w:t xml:space="preserve">NJW 1977, </w:t>
      </w:r>
      <w:hyperlink r:id="rId28" w:history="1">
        <w:r>
          <w:rPr>
            <w:rStyle w:val="bocontentwrapperbocenteranotbeck-btn"/>
            <w:color w:val="000000"/>
            <w:u w:val="single" w:color="000000"/>
          </w:rPr>
          <w:t>104</w:t>
        </w:r>
      </w:hyperlink>
      <w:r>
        <w:rPr>
          <w:color w:val="000000"/>
        </w:rPr>
        <w:t xml:space="preserve">; </w:t>
      </w:r>
      <w:r>
        <w:rPr>
          <w:rStyle w:val="any"/>
          <w:color w:val="000000"/>
        </w:rPr>
        <w:t xml:space="preserve">BGHZ 81, </w:t>
      </w:r>
      <w:hyperlink r:id="rId29" w:history="1">
        <w:r>
          <w:rPr>
            <w:rStyle w:val="bocontentwrapperbocenteranotbeck-btn"/>
            <w:color w:val="000000"/>
            <w:u w:val="single" w:color="000000"/>
          </w:rPr>
          <w:t>252</w:t>
        </w:r>
      </w:hyperlink>
      <w:r>
        <w:rPr>
          <w:rStyle w:val="any"/>
          <w:color w:val="000000"/>
        </w:rPr>
        <w:t xml:space="preserve"> [</w:t>
      </w:r>
      <w:hyperlink r:id="rId30" w:history="1">
        <w:r>
          <w:rPr>
            <w:rStyle w:val="bocontentwrapperbocenteranotbeck-btn"/>
            <w:color w:val="000000"/>
            <w:u w:val="single" w:color="000000"/>
          </w:rPr>
          <w:t>255</w:t>
        </w:r>
      </w:hyperlink>
      <w:r>
        <w:rPr>
          <w:color w:val="000000"/>
        </w:rPr>
        <w:t xml:space="preserve"> ff.] = </w:t>
      </w:r>
      <w:r>
        <w:rPr>
          <w:rStyle w:val="any"/>
          <w:color w:val="000000"/>
        </w:rPr>
        <w:t xml:space="preserve">NJW 1981, </w:t>
      </w:r>
      <w:hyperlink r:id="rId31" w:history="1">
        <w:r>
          <w:rPr>
            <w:rStyle w:val="bocontentwrapperbocenteranotbeck-btn"/>
            <w:color w:val="000000"/>
            <w:u w:val="single" w:color="000000"/>
          </w:rPr>
          <w:t>2570</w:t>
        </w:r>
      </w:hyperlink>
      <w:r>
        <w:rPr>
          <w:color w:val="000000"/>
        </w:rPr>
        <w:t>).</w:t>
      </w:r>
    </w:p>
    <w:p w14:paraId="2318313A" w14:textId="77777777" w:rsidR="00234792" w:rsidRDefault="00000000">
      <w:pPr>
        <w:pStyle w:val="divbocontentwrapperbocenterpParagraph"/>
        <w:spacing w:after="120" w:line="360" w:lineRule="auto"/>
        <w:ind w:left="600" w:right="150"/>
        <w:jc w:val="both"/>
        <w:rPr>
          <w:color w:val="000000"/>
        </w:rPr>
      </w:pPr>
      <w:bookmarkStart w:id="4" w:name="Y-300-Z-NZG-B-2011-S-904-N-1-RN-3"/>
      <w:bookmarkEnd w:id="4"/>
      <w:r>
        <w:rPr>
          <w:rStyle w:val="printcontentemrandnr"/>
          <w:rFonts w:ascii="Verdana" w:eastAsia="Verdana" w:hAnsi="Verdana" w:cs="Verdana"/>
          <w:b/>
          <w:bCs/>
          <w:color w:val="000000"/>
          <w:sz w:val="19"/>
          <w:szCs w:val="19"/>
        </w:rPr>
        <w:t>3</w:t>
      </w:r>
      <w:r>
        <w:rPr>
          <w:color w:val="000000"/>
        </w:rPr>
        <w:t>2. Das BerGer. hat jedoch jedenfalls bei seiner Annahme, eine Insolvenzreife in Form einer Überschuldung könne nicht festgestellt werden, Vortrag des Kl. außer Acht gelassen.</w:t>
      </w:r>
    </w:p>
    <w:p w14:paraId="7225325E" w14:textId="77777777" w:rsidR="00234792" w:rsidRDefault="00000000">
      <w:pPr>
        <w:pStyle w:val="divbocontentwrapperbocenterpParagraph"/>
        <w:spacing w:after="120" w:line="360" w:lineRule="auto"/>
        <w:ind w:left="600" w:right="150"/>
        <w:jc w:val="both"/>
        <w:rPr>
          <w:color w:val="000000"/>
        </w:rPr>
      </w:pPr>
      <w:bookmarkStart w:id="5" w:name="Y-300-Z-NZG-B-2011-S-904-N-1-RN-4"/>
      <w:bookmarkEnd w:id="5"/>
      <w:r>
        <w:rPr>
          <w:rStyle w:val="printcontentemrandnr"/>
          <w:rFonts w:ascii="Verdana" w:eastAsia="Verdana" w:hAnsi="Verdana" w:cs="Verdana"/>
          <w:b/>
          <w:bCs/>
          <w:color w:val="000000"/>
          <w:sz w:val="19"/>
          <w:szCs w:val="19"/>
        </w:rPr>
        <w:t>4</w:t>
      </w:r>
      <w:r>
        <w:rPr>
          <w:color w:val="000000"/>
        </w:rPr>
        <w:t xml:space="preserve">Nach der ständigen Rechtsprechung des </w:t>
      </w:r>
      <w:r>
        <w:rPr>
          <w:rStyle w:val="emitalicon"/>
          <w:color w:val="000000"/>
        </w:rPr>
        <w:t>Senats</w:t>
      </w:r>
      <w:r>
        <w:rPr>
          <w:color w:val="000000"/>
        </w:rPr>
        <w:t xml:space="preserve"> trägt der Insolvenzverwalter die Darlegungs- und Beweislast für den objektiven Tatbestand einer haftungsbegründenden Insolvenzverschleppung und damit auch für die Überschuldung der Gesellschaft. Für die Feststellung, dass die Gesellschaft insolvenzrechtlich überschuldet ist, bedarf es grundsätzlich der Aufstellung einer Überschuldungsbilanz, in der die Vermögenswerte der Gesellschaft mit ihren aktuellen Verkehrs- oder Liquidationswerten auszuweisen sind. Hingegen kommt einer Handelsbilanz für die Frage, ob die Gesellschaft überschuldet ist, lediglich indizielle Bedeutung zu. Legt der Anspruchsteller für seine Behauptung, die Gesellschaft sei überschuldet gewesen, nur eine Handelsbilanz vor, aus der sich ein nicht durch Eigenkapital gedeckter Fehlbetrag ergibt, hat er jedenfalls die Ansätze dieser Bilanz darauf zu überprüfen und zu erläutern, ob und gegebenenfalls in welchem Umfang stille Reserven oder sonstige aus ihr nicht ersichtliche Vermögenswerte vorhanden sind. Ist der Anspruchsteller diesen Anforderungen nachgekommen, ist es Sache des beklagten Gesellschafters, im Rahmen seiner sekundären Darlegungslast im Einzelnen vorzutragen, welche stillen Reserven oder sonstigen für eine Überschuldungsbilanz maßgeblichen Werte in der Handelsbilanz nicht abgebildet sind (</w:t>
      </w:r>
      <w:r>
        <w:rPr>
          <w:rStyle w:val="emitalicon"/>
          <w:color w:val="000000"/>
        </w:rPr>
        <w:t>BGH</w:t>
      </w:r>
      <w:r>
        <w:rPr>
          <w:color w:val="000000"/>
        </w:rPr>
        <w:t xml:space="preserve">, </w:t>
      </w:r>
      <w:r>
        <w:rPr>
          <w:rStyle w:val="any"/>
          <w:color w:val="000000"/>
        </w:rPr>
        <w:t xml:space="preserve">NZG 2011, </w:t>
      </w:r>
      <w:hyperlink r:id="rId32" w:history="1">
        <w:r>
          <w:rPr>
            <w:rStyle w:val="bocontentwrapperbocenteranotbeck-btn"/>
            <w:color w:val="000000"/>
            <w:u w:val="single" w:color="000000"/>
          </w:rPr>
          <w:t>624</w:t>
        </w:r>
      </w:hyperlink>
      <w:r>
        <w:rPr>
          <w:color w:val="000000"/>
        </w:rPr>
        <w:t xml:space="preserve"> = </w:t>
      </w:r>
      <w:r>
        <w:rPr>
          <w:rStyle w:val="any"/>
          <w:color w:val="000000"/>
        </w:rPr>
        <w:t xml:space="preserve">ZIP 2011, </w:t>
      </w:r>
      <w:hyperlink r:id="rId33" w:history="1">
        <w:r>
          <w:rPr>
            <w:rStyle w:val="bocontentwrapperbocenteranotbeck-btn"/>
            <w:color w:val="000000"/>
            <w:u w:val="single" w:color="000000"/>
          </w:rPr>
          <w:t>1007</w:t>
        </w:r>
      </w:hyperlink>
      <w:r>
        <w:rPr>
          <w:rStyle w:val="any"/>
          <w:color w:val="000000"/>
        </w:rPr>
        <w:t xml:space="preserve"> Rdnr. </w:t>
      </w:r>
      <w:hyperlink r:id="rId34" w:history="1">
        <w:r>
          <w:rPr>
            <w:rStyle w:val="bocontentwrapperbocenteranotbeck-btn"/>
            <w:color w:val="000000"/>
            <w:u w:val="single" w:color="000000"/>
          </w:rPr>
          <w:t>33</w:t>
        </w:r>
      </w:hyperlink>
      <w:r>
        <w:rPr>
          <w:color w:val="000000"/>
        </w:rPr>
        <w:t>, m. w. Nachw. für den vergleichbaren Fall des Geschäftsführers).</w:t>
      </w:r>
    </w:p>
    <w:p w14:paraId="180A381D" w14:textId="77777777" w:rsidR="00234792" w:rsidRDefault="00000000">
      <w:pPr>
        <w:pStyle w:val="divbocontentwrapperbocenterpParagraph"/>
        <w:spacing w:after="120" w:line="360" w:lineRule="auto"/>
        <w:ind w:left="600" w:right="150"/>
        <w:jc w:val="both"/>
        <w:rPr>
          <w:color w:val="000000"/>
        </w:rPr>
      </w:pPr>
      <w:bookmarkStart w:id="6" w:name="Y-300-Z-NZG-B-2011-S-904-N-1-RN-5"/>
      <w:bookmarkEnd w:id="6"/>
      <w:r>
        <w:rPr>
          <w:rStyle w:val="printcontentemrandnr"/>
          <w:rFonts w:ascii="Verdana" w:eastAsia="Verdana" w:hAnsi="Verdana" w:cs="Verdana"/>
          <w:b/>
          <w:bCs/>
          <w:color w:val="000000"/>
          <w:sz w:val="19"/>
          <w:szCs w:val="19"/>
        </w:rPr>
        <w:t>5</w:t>
      </w:r>
      <w:r>
        <w:rPr>
          <w:color w:val="000000"/>
        </w:rPr>
        <w:t>Danach reicht der Vortrag des Kl. hier aus, um eine Überschuldung im insolvenzrechtlichen Sinne darzulegen. Der Kl. hat eine – von ihm gefertigte – Handelsbilanz zum 31. 12. 2003 vorgelegt. Weiter hat er sowohl in der Klageschrift als auch später behauptet, es seien bei der Insolvenzschuldnerin keine stillen Reserven vorhanden gewesen.</w:t>
      </w:r>
    </w:p>
    <w:p w14:paraId="5B175CAB" w14:textId="77777777" w:rsidR="00234792" w:rsidRDefault="00000000">
      <w:pPr>
        <w:pStyle w:val="divbocontentwrapperbocenterpParagraph"/>
        <w:spacing w:after="120" w:line="360" w:lineRule="auto"/>
        <w:ind w:left="600" w:right="150"/>
        <w:jc w:val="both"/>
        <w:rPr>
          <w:color w:val="000000"/>
        </w:rPr>
      </w:pPr>
      <w:bookmarkStart w:id="7" w:name="Y-300-Z-NZG-B-2011-S-904-N-1-RN-6"/>
      <w:bookmarkEnd w:id="7"/>
      <w:r>
        <w:rPr>
          <w:rStyle w:val="printcontentemrandnr"/>
          <w:rFonts w:ascii="Verdana" w:eastAsia="Verdana" w:hAnsi="Verdana" w:cs="Verdana"/>
          <w:b/>
          <w:bCs/>
          <w:color w:val="000000"/>
          <w:sz w:val="19"/>
          <w:szCs w:val="19"/>
        </w:rPr>
        <w:t>6</w:t>
      </w:r>
      <w:r>
        <w:rPr>
          <w:color w:val="000000"/>
        </w:rPr>
        <w:t xml:space="preserve">Die vom Kl. erstellte Handelsbilanz weist allerdings die rechnerische Überschuldung nicht offen aus. Die Gesellschafterdarlehen in Höhe von rund 1,5 Mio. Euro sind unzutreffend auf der Aktivseite gebucht. Richtig müssen sie entweder auf der </w:t>
      </w:r>
      <w:r>
        <w:rPr>
          <w:color w:val="000000"/>
        </w:rPr>
        <w:lastRenderedPageBreak/>
        <w:t>Passivseite aufgeführt werden oder – bei einem qualifizierten Rangrücktritt – bei der Feststellung der Überschuldung unberücksichtigt bleiben. In beiden Fällen ist das bereinigte Aktivvermögen aber geringer als die Summe der Verbindlichkeiten und Rückstellungen. Es liegt also eine rechnerische Überschuldung vor.</w:t>
      </w:r>
    </w:p>
    <w:p w14:paraId="2A4AE570" w14:textId="77777777" w:rsidR="00234792" w:rsidRDefault="00000000">
      <w:pPr>
        <w:pStyle w:val="divbocontentwrapperbocenterpParagraph"/>
        <w:spacing w:after="120" w:line="360" w:lineRule="auto"/>
        <w:ind w:left="600" w:right="150"/>
        <w:jc w:val="both"/>
        <w:rPr>
          <w:color w:val="000000"/>
        </w:rPr>
      </w:pPr>
      <w:bookmarkStart w:id="8" w:name="Y-300-Z-NZG-B-2011-S-904-N-1-RN-7"/>
      <w:bookmarkEnd w:id="8"/>
      <w:r>
        <w:rPr>
          <w:rStyle w:val="printcontentemrandnr"/>
          <w:rFonts w:ascii="Verdana" w:eastAsia="Verdana" w:hAnsi="Verdana" w:cs="Verdana"/>
          <w:b/>
          <w:bCs/>
          <w:color w:val="000000"/>
          <w:sz w:val="19"/>
          <w:szCs w:val="19"/>
        </w:rPr>
        <w:t>7</w:t>
      </w:r>
      <w:r>
        <w:rPr>
          <w:color w:val="000000"/>
        </w:rPr>
        <w:t>3. Der Verfahrensfehler des BerGer. ist auch entscheidungserheblich.</w:t>
      </w:r>
    </w:p>
    <w:p w14:paraId="1650C0F2" w14:textId="77777777" w:rsidR="00234792" w:rsidRDefault="00000000">
      <w:pPr>
        <w:pStyle w:val="divbocontentwrapperbocenterpParagraph"/>
        <w:spacing w:after="120" w:line="360" w:lineRule="auto"/>
        <w:ind w:left="600" w:right="150"/>
        <w:jc w:val="both"/>
        <w:rPr>
          <w:color w:val="000000"/>
        </w:rPr>
      </w:pPr>
      <w:bookmarkStart w:id="9" w:name="Y-300-Z-NZG-B-2011-S-904-N-1-RN-8"/>
      <w:bookmarkEnd w:id="9"/>
      <w:r>
        <w:rPr>
          <w:rStyle w:val="printcontentemrandnr"/>
          <w:rFonts w:ascii="Verdana" w:eastAsia="Verdana" w:hAnsi="Verdana" w:cs="Verdana"/>
          <w:b/>
          <w:bCs/>
          <w:color w:val="000000"/>
          <w:sz w:val="19"/>
          <w:szCs w:val="19"/>
        </w:rPr>
        <w:t>8</w:t>
      </w:r>
      <w:r>
        <w:rPr>
          <w:color w:val="000000"/>
        </w:rPr>
        <w:t xml:space="preserve">a) Für die Annahme einer Überschuldung kommt es hier nicht darauf an, ob eine Fortführung des Unternehmens nach den Umständen überwiegend wahrscheinlich war. Davon hängt nach </w:t>
      </w:r>
      <w:r>
        <w:rPr>
          <w:rStyle w:val="any"/>
          <w:color w:val="000000"/>
        </w:rPr>
        <w:t xml:space="preserve">§ </w:t>
      </w:r>
      <w:hyperlink r:id="rId35" w:history="1">
        <w:r>
          <w:rPr>
            <w:rStyle w:val="bocontentwrapperbocenteranotbeck-btn"/>
            <w:color w:val="000000"/>
            <w:u w:val="single" w:color="000000"/>
          </w:rPr>
          <w:t>19</w:t>
        </w:r>
      </w:hyperlink>
      <w:r>
        <w:rPr>
          <w:rStyle w:val="any"/>
          <w:color w:val="000000"/>
        </w:rPr>
        <w:t xml:space="preserve"> </w:t>
      </w:r>
      <w:hyperlink r:id="rId36" w:history="1">
        <w:r>
          <w:rPr>
            <w:rStyle w:val="bocontentwrapperbocenteranotbeck-btn"/>
            <w:color w:val="000000"/>
            <w:u w:val="single" w:color="000000"/>
          </w:rPr>
          <w:t>II</w:t>
        </w:r>
      </w:hyperlink>
      <w:r>
        <w:rPr>
          <w:rStyle w:val="any"/>
          <w:color w:val="000000"/>
        </w:rPr>
        <w:t xml:space="preserve"> InsO</w:t>
      </w:r>
      <w:r>
        <w:rPr>
          <w:color w:val="000000"/>
        </w:rPr>
        <w:t xml:space="preserve"> in der bis zum 17. 10. 2008 geltenden und hier zur Anwendung kommenden Fassung nur ab, ob die rechnerische Überschuldung anhand der Fortführungs- oder der Liquidationswerte zu ermitteln ist. Der Kl. hat eine Handelsbilanz vorgelegt, also Fortführungswerte zu Grunde gelegt. Da diese regelmäßig höher sind als die Liquidationswerte, ist damit die Überschuldung unabhängig von der Fortführungsprognose dargelegt.</w:t>
      </w:r>
    </w:p>
    <w:p w14:paraId="3306D3CA" w14:textId="77777777" w:rsidR="00234792" w:rsidRDefault="00000000">
      <w:pPr>
        <w:pStyle w:val="divbocontentwrapperbocenterpParagraph"/>
        <w:spacing w:after="120" w:line="360" w:lineRule="auto"/>
        <w:ind w:left="600" w:right="150"/>
        <w:jc w:val="both"/>
        <w:rPr>
          <w:color w:val="000000"/>
        </w:rPr>
      </w:pPr>
      <w:bookmarkStart w:id="10" w:name="Y-300-Z-NZG-B-2011-S-904-N-1-RN-9"/>
      <w:bookmarkEnd w:id="10"/>
      <w:r>
        <w:rPr>
          <w:rStyle w:val="printcontentemrandnr"/>
          <w:rFonts w:ascii="Verdana" w:eastAsia="Verdana" w:hAnsi="Verdana" w:cs="Verdana"/>
          <w:b/>
          <w:bCs/>
          <w:color w:val="000000"/>
          <w:sz w:val="19"/>
          <w:szCs w:val="19"/>
        </w:rPr>
        <w:t>9</w:t>
      </w:r>
      <w:r>
        <w:rPr>
          <w:color w:val="000000"/>
        </w:rPr>
        <w:t>Im Übrigen obliegt dem in Anspruch genommenen Gesellschafter, die Umstände darzulegen, die es aus damaliger Sicht rechtfertigten, das Unternehmen trotz der rechnerischen Überschuldung fortzuführen (</w:t>
      </w:r>
      <w:r>
        <w:rPr>
          <w:rStyle w:val="emitalicon"/>
          <w:color w:val="000000"/>
        </w:rPr>
        <w:t>BGH</w:t>
      </w:r>
      <w:r>
        <w:rPr>
          <w:color w:val="000000"/>
        </w:rPr>
        <w:t xml:space="preserve">, </w:t>
      </w:r>
      <w:r>
        <w:rPr>
          <w:rStyle w:val="any"/>
          <w:color w:val="000000"/>
        </w:rPr>
        <w:t xml:space="preserve">NZG 2011, </w:t>
      </w:r>
      <w:hyperlink r:id="rId37" w:history="1">
        <w:r>
          <w:rPr>
            <w:rStyle w:val="bocontentwrapperbocenteranotbeck-btn"/>
            <w:color w:val="000000"/>
            <w:u w:val="single" w:color="000000"/>
          </w:rPr>
          <w:t>624</w:t>
        </w:r>
      </w:hyperlink>
      <w:r>
        <w:rPr>
          <w:color w:val="000000"/>
        </w:rPr>
        <w:t xml:space="preserve"> = </w:t>
      </w:r>
      <w:r>
        <w:rPr>
          <w:rStyle w:val="any"/>
          <w:color w:val="000000"/>
        </w:rPr>
        <w:t xml:space="preserve">ZIP 2011, </w:t>
      </w:r>
      <w:hyperlink r:id="rId38" w:history="1">
        <w:r>
          <w:rPr>
            <w:rStyle w:val="bocontentwrapperbocenteranotbeck-btn"/>
            <w:color w:val="000000"/>
            <w:u w:val="single" w:color="000000"/>
          </w:rPr>
          <w:t>1007</w:t>
        </w:r>
      </w:hyperlink>
      <w:r>
        <w:rPr>
          <w:rStyle w:val="any"/>
          <w:color w:val="000000"/>
        </w:rPr>
        <w:t xml:space="preserve"> Rdnr. </w:t>
      </w:r>
      <w:hyperlink r:id="rId39" w:history="1">
        <w:r>
          <w:rPr>
            <w:rStyle w:val="bocontentwrapperbocenteranotbeck-btn"/>
            <w:color w:val="000000"/>
            <w:u w:val="single" w:color="000000"/>
          </w:rPr>
          <w:t>31</w:t>
        </w:r>
      </w:hyperlink>
      <w:r>
        <w:rPr>
          <w:color w:val="000000"/>
        </w:rPr>
        <w:t xml:space="preserve">). Dieser Darlegungslast, deren Erfüllung eine umfassende Einschätzung der Unternehmenslage voraussetzt (vgl. zu den Substanziierungsanforderungen </w:t>
      </w:r>
      <w:r>
        <w:rPr>
          <w:rStyle w:val="emitalicon"/>
          <w:color w:val="000000"/>
        </w:rPr>
        <w:t>BGH</w:t>
      </w:r>
      <w:r>
        <w:rPr>
          <w:color w:val="000000"/>
        </w:rPr>
        <w:t xml:space="preserve">, </w:t>
      </w:r>
      <w:r>
        <w:rPr>
          <w:rStyle w:val="any"/>
          <w:color w:val="000000"/>
        </w:rPr>
        <w:t xml:space="preserve">NZG 2010, </w:t>
      </w:r>
      <w:hyperlink r:id="rId40" w:history="1">
        <w:r>
          <w:rPr>
            <w:rStyle w:val="bocontentwrapperbocenteranotbeck-btn"/>
            <w:color w:val="000000"/>
            <w:u w:val="single" w:color="000000"/>
          </w:rPr>
          <w:t>1393</w:t>
        </w:r>
      </w:hyperlink>
      <w:r>
        <w:rPr>
          <w:color w:val="000000"/>
        </w:rPr>
        <w:t xml:space="preserve"> = </w:t>
      </w:r>
      <w:r>
        <w:rPr>
          <w:rStyle w:val="any"/>
          <w:color w:val="000000"/>
        </w:rPr>
        <w:t xml:space="preserve">ZIP 2010, </w:t>
      </w:r>
      <w:hyperlink r:id="rId41" w:history="1">
        <w:r>
          <w:rPr>
            <w:rStyle w:val="bocontentwrapperbocenteranotbeck-btn"/>
            <w:color w:val="000000"/>
            <w:u w:val="single" w:color="000000"/>
          </w:rPr>
          <w:t>2400</w:t>
        </w:r>
      </w:hyperlink>
      <w:r>
        <w:rPr>
          <w:rStyle w:val="any"/>
          <w:color w:val="000000"/>
        </w:rPr>
        <w:t xml:space="preserve"> Rdnr. </w:t>
      </w:r>
      <w:hyperlink r:id="rId42" w:history="1">
        <w:r>
          <w:rPr>
            <w:rStyle w:val="bocontentwrapperbocenteranotbeck-btn"/>
            <w:color w:val="000000"/>
            <w:u w:val="single" w:color="000000"/>
          </w:rPr>
          <w:t>13</w:t>
        </w:r>
      </w:hyperlink>
      <w:r>
        <w:rPr>
          <w:color w:val="000000"/>
        </w:rPr>
        <w:t>– Fleischgroßhandel), ist die Bekl. nicht nachgekommen.</w:t>
      </w:r>
    </w:p>
    <w:p w14:paraId="27F7B7FD" w14:textId="77777777" w:rsidR="00234792" w:rsidRDefault="00000000">
      <w:pPr>
        <w:pStyle w:val="divbocontentwrapperbocenterpParagraph"/>
        <w:spacing w:after="120" w:line="360" w:lineRule="auto"/>
        <w:ind w:left="600" w:right="150"/>
        <w:jc w:val="both"/>
        <w:rPr>
          <w:color w:val="000000"/>
        </w:rPr>
      </w:pPr>
      <w:bookmarkStart w:id="11" w:name="Y-300-Z-NZG-B-2011-S-904-N-1-RN-10"/>
      <w:bookmarkEnd w:id="11"/>
      <w:r>
        <w:rPr>
          <w:rStyle w:val="printcontentemrandnr"/>
          <w:rFonts w:ascii="Verdana" w:eastAsia="Verdana" w:hAnsi="Verdana" w:cs="Verdana"/>
          <w:b/>
          <w:bCs/>
          <w:color w:val="000000"/>
          <w:sz w:val="19"/>
          <w:szCs w:val="19"/>
        </w:rPr>
        <w:t>10</w:t>
      </w:r>
      <w:r>
        <w:rPr>
          <w:color w:val="000000"/>
        </w:rPr>
        <w:t xml:space="preserve">b) Dass die Bekl. als Mehrheitsgesellschafterin der Komplementär–GmbH die Insolvenzreife zumindest hätte erkennen können, ist ohne weiteres anzunehmen (vgl. </w:t>
      </w:r>
      <w:r>
        <w:rPr>
          <w:rStyle w:val="emitalicon"/>
          <w:color w:val="000000"/>
        </w:rPr>
        <w:t>BGH</w:t>
      </w:r>
      <w:r>
        <w:rPr>
          <w:color w:val="000000"/>
        </w:rPr>
        <w:t xml:space="preserve">, </w:t>
      </w:r>
      <w:r>
        <w:rPr>
          <w:rStyle w:val="any"/>
          <w:color w:val="000000"/>
        </w:rPr>
        <w:t xml:space="preserve">NJW 1996, </w:t>
      </w:r>
      <w:hyperlink r:id="rId43" w:history="1">
        <w:r>
          <w:rPr>
            <w:rStyle w:val="bocontentwrapperbocenteranotbeck-btn"/>
            <w:color w:val="000000"/>
            <w:u w:val="single" w:color="000000"/>
          </w:rPr>
          <w:t>722</w:t>
        </w:r>
      </w:hyperlink>
      <w:r>
        <w:rPr>
          <w:color w:val="000000"/>
        </w:rPr>
        <w:t xml:space="preserve"> = </w:t>
      </w:r>
      <w:r>
        <w:rPr>
          <w:rStyle w:val="any"/>
          <w:color w:val="000000"/>
        </w:rPr>
        <w:t xml:space="preserve">ZIP 1996, </w:t>
      </w:r>
      <w:hyperlink r:id="rId44" w:history="1">
        <w:r>
          <w:rPr>
            <w:rStyle w:val="bocontentwrapperbocenteranotbeck-btn"/>
            <w:color w:val="000000"/>
            <w:u w:val="single" w:color="000000"/>
          </w:rPr>
          <w:t>273</w:t>
        </w:r>
      </w:hyperlink>
      <w:r>
        <w:rPr>
          <w:rStyle w:val="any"/>
          <w:color w:val="000000"/>
        </w:rPr>
        <w:t xml:space="preserve"> [</w:t>
      </w:r>
      <w:hyperlink r:id="rId45" w:history="1">
        <w:r>
          <w:rPr>
            <w:rStyle w:val="bocontentwrapperbocenteranotbeck-btn"/>
            <w:color w:val="000000"/>
            <w:u w:val="single" w:color="000000"/>
          </w:rPr>
          <w:t>275</w:t>
        </w:r>
      </w:hyperlink>
      <w:r>
        <w:rPr>
          <w:color w:val="000000"/>
        </w:rPr>
        <w:t>]).</w:t>
      </w:r>
    </w:p>
    <w:p w14:paraId="655A22F3" w14:textId="77777777" w:rsidR="00234792" w:rsidRDefault="00000000">
      <w:pPr>
        <w:pStyle w:val="divbocontentwrapperbocenterpParagraph"/>
        <w:spacing w:after="120" w:line="360" w:lineRule="auto"/>
        <w:ind w:left="600" w:right="150"/>
        <w:jc w:val="both"/>
        <w:rPr>
          <w:color w:val="000000"/>
        </w:rPr>
      </w:pPr>
      <w:bookmarkStart w:id="12" w:name="Y-300-Z-NZG-B-2011-S-904-N-1-RN-11"/>
      <w:bookmarkEnd w:id="12"/>
      <w:r>
        <w:rPr>
          <w:rStyle w:val="printcontentemrandnr"/>
          <w:rFonts w:ascii="Verdana" w:eastAsia="Verdana" w:hAnsi="Verdana" w:cs="Verdana"/>
          <w:b/>
          <w:bCs/>
          <w:color w:val="000000"/>
          <w:sz w:val="19"/>
          <w:szCs w:val="19"/>
        </w:rPr>
        <w:t>11</w:t>
      </w:r>
      <w:r>
        <w:rPr>
          <w:color w:val="000000"/>
        </w:rPr>
        <w:t>c) Weiter müsste die Bekl. die Möglichkeit gehabt haben, in der Zeit zwischen dem 1. 1. 2004, als Insolvenzreife eintrat, und dem 20. 2. 2004, als der Insolvenzantrag gestellt wurde, die Grundschuld an ihrem Grundstück zu „kündigen“ oder die Kommanditgesellschaft in die Liquidation zu führen. Eine Kündigungsmöglichkeit ist nicht festgestellt und erscheint auch fern liegend. Die Bekl. hätte aber durch Geltendmachen ihres Freistellungsanspruchs oder durch Anweisung an die GmbH-Geschäftsführer darauf dringen können, dass ein Insolvenzantrag gestellt wird. Dazu hatte sie auch eine ausreichend lange Überlegungszeit, nämlich mehr als die insoweit anzusetzenden höchstens drei Wochen (</w:t>
      </w:r>
      <w:r>
        <w:rPr>
          <w:rStyle w:val="emitalicon"/>
          <w:color w:val="000000"/>
        </w:rPr>
        <w:t>BGH</w:t>
      </w:r>
      <w:r>
        <w:rPr>
          <w:color w:val="000000"/>
        </w:rPr>
        <w:t xml:space="preserve">, </w:t>
      </w:r>
      <w:r>
        <w:rPr>
          <w:rStyle w:val="any"/>
          <w:color w:val="000000"/>
        </w:rPr>
        <w:t xml:space="preserve">NJW 1996, </w:t>
      </w:r>
      <w:hyperlink r:id="rId46" w:history="1">
        <w:r>
          <w:rPr>
            <w:rStyle w:val="bocontentwrapperbocenteranotbeck-btn"/>
            <w:color w:val="000000"/>
            <w:u w:val="single" w:color="000000"/>
          </w:rPr>
          <w:t>722</w:t>
        </w:r>
      </w:hyperlink>
      <w:r>
        <w:rPr>
          <w:color w:val="000000"/>
        </w:rPr>
        <w:t xml:space="preserve"> = </w:t>
      </w:r>
      <w:r>
        <w:rPr>
          <w:rStyle w:val="any"/>
          <w:color w:val="000000"/>
        </w:rPr>
        <w:t xml:space="preserve">ZIP 1996, </w:t>
      </w:r>
      <w:hyperlink r:id="rId47" w:history="1">
        <w:r>
          <w:rPr>
            <w:rStyle w:val="bocontentwrapperbocenteranotbeck-btn"/>
            <w:color w:val="000000"/>
            <w:u w:val="single" w:color="000000"/>
          </w:rPr>
          <w:t>273</w:t>
        </w:r>
      </w:hyperlink>
      <w:r>
        <w:rPr>
          <w:rStyle w:val="any"/>
          <w:color w:val="000000"/>
        </w:rPr>
        <w:t xml:space="preserve"> [</w:t>
      </w:r>
      <w:hyperlink r:id="rId48" w:history="1">
        <w:r>
          <w:rPr>
            <w:rStyle w:val="bocontentwrapperbocenteranotbeck-btn"/>
            <w:color w:val="000000"/>
            <w:u w:val="single" w:color="000000"/>
          </w:rPr>
          <w:t>275</w:t>
        </w:r>
      </w:hyperlink>
      <w:r>
        <w:rPr>
          <w:color w:val="000000"/>
        </w:rPr>
        <w:t>]).</w:t>
      </w:r>
    </w:p>
    <w:p w14:paraId="4DFBAD67" w14:textId="77777777" w:rsidR="00234792" w:rsidRDefault="00000000">
      <w:pPr>
        <w:pStyle w:val="divbocontentwrapperbocenterpParagraph"/>
        <w:spacing w:after="120" w:line="360" w:lineRule="auto"/>
        <w:ind w:left="600" w:right="150"/>
        <w:jc w:val="both"/>
        <w:rPr>
          <w:color w:val="000000"/>
        </w:rPr>
      </w:pPr>
      <w:bookmarkStart w:id="13" w:name="Y-300-Z-NZG-B-2011-S-904-N-1-RN-12"/>
      <w:bookmarkEnd w:id="13"/>
      <w:r>
        <w:rPr>
          <w:rStyle w:val="printcontentemrandnr"/>
          <w:rFonts w:ascii="Verdana" w:eastAsia="Verdana" w:hAnsi="Verdana" w:cs="Verdana"/>
          <w:b/>
          <w:bCs/>
          <w:color w:val="000000"/>
          <w:sz w:val="19"/>
          <w:szCs w:val="19"/>
        </w:rPr>
        <w:t>12</w:t>
      </w:r>
      <w:r>
        <w:rPr>
          <w:color w:val="000000"/>
        </w:rPr>
        <w:t>d) Der Erstattungsanspruch ist nicht verjährt.</w:t>
      </w:r>
    </w:p>
    <w:p w14:paraId="4B381C30" w14:textId="77777777" w:rsidR="00234792" w:rsidRDefault="00000000">
      <w:pPr>
        <w:pStyle w:val="divbocontentwrapperbocenterpParagraph"/>
        <w:spacing w:after="120" w:line="360" w:lineRule="auto"/>
        <w:ind w:left="600" w:right="150"/>
        <w:jc w:val="both"/>
        <w:rPr>
          <w:color w:val="000000"/>
        </w:rPr>
      </w:pPr>
      <w:bookmarkStart w:id="14" w:name="Y-300-Z-NZG-B-2011-S-904-N-1-RN-13"/>
      <w:bookmarkEnd w:id="14"/>
      <w:r>
        <w:rPr>
          <w:rStyle w:val="printcontentemrandnr"/>
          <w:rFonts w:ascii="Verdana" w:eastAsia="Verdana" w:hAnsi="Verdana" w:cs="Verdana"/>
          <w:b/>
          <w:bCs/>
          <w:color w:val="000000"/>
          <w:sz w:val="19"/>
          <w:szCs w:val="19"/>
        </w:rPr>
        <w:t>13</w:t>
      </w:r>
      <w:r>
        <w:rPr>
          <w:color w:val="000000"/>
        </w:rPr>
        <w:t xml:space="preserve">Dabei kann offen bleiben, ob die für den Anspruch aus </w:t>
      </w:r>
      <w:r>
        <w:rPr>
          <w:rStyle w:val="any"/>
          <w:color w:val="000000"/>
        </w:rPr>
        <w:t xml:space="preserve">§ </w:t>
      </w:r>
      <w:hyperlink r:id="rId49" w:history="1">
        <w:r>
          <w:rPr>
            <w:rStyle w:val="bocontentwrapperbocenteranotbeck-btn"/>
            <w:color w:val="000000"/>
            <w:u w:val="single" w:color="000000"/>
          </w:rPr>
          <w:t>32 b</w:t>
        </w:r>
      </w:hyperlink>
      <w:r>
        <w:rPr>
          <w:rStyle w:val="any"/>
          <w:color w:val="000000"/>
        </w:rPr>
        <w:t xml:space="preserve"> GmbHG</w:t>
      </w:r>
      <w:r>
        <w:rPr>
          <w:color w:val="000000"/>
        </w:rPr>
        <w:t xml:space="preserve"> geltende zweijährige Verjährungsfrist gem. </w:t>
      </w:r>
      <w:r>
        <w:rPr>
          <w:rStyle w:val="any"/>
          <w:color w:val="000000"/>
        </w:rPr>
        <w:t xml:space="preserve">§ </w:t>
      </w:r>
      <w:hyperlink r:id="rId50" w:history="1">
        <w:r>
          <w:rPr>
            <w:rStyle w:val="bocontentwrapperbocenteranotbeck-btn"/>
            <w:color w:val="000000"/>
            <w:u w:val="single" w:color="000000"/>
          </w:rPr>
          <w:t>146</w:t>
        </w:r>
      </w:hyperlink>
      <w:r>
        <w:rPr>
          <w:rStyle w:val="any"/>
          <w:color w:val="000000"/>
        </w:rPr>
        <w:t xml:space="preserve"> </w:t>
      </w:r>
      <w:hyperlink r:id="rId51" w:history="1">
        <w:r>
          <w:rPr>
            <w:rStyle w:val="bocontentwrapperbocenteranotbeck-btn"/>
            <w:color w:val="000000"/>
            <w:u w:val="single" w:color="000000"/>
          </w:rPr>
          <w:t>I</w:t>
        </w:r>
      </w:hyperlink>
      <w:r>
        <w:rPr>
          <w:rStyle w:val="any"/>
          <w:color w:val="000000"/>
        </w:rPr>
        <w:t xml:space="preserve"> InsO</w:t>
      </w:r>
      <w:r>
        <w:rPr>
          <w:color w:val="000000"/>
        </w:rPr>
        <w:t xml:space="preserve"> in der bis zum 14. 12. 2004 anzuwendenden Fassung i. V. mit </w:t>
      </w:r>
      <w:r>
        <w:rPr>
          <w:rStyle w:val="any"/>
          <w:color w:val="000000"/>
        </w:rPr>
        <w:t xml:space="preserve">§ </w:t>
      </w:r>
      <w:hyperlink r:id="rId52" w:history="1">
        <w:r>
          <w:rPr>
            <w:rStyle w:val="bocontentwrapperbocenteranotbeck-btn"/>
            <w:color w:val="000000"/>
            <w:u w:val="single" w:color="000000"/>
          </w:rPr>
          <w:t>32 b</w:t>
        </w:r>
      </w:hyperlink>
      <w:r>
        <w:rPr>
          <w:rStyle w:val="any"/>
          <w:color w:val="000000"/>
        </w:rPr>
        <w:t xml:space="preserve"> </w:t>
      </w:r>
      <w:hyperlink r:id="rId53" w:history="1">
        <w:r>
          <w:rPr>
            <w:rStyle w:val="bocontentwrapperbocenteranotbeck-btn"/>
            <w:color w:val="000000"/>
            <w:u w:val="single" w:color="000000"/>
          </w:rPr>
          <w:t>I</w:t>
        </w:r>
      </w:hyperlink>
      <w:r>
        <w:rPr>
          <w:rStyle w:val="any"/>
          <w:color w:val="000000"/>
        </w:rPr>
        <w:t xml:space="preserve"> 1 Halbs. 2 GmbHG</w:t>
      </w:r>
      <w:r>
        <w:rPr>
          <w:color w:val="000000"/>
        </w:rPr>
        <w:t xml:space="preserve"> a. F. abgelaufen ist (für </w:t>
      </w:r>
      <w:r>
        <w:rPr>
          <w:color w:val="000000"/>
        </w:rPr>
        <w:lastRenderedPageBreak/>
        <w:t xml:space="preserve">einen Verjährungsbeginn erst nach Insolvenzeröffnung bei – wie hier – Verwertung der Gesellschaftssicherheiten erst während des Insolvenzverfahrens: </w:t>
      </w:r>
      <w:r>
        <w:rPr>
          <w:rStyle w:val="emitalicon"/>
          <w:color w:val="000000"/>
        </w:rPr>
        <w:t>von Gerkan</w:t>
      </w:r>
      <w:r>
        <w:rPr>
          <w:color w:val="000000"/>
        </w:rPr>
        <w:t xml:space="preserve">, in: Festschr. f. Ulmer, 2003, S. 1293, 1301 f.). Denn jedenfalls der parallele Anspruch nach den so genannten Rechtsprechungsregeln verjährt in entsprechender Anwendung des </w:t>
      </w:r>
      <w:r>
        <w:rPr>
          <w:rStyle w:val="any"/>
          <w:color w:val="000000"/>
        </w:rPr>
        <w:t xml:space="preserve">§ </w:t>
      </w:r>
      <w:hyperlink r:id="rId54" w:history="1">
        <w:r>
          <w:rPr>
            <w:rStyle w:val="bocontentwrapperbocenteranotbeck-btn"/>
            <w:color w:val="000000"/>
            <w:u w:val="single" w:color="000000"/>
          </w:rPr>
          <w:t>31</w:t>
        </w:r>
      </w:hyperlink>
      <w:r>
        <w:rPr>
          <w:rStyle w:val="any"/>
          <w:color w:val="000000"/>
        </w:rPr>
        <w:t xml:space="preserve"> </w:t>
      </w:r>
      <w:hyperlink r:id="rId55" w:history="1">
        <w:r>
          <w:rPr>
            <w:rStyle w:val="bocontentwrapperbocenteranotbeck-btn"/>
            <w:color w:val="000000"/>
            <w:u w:val="single" w:color="000000"/>
          </w:rPr>
          <w:t>V</w:t>
        </w:r>
      </w:hyperlink>
      <w:r>
        <w:rPr>
          <w:rStyle w:val="any"/>
          <w:color w:val="000000"/>
        </w:rPr>
        <w:t xml:space="preserve"> GmbHG</w:t>
      </w:r>
      <w:r>
        <w:rPr>
          <w:color w:val="000000"/>
        </w:rPr>
        <w:t xml:space="preserve"> in fünf Jahren. Insoweit findet </w:t>
      </w:r>
      <w:r>
        <w:rPr>
          <w:rStyle w:val="any"/>
          <w:color w:val="000000"/>
        </w:rPr>
        <w:t xml:space="preserve">§ </w:t>
      </w:r>
      <w:hyperlink r:id="rId56" w:history="1">
        <w:r>
          <w:rPr>
            <w:rStyle w:val="bocontentwrapperbocenteranotbeck-btn"/>
            <w:color w:val="000000"/>
            <w:u w:val="single" w:color="000000"/>
          </w:rPr>
          <w:t>146</w:t>
        </w:r>
      </w:hyperlink>
      <w:r>
        <w:rPr>
          <w:rStyle w:val="any"/>
          <w:color w:val="000000"/>
        </w:rPr>
        <w:t xml:space="preserve"> InsO</w:t>
      </w:r>
      <w:r>
        <w:rPr>
          <w:color w:val="000000"/>
        </w:rPr>
        <w:t xml:space="preserve"> keine Anwendung (</w:t>
      </w:r>
      <w:r>
        <w:rPr>
          <w:rStyle w:val="emitalicon"/>
          <w:color w:val="000000"/>
        </w:rPr>
        <w:t>Scholz/K. Schmidt</w:t>
      </w:r>
      <w:r>
        <w:rPr>
          <w:color w:val="000000"/>
        </w:rPr>
        <w:t xml:space="preserve">, GmbHG, 10. Aufl., §§ 32 a, 32 b Rdnr. 84; </w:t>
      </w:r>
      <w:r>
        <w:rPr>
          <w:rStyle w:val="emitalicon"/>
          <w:color w:val="000000"/>
        </w:rPr>
        <w:t>Altmeppen</w:t>
      </w:r>
      <w:r>
        <w:rPr>
          <w:color w:val="000000"/>
        </w:rPr>
        <w:t xml:space="preserve">, in: </w:t>
      </w:r>
      <w:r>
        <w:rPr>
          <w:rStyle w:val="any"/>
          <w:i/>
          <w:iCs/>
          <w:color w:val="000000"/>
        </w:rPr>
        <w:t>Roth</w:t>
      </w:r>
      <w:r>
        <w:rPr>
          <w:rStyle w:val="emitalicon"/>
          <w:color w:val="000000"/>
        </w:rPr>
        <w:t>/Altmeppen</w:t>
      </w:r>
      <w:r>
        <w:rPr>
          <w:color w:val="000000"/>
        </w:rPr>
        <w:t xml:space="preserve">, GmbHG, 6. Aufl., § 32 b a. F. Rdnrn. 5 f.; ebenso für die Anfechtungsfrist des </w:t>
      </w:r>
      <w:r>
        <w:rPr>
          <w:rStyle w:val="any"/>
          <w:color w:val="000000"/>
        </w:rPr>
        <w:t xml:space="preserve">§ </w:t>
      </w:r>
      <w:hyperlink r:id="rId57" w:history="1">
        <w:r>
          <w:rPr>
            <w:rStyle w:val="bocontentwrapperbocenteranotbeck-btn"/>
            <w:color w:val="000000"/>
            <w:u w:val="single" w:color="000000"/>
          </w:rPr>
          <w:t>41</w:t>
        </w:r>
      </w:hyperlink>
      <w:r>
        <w:rPr>
          <w:rStyle w:val="any"/>
          <w:color w:val="000000"/>
        </w:rPr>
        <w:t xml:space="preserve"> </w:t>
      </w:r>
      <w:hyperlink r:id="rId58" w:history="1">
        <w:r>
          <w:rPr>
            <w:rStyle w:val="bocontentwrapperbocenteranotbeck-btn"/>
            <w:color w:val="000000"/>
            <w:u w:val="single" w:color="000000"/>
          </w:rPr>
          <w:t>I</w:t>
        </w:r>
      </w:hyperlink>
      <w:r>
        <w:rPr>
          <w:rStyle w:val="any"/>
          <w:color w:val="000000"/>
        </w:rPr>
        <w:t xml:space="preserve"> KO</w:t>
      </w:r>
      <w:r>
        <w:rPr>
          <w:color w:val="000000"/>
        </w:rPr>
        <w:t xml:space="preserve">: </w:t>
      </w:r>
      <w:r>
        <w:rPr>
          <w:rStyle w:val="any"/>
          <w:color w:val="000000"/>
        </w:rPr>
        <w:t xml:space="preserve">BGHZ 123, </w:t>
      </w:r>
      <w:hyperlink r:id="rId59" w:history="1">
        <w:r>
          <w:rPr>
            <w:rStyle w:val="bocontentwrapperbocenteranotbeck-btn"/>
            <w:color w:val="000000"/>
            <w:u w:val="single" w:color="000000"/>
          </w:rPr>
          <w:t>289</w:t>
        </w:r>
      </w:hyperlink>
      <w:r>
        <w:rPr>
          <w:rStyle w:val="any"/>
          <w:color w:val="000000"/>
        </w:rPr>
        <w:t xml:space="preserve"> [</w:t>
      </w:r>
      <w:hyperlink r:id="rId60" w:history="1">
        <w:r>
          <w:rPr>
            <w:rStyle w:val="bocontentwrapperbocenteranotbeck-btn"/>
            <w:color w:val="000000"/>
            <w:u w:val="single" w:color="000000"/>
          </w:rPr>
          <w:t>294</w:t>
        </w:r>
      </w:hyperlink>
      <w:r>
        <w:rPr>
          <w:color w:val="000000"/>
        </w:rPr>
        <w:t xml:space="preserve">] = </w:t>
      </w:r>
      <w:r>
        <w:rPr>
          <w:rStyle w:val="any"/>
          <w:color w:val="000000"/>
        </w:rPr>
        <w:t xml:space="preserve">NJW 1993, </w:t>
      </w:r>
      <w:hyperlink r:id="rId61" w:history="1">
        <w:r>
          <w:rPr>
            <w:rStyle w:val="bocontentwrapperbocenteranotbeck-btn"/>
            <w:color w:val="000000"/>
            <w:u w:val="single" w:color="000000"/>
          </w:rPr>
          <w:t>3265</w:t>
        </w:r>
      </w:hyperlink>
      <w:r>
        <w:rPr>
          <w:color w:val="000000"/>
        </w:rPr>
        <w:t xml:space="preserve">; </w:t>
      </w:r>
      <w:r>
        <w:rPr>
          <w:rStyle w:val="any"/>
          <w:color w:val="000000"/>
        </w:rPr>
        <w:t xml:space="preserve">DStR 1994, </w:t>
      </w:r>
      <w:hyperlink r:id="rId62" w:history="1">
        <w:r>
          <w:rPr>
            <w:rStyle w:val="bocontentwrapperbocenteranotbeck-btn"/>
            <w:color w:val="000000"/>
            <w:u w:val="single" w:color="000000"/>
          </w:rPr>
          <w:t>294</w:t>
        </w:r>
      </w:hyperlink>
      <w:r>
        <w:rPr>
          <w:color w:val="000000"/>
        </w:rPr>
        <w:t xml:space="preserve"> = </w:t>
      </w:r>
      <w:r>
        <w:rPr>
          <w:rStyle w:val="any"/>
          <w:color w:val="000000"/>
        </w:rPr>
        <w:t xml:space="preserve">ZIP 1994, </w:t>
      </w:r>
      <w:hyperlink r:id="rId63" w:history="1">
        <w:r>
          <w:rPr>
            <w:rStyle w:val="bocontentwrapperbocenteranotbeck-btn"/>
            <w:color w:val="000000"/>
            <w:u w:val="single" w:color="000000"/>
          </w:rPr>
          <w:t>31</w:t>
        </w:r>
      </w:hyperlink>
      <w:r>
        <w:rPr>
          <w:color w:val="000000"/>
        </w:rPr>
        <w:t>).</w:t>
      </w:r>
    </w:p>
    <w:p w14:paraId="429E3A20" w14:textId="77777777" w:rsidR="00234792" w:rsidRDefault="00000000">
      <w:pPr>
        <w:pStyle w:val="divbocontentwrapperbocenterpParagraph"/>
        <w:spacing w:after="120" w:line="360" w:lineRule="auto"/>
        <w:ind w:left="600" w:right="150"/>
        <w:jc w:val="both"/>
        <w:rPr>
          <w:color w:val="000000"/>
        </w:rPr>
      </w:pPr>
      <w:bookmarkStart w:id="15" w:name="Y-200-Ge-BGH-Az-IIZR10610-D-2011-05-31-R"/>
      <w:bookmarkStart w:id="16" w:name="Y-300-Z-NZG-B-2011-S-904-N-1-RN-14"/>
      <w:bookmarkEnd w:id="15"/>
      <w:bookmarkEnd w:id="16"/>
      <w:r>
        <w:rPr>
          <w:rStyle w:val="printcontentemrandnr"/>
          <w:rFonts w:ascii="Verdana" w:eastAsia="Verdana" w:hAnsi="Verdana" w:cs="Verdana"/>
          <w:b/>
          <w:bCs/>
          <w:color w:val="000000"/>
          <w:sz w:val="19"/>
          <w:szCs w:val="19"/>
        </w:rPr>
        <w:t>14</w:t>
      </w:r>
      <w:r>
        <w:rPr>
          <w:color w:val="000000"/>
        </w:rPr>
        <w:t xml:space="preserve">Die fünfjährige Verjährungsfrist hat mit dem Freiwerden des Grundstücks der Bekl. auf Grund der Verwertung der Gesellschaftssicherheiten in der Zeit ab Eröffnung des Insolvenzverfahrens am 1. 4. 2004 begonnen und ist durch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234792" w14:paraId="1F4CAFB2" w14:textId="77777777">
        <w:tc>
          <w:tcPr>
            <w:tcW w:w="4000" w:type="pct"/>
            <w:shd w:val="clear" w:color="auto" w:fill="F0F0F0"/>
            <w:tcMar>
              <w:top w:w="0" w:type="dxa"/>
              <w:left w:w="0" w:type="dxa"/>
              <w:bottom w:w="0" w:type="dxa"/>
              <w:right w:w="0" w:type="dxa"/>
            </w:tcMar>
            <w:vAlign w:val="center"/>
            <w:hideMark/>
          </w:tcPr>
          <w:p w14:paraId="4B28AB8D" w14:textId="77777777" w:rsidR="00234792" w:rsidRDefault="00000000">
            <w:pPr>
              <w:pStyle w:val="divpgdescrpspantitel"/>
              <w:spacing w:after="120"/>
              <w:ind w:left="330"/>
              <w:rPr>
                <w:color w:val="000000"/>
              </w:rPr>
            </w:pPr>
            <w:r>
              <w:rPr>
                <w:color w:val="000000"/>
              </w:rPr>
              <w:t>BGH: Erstattung des Wertes einer Gesellschaftersicherheit nach Rechtsprechungsregeln – Verjährung</w:t>
            </w:r>
            <w:r>
              <w:rPr>
                <w:rStyle w:val="citation"/>
                <w:color w:val="000000"/>
              </w:rPr>
              <w:t>(NZG 2011, 904)</w:t>
            </w:r>
          </w:p>
        </w:tc>
        <w:tc>
          <w:tcPr>
            <w:tcW w:w="1000" w:type="pct"/>
            <w:shd w:val="clear" w:color="auto" w:fill="F0F0F0"/>
            <w:tcMar>
              <w:top w:w="0" w:type="dxa"/>
              <w:left w:w="0" w:type="dxa"/>
              <w:bottom w:w="0" w:type="dxa"/>
              <w:right w:w="0" w:type="dxa"/>
            </w:tcMar>
            <w:vAlign w:val="center"/>
            <w:hideMark/>
          </w:tcPr>
          <w:p w14:paraId="724A1676" w14:textId="77777777" w:rsidR="00234792"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906</w:t>
            </w:r>
          </w:p>
        </w:tc>
      </w:tr>
    </w:tbl>
    <w:p w14:paraId="5BFCF8AF" w14:textId="77777777" w:rsidR="00234792" w:rsidRDefault="00000000">
      <w:pPr>
        <w:pStyle w:val="divbocontentwrapperbocenterpParagraph"/>
        <w:spacing w:after="120" w:line="360" w:lineRule="auto"/>
        <w:ind w:left="600" w:right="150"/>
        <w:jc w:val="both"/>
        <w:rPr>
          <w:color w:val="000000"/>
        </w:rPr>
      </w:pPr>
      <w:r>
        <w:rPr>
          <w:color w:val="000000"/>
        </w:rPr>
        <w:t xml:space="preserve">die Klageerhebung am 17. 1. 2009 gem. </w:t>
      </w:r>
      <w:r>
        <w:rPr>
          <w:rStyle w:val="any"/>
          <w:color w:val="000000"/>
        </w:rPr>
        <w:t xml:space="preserve">§ </w:t>
      </w:r>
      <w:hyperlink r:id="rId64" w:history="1">
        <w:r>
          <w:rPr>
            <w:rStyle w:val="bocontentwrapperbocenteranotbeck-btn"/>
            <w:color w:val="000000"/>
            <w:u w:val="single" w:color="000000"/>
          </w:rPr>
          <w:t>204</w:t>
        </w:r>
      </w:hyperlink>
      <w:r>
        <w:rPr>
          <w:rStyle w:val="any"/>
          <w:color w:val="000000"/>
        </w:rPr>
        <w:t xml:space="preserve"> </w:t>
      </w:r>
      <w:hyperlink r:id="rId65" w:history="1">
        <w:r>
          <w:rPr>
            <w:rStyle w:val="bocontentwrapperbocenteranotbeck-btn"/>
            <w:color w:val="000000"/>
            <w:u w:val="single" w:color="000000"/>
          </w:rPr>
          <w:t>I</w:t>
        </w:r>
      </w:hyperlink>
      <w:r>
        <w:rPr>
          <w:rStyle w:val="any"/>
          <w:color w:val="000000"/>
        </w:rPr>
        <w:t xml:space="preserve"> Nr. </w:t>
      </w:r>
      <w:hyperlink r:id="rId66" w:history="1">
        <w:r>
          <w:rPr>
            <w:rStyle w:val="bocontentwrapperbocenteranotbeck-btn"/>
            <w:color w:val="000000"/>
            <w:u w:val="single" w:color="000000"/>
          </w:rPr>
          <w:t>1</w:t>
        </w:r>
      </w:hyperlink>
      <w:r>
        <w:rPr>
          <w:rStyle w:val="any"/>
          <w:color w:val="000000"/>
        </w:rPr>
        <w:t xml:space="preserve"> BGB</w:t>
      </w:r>
      <w:r>
        <w:rPr>
          <w:color w:val="000000"/>
        </w:rPr>
        <w:t xml:space="preserve"> gehemmt worden.</w:t>
      </w:r>
      <w:bookmarkStart w:id="17" w:name="Y-300-Z-NZG-B-2011-S-904-N-1-Gl-3"/>
      <w:bookmarkEnd w:id="17"/>
    </w:p>
    <w:p w14:paraId="12DD342F" w14:textId="77777777" w:rsidR="00234792"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 d. Schriftltg.:</w:t>
      </w:r>
    </w:p>
    <w:p w14:paraId="4B27A40C" w14:textId="77777777" w:rsidR="00234792" w:rsidRDefault="00000000">
      <w:pPr>
        <w:pStyle w:val="divbocontentwrapperbocenterpParagraph"/>
        <w:spacing w:after="120" w:line="360" w:lineRule="auto"/>
        <w:ind w:left="600" w:right="150"/>
        <w:jc w:val="both"/>
        <w:rPr>
          <w:color w:val="000000"/>
        </w:rPr>
      </w:pPr>
      <w:r>
        <w:rPr>
          <w:color w:val="000000"/>
        </w:rPr>
        <w:t xml:space="preserve">Zur zitierten Entscheidung des </w:t>
      </w:r>
      <w:r>
        <w:rPr>
          <w:rStyle w:val="emitalicon"/>
          <w:color w:val="000000"/>
        </w:rPr>
        <w:t>BGH</w:t>
      </w:r>
      <w:r>
        <w:rPr>
          <w:color w:val="000000"/>
        </w:rPr>
        <w:t xml:space="preserve">, </w:t>
      </w:r>
      <w:r>
        <w:rPr>
          <w:rStyle w:val="any"/>
          <w:color w:val="000000"/>
        </w:rPr>
        <w:t xml:space="preserve">NZG 2011, </w:t>
      </w:r>
      <w:hyperlink r:id="rId67" w:history="1">
        <w:r>
          <w:rPr>
            <w:rStyle w:val="bocontentwrapperbocenteranotbeck-btn"/>
            <w:color w:val="000000"/>
            <w:u w:val="single" w:color="000000"/>
          </w:rPr>
          <w:t>624</w:t>
        </w:r>
      </w:hyperlink>
      <w:r>
        <w:rPr>
          <w:color w:val="000000"/>
        </w:rPr>
        <w:t xml:space="preserve"> vgl. die Vorinstanz (</w:t>
      </w:r>
      <w:r>
        <w:rPr>
          <w:rStyle w:val="any"/>
          <w:color w:val="000000"/>
        </w:rPr>
        <w:t xml:space="preserve">OLG Jena, Urt. v. </w:t>
      </w:r>
      <w:hyperlink r:id="rId68" w:history="1">
        <w:r>
          <w:rPr>
            <w:rStyle w:val="bocontentwrapperbocenteranotbeck-btn"/>
            <w:color w:val="000000"/>
            <w:u w:val="single" w:color="000000"/>
          </w:rPr>
          <w:t>30. 7. 2009</w:t>
        </w:r>
      </w:hyperlink>
      <w:r>
        <w:rPr>
          <w:color w:val="000000"/>
        </w:rPr>
        <w:t xml:space="preserve"> – </w:t>
      </w:r>
      <w:r>
        <w:rPr>
          <w:rStyle w:val="any"/>
          <w:color w:val="000000"/>
        </w:rPr>
        <w:t xml:space="preserve">BeckRS 2009, </w:t>
      </w:r>
      <w:hyperlink r:id="rId69" w:history="1">
        <w:r>
          <w:rPr>
            <w:rStyle w:val="bocontentwrapperbocenteranotbeck-btn"/>
            <w:color w:val="000000"/>
            <w:u w:val="single" w:color="000000"/>
          </w:rPr>
          <w:t>25353</w:t>
        </w:r>
      </w:hyperlink>
      <w:r>
        <w:rPr>
          <w:color w:val="000000"/>
        </w:rPr>
        <w:t xml:space="preserve">) auch die Entscheidungsbesprechung von </w:t>
      </w:r>
      <w:r>
        <w:rPr>
          <w:rStyle w:val="emitalicon"/>
          <w:color w:val="000000"/>
        </w:rPr>
        <w:t>Müller-Wiedenhorn</w:t>
      </w:r>
      <w:r>
        <w:rPr>
          <w:color w:val="000000"/>
        </w:rPr>
        <w:t xml:space="preserve"> in: </w:t>
      </w:r>
      <w:r>
        <w:rPr>
          <w:rStyle w:val="any"/>
          <w:color w:val="000000"/>
        </w:rPr>
        <w:t xml:space="preserve">GWR 2009, </w:t>
      </w:r>
      <w:hyperlink r:id="rId70" w:history="1">
        <w:r>
          <w:rPr>
            <w:rStyle w:val="bocontentwrapperbocenteranotbeck-btn"/>
            <w:color w:val="000000"/>
            <w:u w:val="single" w:color="000000"/>
          </w:rPr>
          <w:t>406</w:t>
        </w:r>
      </w:hyperlink>
      <w:r>
        <w:rPr>
          <w:color w:val="000000"/>
        </w:rPr>
        <w:t>.</w:t>
      </w:r>
    </w:p>
    <w:p w14:paraId="4ACD4A4F" w14:textId="77777777" w:rsidR="00234792" w:rsidRDefault="00000000">
      <w:pPr>
        <w:pStyle w:val="printcontenth3"/>
        <w:spacing w:line="360" w:lineRule="auto"/>
        <w:ind w:left="150" w:right="150"/>
        <w:outlineLvl w:val="2"/>
        <w:rPr>
          <w:b/>
          <w:bCs/>
        </w:rPr>
      </w:pPr>
      <w:r>
        <w:rPr>
          <w:b/>
          <w:bCs/>
        </w:rPr>
        <w:t>Vorinstanzen:</w:t>
      </w:r>
    </w:p>
    <w:p w14:paraId="40A88C65" w14:textId="77777777" w:rsidR="00234792" w:rsidRDefault="00000000">
      <w:pPr>
        <w:pStyle w:val="printcontentdivnotlawversion"/>
        <w:spacing w:line="360" w:lineRule="auto"/>
        <w:ind w:left="150" w:right="150"/>
      </w:pPr>
      <w:r>
        <w:t>LG Koblenz | 4 HKO 191/08 | 11.08.2009 | OLG Koblenz | 1 U 1065/09 | 26.05.2010</w:t>
      </w:r>
    </w:p>
    <w:p w14:paraId="1D1ED469" w14:textId="77777777" w:rsidR="00234792" w:rsidRDefault="00000000">
      <w:pPr>
        <w:pStyle w:val="printcontenth3"/>
        <w:spacing w:line="360" w:lineRule="auto"/>
        <w:ind w:left="150" w:right="150"/>
        <w:outlineLvl w:val="2"/>
        <w:rPr>
          <w:b/>
          <w:bCs/>
        </w:rPr>
      </w:pPr>
      <w:r>
        <w:rPr>
          <w:b/>
          <w:bCs/>
        </w:rPr>
        <w:t>Entscheidung zitiert in:</w:t>
      </w:r>
    </w:p>
    <w:p w14:paraId="42C79231" w14:textId="77777777" w:rsidR="00234792" w:rsidRDefault="00000000">
      <w:pPr>
        <w:pStyle w:val="printcontentdivnotlawversion"/>
        <w:spacing w:line="360" w:lineRule="auto"/>
        <w:ind w:left="150" w:right="150"/>
      </w:pPr>
      <w:r>
        <w:t>Büchern | Michalski GmbHG | Braun, Insolvenzordnung | BeckOK BGB | Rechtsprechung | Verwaltungsvorschriften | Aufsätzen | Meldungen</w:t>
      </w:r>
    </w:p>
    <w:p w14:paraId="7D4037AA" w14:textId="77777777" w:rsidR="00234792" w:rsidRDefault="00000000">
      <w:pPr>
        <w:pStyle w:val="printcontenth3"/>
        <w:spacing w:line="360" w:lineRule="auto"/>
        <w:ind w:left="150" w:right="150"/>
        <w:outlineLvl w:val="2"/>
        <w:rPr>
          <w:b/>
          <w:bCs/>
        </w:rPr>
      </w:pPr>
      <w:r>
        <w:rPr>
          <w:b/>
          <w:bCs/>
        </w:rPr>
        <w:t>Parallelfundstellen:</w:t>
      </w:r>
    </w:p>
    <w:p w14:paraId="23A47B1B" w14:textId="77777777" w:rsidR="00234792" w:rsidRDefault="00000000">
      <w:pPr>
        <w:pStyle w:val="printcontentdivnotlawversion"/>
        <w:spacing w:line="360" w:lineRule="auto"/>
        <w:ind w:left="150" w:right="150"/>
      </w:pPr>
      <w:r>
        <w:t>Entscheidungen | DStR 2011, 1629 | NZI 2011, 601 | BB 2011, S. 2130 (Dr. Rainer Altfuldisch) | IBRRS 2011, 2873 | BeckRS 2011, 18957 | LSK 2011, 310458 (Ls.) | Entscheidungsbesprechung | FD-InsR 2011, 321176 (de Bra) | Weitere Fundstellen | DB 2011, 1685 | DZWir 2011, 427 | GmbHR 2011, 933 | MDR 2011, 1123 (Ls.) | ZBB 2011, 293 (Ls.) | ZInsO 2011, 1470 | ZIP 2011, 1410</w:t>
      </w:r>
    </w:p>
    <w:p w14:paraId="78138882" w14:textId="77777777" w:rsidR="00234792" w:rsidRDefault="00000000">
      <w:pPr>
        <w:pStyle w:val="printcontenth3"/>
        <w:spacing w:line="360" w:lineRule="auto"/>
        <w:ind w:left="150" w:right="150"/>
        <w:outlineLvl w:val="2"/>
        <w:rPr>
          <w:b/>
          <w:bCs/>
        </w:rPr>
      </w:pPr>
      <w:r>
        <w:rPr>
          <w:b/>
          <w:bCs/>
        </w:rPr>
        <w:t>Weiteres zum Aktenzeichen:</w:t>
      </w:r>
    </w:p>
    <w:p w14:paraId="2068CAEE" w14:textId="77777777" w:rsidR="00234792" w:rsidRDefault="00000000">
      <w:pPr>
        <w:pStyle w:val="printcontentdivnotlawversion"/>
        <w:spacing w:line="360" w:lineRule="auto"/>
        <w:ind w:left="150" w:right="150"/>
      </w:pPr>
      <w:r>
        <w:t>becklink 321847 | NZG 2011, 1104</w:t>
      </w:r>
    </w:p>
    <w:p w14:paraId="6F3DCEEB" w14:textId="1DB33D58" w:rsidR="00234792" w:rsidRDefault="00234792">
      <w:pPr>
        <w:pStyle w:val="tdm-long"/>
        <w:spacing w:before="225" w:after="2"/>
        <w:ind w:right="150"/>
        <w:rPr>
          <w:sz w:val="16"/>
          <w:szCs w:val="16"/>
        </w:rPr>
      </w:pPr>
    </w:p>
    <w:sectPr w:rsidR="00234792">
      <w:headerReference w:type="even" r:id="rId71"/>
      <w:headerReference w:type="default" r:id="rId72"/>
      <w:headerReference w:type="first" r:id="rId73"/>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C06D6B" w14:textId="77777777" w:rsidR="00994AD1" w:rsidRDefault="00994AD1">
      <w:r>
        <w:separator/>
      </w:r>
    </w:p>
  </w:endnote>
  <w:endnote w:type="continuationSeparator" w:id="0">
    <w:p w14:paraId="67C0F24C" w14:textId="77777777" w:rsidR="00994AD1" w:rsidRDefault="00994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CE2FE7" w14:textId="77777777" w:rsidR="00994AD1" w:rsidRDefault="00994AD1">
      <w:r>
        <w:separator/>
      </w:r>
    </w:p>
  </w:footnote>
  <w:footnote w:type="continuationSeparator" w:id="0">
    <w:p w14:paraId="1145BE2F" w14:textId="77777777" w:rsidR="00994AD1" w:rsidRDefault="00994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55D81" w14:textId="77777777" w:rsidR="00B61C9A" w:rsidRDefault="00B61C9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040051" w14:textId="423A03F4" w:rsidR="00234792" w:rsidRDefault="002347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D2EB1" w14:textId="77777777" w:rsidR="00B61C9A" w:rsidRDefault="00B61C9A">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92"/>
    <w:rsid w:val="00234792"/>
    <w:rsid w:val="00994AD1"/>
    <w:rsid w:val="00B61C9A"/>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DDD61"/>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B61C9A"/>
    <w:pPr>
      <w:tabs>
        <w:tab w:val="center" w:pos="4536"/>
        <w:tab w:val="right" w:pos="9072"/>
      </w:tabs>
    </w:pPr>
  </w:style>
  <w:style w:type="character" w:customStyle="1" w:styleId="KopfzeileZchn">
    <w:name w:val="Kopfzeile Zchn"/>
    <w:basedOn w:val="Absatz-Standardschriftart"/>
    <w:link w:val="Kopfzeile"/>
    <w:uiPriority w:val="99"/>
    <w:rsid w:val="00B61C9A"/>
    <w:rPr>
      <w:color w:val="141414"/>
      <w:sz w:val="22"/>
      <w:szCs w:val="22"/>
    </w:rPr>
  </w:style>
  <w:style w:type="paragraph" w:styleId="Fuzeile">
    <w:name w:val="footer"/>
    <w:basedOn w:val="Standard"/>
    <w:link w:val="FuzeileZchn"/>
    <w:uiPriority w:val="99"/>
    <w:unhideWhenUsed/>
    <w:rsid w:val="00B61C9A"/>
    <w:pPr>
      <w:tabs>
        <w:tab w:val="center" w:pos="4536"/>
        <w:tab w:val="right" w:pos="9072"/>
      </w:tabs>
    </w:pPr>
  </w:style>
  <w:style w:type="character" w:customStyle="1" w:styleId="FuzeileZchn">
    <w:name w:val="Fußzeile Zchn"/>
    <w:basedOn w:val="Absatz-Standardschriftart"/>
    <w:link w:val="Fuzeile"/>
    <w:uiPriority w:val="99"/>
    <w:rsid w:val="00B61C9A"/>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300&amp;z=BGHZ&amp;b=67&amp;s=171" TargetMode="External"/><Relationship Id="rId21" Type="http://schemas.openxmlformats.org/officeDocument/2006/relationships/hyperlink" Target="https://beck-online.beck.de/?typ=reference&amp;y=300&amp;z=NZG&amp;b=2011&amp;s=273" TargetMode="External"/><Relationship Id="rId42" Type="http://schemas.openxmlformats.org/officeDocument/2006/relationships/hyperlink" Target="https://beck-online.beck.de/?typ=reference&amp;y=300&amp;z=ZIP&amp;b=2010&amp;s=2400&amp;rn=13" TargetMode="External"/><Relationship Id="rId47" Type="http://schemas.openxmlformats.org/officeDocument/2006/relationships/hyperlink" Target="https://beck-online.beck.de/?typ=reference&amp;y=300&amp;z=ZIP&amp;b=1996&amp;s=273" TargetMode="External"/><Relationship Id="rId63" Type="http://schemas.openxmlformats.org/officeDocument/2006/relationships/hyperlink" Target="https://beck-online.beck.de/?typ=reference&amp;y=300&amp;z=ZIP&amp;b=1994&amp;s=31" TargetMode="External"/><Relationship Id="rId68" Type="http://schemas.openxmlformats.org/officeDocument/2006/relationships/hyperlink" Target="https://beck-online.beck.de/?typ=reference&amp;y=200&amp;ge=OLGJENA&amp;d=2009-07-30" TargetMode="External"/><Relationship Id="rId2" Type="http://schemas.openxmlformats.org/officeDocument/2006/relationships/settings" Target="settings.xml"/><Relationship Id="rId16" Type="http://schemas.openxmlformats.org/officeDocument/2006/relationships/hyperlink" Target="https://beck-online.beck.de/?typ=reference&amp;y=100&amp;g=GMBHG&amp;p=32B" TargetMode="External"/><Relationship Id="rId29" Type="http://schemas.openxmlformats.org/officeDocument/2006/relationships/hyperlink" Target="https://beck-online.beck.de/?typ=reference&amp;y=300&amp;z=BGHZ&amp;b=81&amp;s=252" TargetMode="External"/><Relationship Id="rId11" Type="http://schemas.openxmlformats.org/officeDocument/2006/relationships/hyperlink" Target="https://beck-online.beck.de/?typ=reference&amp;y=100&amp;g=GMBHG&amp;p=31&amp;x=5" TargetMode="External"/><Relationship Id="rId24" Type="http://schemas.openxmlformats.org/officeDocument/2006/relationships/hyperlink" Target="https://beck-online.beck.de/?typ=reference&amp;y=300&amp;z=ZIP&amp;b=2011&amp;s=328&amp;rn=21" TargetMode="External"/><Relationship Id="rId32" Type="http://schemas.openxmlformats.org/officeDocument/2006/relationships/hyperlink" Target="https://beck-online.beck.de/?typ=reference&amp;y=300&amp;z=NZG&amp;b=2011&amp;s=624" TargetMode="External"/><Relationship Id="rId37" Type="http://schemas.openxmlformats.org/officeDocument/2006/relationships/hyperlink" Target="https://beck-online.beck.de/?typ=reference&amp;y=300&amp;z=NZG&amp;b=2011&amp;s=624" TargetMode="External"/><Relationship Id="rId40" Type="http://schemas.openxmlformats.org/officeDocument/2006/relationships/hyperlink" Target="https://beck-online.beck.de/?typ=reference&amp;y=300&amp;z=NZG&amp;b=2010&amp;s=1393" TargetMode="External"/><Relationship Id="rId45" Type="http://schemas.openxmlformats.org/officeDocument/2006/relationships/hyperlink" Target="https://beck-online.beck.de/?typ=reference&amp;y=300&amp;z=ZIP&amp;b=1996&amp;sx=275" TargetMode="External"/><Relationship Id="rId53" Type="http://schemas.openxmlformats.org/officeDocument/2006/relationships/hyperlink" Target="https://beck-online.beck.de/?typ=reference&amp;y=100&amp;g=GMBHG&amp;p=32B&amp;x=1" TargetMode="External"/><Relationship Id="rId58" Type="http://schemas.openxmlformats.org/officeDocument/2006/relationships/hyperlink" Target="https://beck-online.beck.de/?typ=reference&amp;y=100&amp;g=KO&amp;p=41&amp;x=1" TargetMode="External"/><Relationship Id="rId66" Type="http://schemas.openxmlformats.org/officeDocument/2006/relationships/hyperlink" Target="https://beck-online.beck.de/?typ=reference&amp;y=100&amp;g=BGB&amp;p=204&amp;x=1&amp;n=1" TargetMode="External"/><Relationship Id="rId74"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yperlink" Target="https://beck-online.beck.de/?typ=reference&amp;y=300&amp;z=NJW&amp;b=1993&amp;s=3265" TargetMode="External"/><Relationship Id="rId19" Type="http://schemas.openxmlformats.org/officeDocument/2006/relationships/hyperlink" Target="https://beck-online.beck.de/?typ=reference&amp;y=300&amp;z=NJW&amp;b=2009&amp;s=1277" TargetMode="External"/><Relationship Id="rId14" Type="http://schemas.openxmlformats.org/officeDocument/2006/relationships/hyperlink" Target="https://beck-online.beck.de/?typ=reference&amp;y=300&amp;z=BECKRS&amp;b=2010&amp;n=17619" TargetMode="External"/><Relationship Id="rId22" Type="http://schemas.openxmlformats.org/officeDocument/2006/relationships/hyperlink" Target="https://beck-online.beck.de/?typ=reference&amp;y=300&amp;z=NJW&amp;b=2011&amp;s=844" TargetMode="External"/><Relationship Id="rId27" Type="http://schemas.openxmlformats.org/officeDocument/2006/relationships/hyperlink" Target="https://beck-online.beck.de/?typ=reference&amp;y=300&amp;z=BGHZ&amp;b=67&amp;sx=182" TargetMode="External"/><Relationship Id="rId30" Type="http://schemas.openxmlformats.org/officeDocument/2006/relationships/hyperlink" Target="https://beck-online.beck.de/?typ=reference&amp;y=300&amp;z=BGHZ&amp;b=81&amp;sx=255" TargetMode="External"/><Relationship Id="rId35" Type="http://schemas.openxmlformats.org/officeDocument/2006/relationships/hyperlink" Target="https://beck-online.beck.de/?typ=reference&amp;y=100&amp;g=INSO&amp;p=19" TargetMode="External"/><Relationship Id="rId43" Type="http://schemas.openxmlformats.org/officeDocument/2006/relationships/hyperlink" Target="https://beck-online.beck.de/?typ=reference&amp;y=300&amp;z=NJW&amp;b=1996&amp;s=722" TargetMode="External"/><Relationship Id="rId48" Type="http://schemas.openxmlformats.org/officeDocument/2006/relationships/hyperlink" Target="https://beck-online.beck.de/?typ=reference&amp;y=300&amp;z=ZIP&amp;b=1996&amp;sx=275" TargetMode="External"/><Relationship Id="rId56" Type="http://schemas.openxmlformats.org/officeDocument/2006/relationships/hyperlink" Target="https://beck-online.beck.de/?typ=reference&amp;y=100&amp;g=INSO&amp;p=146" TargetMode="External"/><Relationship Id="rId64" Type="http://schemas.openxmlformats.org/officeDocument/2006/relationships/hyperlink" Target="https://beck-online.beck.de/?typ=reference&amp;y=100&amp;g=BGB&amp;p=204" TargetMode="External"/><Relationship Id="rId69" Type="http://schemas.openxmlformats.org/officeDocument/2006/relationships/hyperlink" Target="https://beck-online.beck.de/?typ=reference&amp;y=300&amp;z=BECKRS&amp;b=2009&amp;n=25353" TargetMode="External"/><Relationship Id="rId8" Type="http://schemas.openxmlformats.org/officeDocument/2006/relationships/hyperlink" Target="https://beck-online.beck.de/?typ=reference&amp;y=100&amp;g=GMBHG&amp;p=32B" TargetMode="External"/><Relationship Id="rId51" Type="http://schemas.openxmlformats.org/officeDocument/2006/relationships/hyperlink" Target="https://beck-online.beck.de/?typ=reference&amp;y=100&amp;g=INSO&amp;p=146&amp;x=1" TargetMode="External"/><Relationship Id="rId72"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beck-online.beck.de/?typ=reference&amp;y=100&amp;g=INSO&amp;p=146" TargetMode="External"/><Relationship Id="rId17" Type="http://schemas.openxmlformats.org/officeDocument/2006/relationships/hyperlink" Target="https://beck-online.beck.de/?typ=reference&amp;y=300&amp;z=BGHZ&amp;b=179&amp;s=249" TargetMode="External"/><Relationship Id="rId25" Type="http://schemas.openxmlformats.org/officeDocument/2006/relationships/hyperlink" Target="https://beck-online.beck.de/?typ=reference&amp;y=100&amp;g=HGB&amp;p=172A" TargetMode="External"/><Relationship Id="rId33" Type="http://schemas.openxmlformats.org/officeDocument/2006/relationships/hyperlink" Target="https://beck-online.beck.de/?typ=reference&amp;y=300&amp;z=ZIP&amp;b=2011&amp;s=1007" TargetMode="External"/><Relationship Id="rId38" Type="http://schemas.openxmlformats.org/officeDocument/2006/relationships/hyperlink" Target="https://beck-online.beck.de/?typ=reference&amp;y=300&amp;z=ZIP&amp;b=2011&amp;s=1007" TargetMode="External"/><Relationship Id="rId46" Type="http://schemas.openxmlformats.org/officeDocument/2006/relationships/hyperlink" Target="https://beck-online.beck.de/?typ=reference&amp;y=300&amp;z=NJW&amp;b=1996&amp;s=722" TargetMode="External"/><Relationship Id="rId59" Type="http://schemas.openxmlformats.org/officeDocument/2006/relationships/hyperlink" Target="https://beck-online.beck.de/?typ=reference&amp;y=300&amp;z=BGHZ&amp;b=123&amp;s=289" TargetMode="External"/><Relationship Id="rId67" Type="http://schemas.openxmlformats.org/officeDocument/2006/relationships/hyperlink" Target="https://beck-online.beck.de/?typ=reference&amp;y=300&amp;z=NZG&amp;b=2011&amp;s=624" TargetMode="External"/><Relationship Id="rId20" Type="http://schemas.openxmlformats.org/officeDocument/2006/relationships/hyperlink" Target="https://beck-online.beck.de/?typ=reference&amp;y=300&amp;z=NJW&amp;b=2009&amp;s=1277&amp;rn=9" TargetMode="External"/><Relationship Id="rId41" Type="http://schemas.openxmlformats.org/officeDocument/2006/relationships/hyperlink" Target="https://beck-online.beck.de/?typ=reference&amp;y=300&amp;z=ZIP&amp;b=2010&amp;s=2400" TargetMode="External"/><Relationship Id="rId54" Type="http://schemas.openxmlformats.org/officeDocument/2006/relationships/hyperlink" Target="https://beck-online.beck.de/?typ=reference&amp;y=100&amp;g=GMBHG&amp;p=31" TargetMode="External"/><Relationship Id="rId62" Type="http://schemas.openxmlformats.org/officeDocument/2006/relationships/hyperlink" Target="https://beck-online.beck.de/?typ=reference&amp;y=300&amp;z=DSTR&amp;b=1994&amp;s=294" TargetMode="External"/><Relationship Id="rId70" Type="http://schemas.openxmlformats.org/officeDocument/2006/relationships/hyperlink" Target="https://beck-online.beck.de/?typ=reference&amp;y=300&amp;z=GWR&amp;b=2009&amp;s=406" TargetMode="External"/><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eck-online.beck.de/?typ=reference&amp;y=100&amp;g=GMBHG&amp;p=31" TargetMode="External"/><Relationship Id="rId15" Type="http://schemas.openxmlformats.org/officeDocument/2006/relationships/hyperlink" Target="https://beck-online.beck.de/?typ=reference&amp;y=100&amp;g=GMBHG&amp;p=32A" TargetMode="External"/><Relationship Id="rId23" Type="http://schemas.openxmlformats.org/officeDocument/2006/relationships/hyperlink" Target="https://beck-online.beck.de/?typ=reference&amp;y=300&amp;z=ZIP&amp;b=2011&amp;s=328" TargetMode="External"/><Relationship Id="rId28" Type="http://schemas.openxmlformats.org/officeDocument/2006/relationships/hyperlink" Target="https://beck-online.beck.de/?typ=reference&amp;y=300&amp;z=NJW&amp;b=1977&amp;s=104" TargetMode="External"/><Relationship Id="rId36" Type="http://schemas.openxmlformats.org/officeDocument/2006/relationships/hyperlink" Target="https://beck-online.beck.de/?typ=reference&amp;y=100&amp;g=INSO&amp;p=19&amp;x=2" TargetMode="External"/><Relationship Id="rId49" Type="http://schemas.openxmlformats.org/officeDocument/2006/relationships/hyperlink" Target="https://beck-online.beck.de/?typ=reference&amp;y=100&amp;g=GMBHG&amp;p=32B" TargetMode="External"/><Relationship Id="rId57" Type="http://schemas.openxmlformats.org/officeDocument/2006/relationships/hyperlink" Target="https://beck-online.beck.de/?typ=reference&amp;y=100&amp;g=KO&amp;p=41" TargetMode="External"/><Relationship Id="rId10" Type="http://schemas.openxmlformats.org/officeDocument/2006/relationships/hyperlink" Target="https://beck-online.beck.de/?typ=reference&amp;y=100&amp;g=GMBHG&amp;p=31" TargetMode="External"/><Relationship Id="rId31" Type="http://schemas.openxmlformats.org/officeDocument/2006/relationships/hyperlink" Target="https://beck-online.beck.de/?typ=reference&amp;y=300&amp;z=NJW&amp;b=1981&amp;s=2570" TargetMode="External"/><Relationship Id="rId44" Type="http://schemas.openxmlformats.org/officeDocument/2006/relationships/hyperlink" Target="https://beck-online.beck.de/?typ=reference&amp;y=300&amp;z=ZIP&amp;b=1996&amp;s=273" TargetMode="External"/><Relationship Id="rId52" Type="http://schemas.openxmlformats.org/officeDocument/2006/relationships/hyperlink" Target="https://beck-online.beck.de/?typ=reference&amp;y=100&amp;g=GMBHG&amp;p=32B" TargetMode="External"/><Relationship Id="rId60" Type="http://schemas.openxmlformats.org/officeDocument/2006/relationships/hyperlink" Target="https://beck-online.beck.de/?typ=reference&amp;y=300&amp;z=BGHZ&amp;b=123&amp;sx=294" TargetMode="External"/><Relationship Id="rId65" Type="http://schemas.openxmlformats.org/officeDocument/2006/relationships/hyperlink" Target="https://beck-online.beck.de/?typ=reference&amp;y=100&amp;g=BGB&amp;p=204&amp;x=1" TargetMode="External"/><Relationship Id="rId73"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beck-online.beck.de/?typ=reference&amp;y=100&amp;g=INSO&amp;p=146" TargetMode="External"/><Relationship Id="rId13" Type="http://schemas.openxmlformats.org/officeDocument/2006/relationships/hyperlink" Target="https://beck-online.beck.de/?typ=reference&amp;y=100&amp;g=GMBHG&amp;p=32B" TargetMode="External"/><Relationship Id="rId18" Type="http://schemas.openxmlformats.org/officeDocument/2006/relationships/hyperlink" Target="https://beck-online.beck.de/?typ=reference&amp;y=300&amp;z=NZG&amp;b=2009&amp;s=422" TargetMode="External"/><Relationship Id="rId39" Type="http://schemas.openxmlformats.org/officeDocument/2006/relationships/hyperlink" Target="https://beck-online.beck.de/?typ=reference&amp;y=300&amp;z=ZIP&amp;b=2011&amp;s=1007&amp;rn=31" TargetMode="External"/><Relationship Id="rId34" Type="http://schemas.openxmlformats.org/officeDocument/2006/relationships/hyperlink" Target="https://beck-online.beck.de/?typ=reference&amp;y=300&amp;z=ZIP&amp;b=2011&amp;s=1007&amp;rn=33" TargetMode="External"/><Relationship Id="rId50" Type="http://schemas.openxmlformats.org/officeDocument/2006/relationships/hyperlink" Target="https://beck-online.beck.de/?typ=reference&amp;y=100&amp;g=INSO&amp;p=146" TargetMode="External"/><Relationship Id="rId55" Type="http://schemas.openxmlformats.org/officeDocument/2006/relationships/hyperlink" Target="https://beck-online.beck.de/?typ=reference&amp;y=100&amp;g=GMBHG&amp;p=31&amp;x=5" TargetMode="External"/><Relationship Id="rId7" Type="http://schemas.openxmlformats.org/officeDocument/2006/relationships/hyperlink" Target="https://beck-online.beck.de/?typ=reference&amp;y=100&amp;g=GMBHG&amp;p=31&amp;x=5" TargetMode="Externa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2118</Words>
  <Characters>12816</Characters>
  <Application>Microsoft Office Word</Application>
  <DocSecurity>0</DocSecurity>
  <Lines>217</Lines>
  <Paragraphs>68</Paragraphs>
  <ScaleCrop>false</ScaleCrop>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Erstattung des Wertes einer Gesellschaftersicherheit nach Rechtsprechungsregeln – Verjährung - Steuern und Bilanzen</dc:title>
  <dc:creator>beck-online.beck.de</dc:creator>
  <cp:lastModifiedBy>Martin Otten</cp:lastModifiedBy>
  <cp:revision>2</cp:revision>
  <dcterms:created xsi:type="dcterms:W3CDTF">2026-06-28T18:16:00Z</dcterms:created>
  <dcterms:modified xsi:type="dcterms:W3CDTF">2026-06-28T18:16:00Z</dcterms:modified>
</cp:coreProperties>
</file>