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2FFB79FC" w14:textId="760E05F2" w:rsidR="00B76A38" w:rsidRDefault="00B76A38">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6829"/>
        <w:gridCol w:w="2261"/>
      </w:tblGrid>
      <w:tr w:rsidR="00B76A38" w14:paraId="74853432" w14:textId="77777777">
        <w:tc>
          <w:tcPr>
            <w:tcW w:w="0" w:type="auto"/>
            <w:shd w:val="clear" w:color="auto" w:fill="F7F7F0"/>
            <w:tcMar>
              <w:top w:w="45" w:type="dxa"/>
              <w:left w:w="45" w:type="dxa"/>
              <w:bottom w:w="105" w:type="dxa"/>
              <w:right w:w="90" w:type="dxa"/>
            </w:tcMar>
            <w:hideMark/>
          </w:tcPr>
          <w:p w14:paraId="5D838F3D" w14:textId="77777777" w:rsidR="00B76A38" w:rsidRDefault="00000000">
            <w:r>
              <w:rPr>
                <w:rStyle w:val="any"/>
                <w:sz w:val="20"/>
              </w:rPr>
              <w:t>BGH: Fälligkeit einer Forderung i.S. von § 17 II InsO</w:t>
            </w:r>
          </w:p>
        </w:tc>
        <w:tc>
          <w:tcPr>
            <w:tcW w:w="0" w:type="auto"/>
            <w:shd w:val="clear" w:color="auto" w:fill="F7F7F0"/>
            <w:noWrap/>
            <w:tcMar>
              <w:top w:w="45" w:type="dxa"/>
              <w:left w:w="45" w:type="dxa"/>
              <w:bottom w:w="105" w:type="dxa"/>
              <w:right w:w="98" w:type="dxa"/>
            </w:tcMar>
            <w:hideMark/>
          </w:tcPr>
          <w:p w14:paraId="1B1AF712" w14:textId="77777777" w:rsidR="00B76A38" w:rsidRDefault="00000000">
            <w:pPr>
              <w:pStyle w:val="printcontentdivdk2spancitation"/>
              <w:ind w:left="150"/>
              <w:jc w:val="right"/>
            </w:pPr>
            <w:r>
              <w:rPr>
                <w:sz w:val="20"/>
              </w:rPr>
              <w:t>NZI 2007, 579</w:t>
            </w:r>
          </w:p>
        </w:tc>
      </w:tr>
    </w:tbl>
    <w:p w14:paraId="35304705" w14:textId="77777777" w:rsidR="00B76A38"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 xml:space="preserve">Fälligkeit einer Forderung i.S. von </w:t>
      </w:r>
      <w:r>
        <w:rPr>
          <w:rStyle w:val="any"/>
          <w:color w:val="000000"/>
          <w:sz w:val="24"/>
          <w:szCs w:val="24"/>
        </w:rPr>
        <w:t xml:space="preserve">§ </w:t>
      </w:r>
      <w:hyperlink r:id="rId6" w:history="1">
        <w:r>
          <w:rPr>
            <w:rStyle w:val="bocontentwrapperbocenteranotbeck-btn"/>
            <w:color w:val="000000"/>
            <w:sz w:val="24"/>
            <w:szCs w:val="24"/>
            <w:u w:val="single" w:color="000000"/>
          </w:rPr>
          <w:t>17</w:t>
        </w:r>
      </w:hyperlink>
      <w:r>
        <w:rPr>
          <w:rStyle w:val="any"/>
          <w:color w:val="000000"/>
          <w:sz w:val="24"/>
          <w:szCs w:val="24"/>
        </w:rPr>
        <w:t xml:space="preserve"> </w:t>
      </w:r>
      <w:hyperlink r:id="rId7" w:history="1">
        <w:r>
          <w:rPr>
            <w:rStyle w:val="bocontentwrapperbocenteranotbeck-btn"/>
            <w:color w:val="000000"/>
            <w:sz w:val="24"/>
            <w:szCs w:val="24"/>
            <w:u w:val="single" w:color="000000"/>
          </w:rPr>
          <w:t>II</w:t>
        </w:r>
      </w:hyperlink>
      <w:r>
        <w:rPr>
          <w:rStyle w:val="any"/>
          <w:color w:val="000000"/>
          <w:sz w:val="24"/>
          <w:szCs w:val="24"/>
        </w:rPr>
        <w:t xml:space="preserve"> InsO</w:t>
      </w:r>
    </w:p>
    <w:p w14:paraId="18215107" w14:textId="77777777" w:rsidR="00B76A38" w:rsidRDefault="00000000">
      <w:pPr>
        <w:pStyle w:val="printcontentdivnotlawversion"/>
        <w:spacing w:line="360" w:lineRule="auto"/>
        <w:ind w:right="150"/>
      </w:pPr>
      <w:r>
        <w:rPr>
          <w:rStyle w:val="any"/>
          <w:color w:val="000000"/>
        </w:rPr>
        <w:t xml:space="preserve">InsO § </w:t>
      </w:r>
      <w:hyperlink r:id="rId8" w:history="1">
        <w:r>
          <w:rPr>
            <w:rStyle w:val="bocontentwrapperbocenteranotbeck-btn"/>
            <w:color w:val="000000"/>
            <w:u w:val="single" w:color="000000"/>
          </w:rPr>
          <w:t>17</w:t>
        </w:r>
      </w:hyperlink>
      <w:r>
        <w:rPr>
          <w:rStyle w:val="divbocontentwrapperbocenterp"/>
          <w:color w:val="000000"/>
        </w:rPr>
        <w:t xml:space="preserve"> </w:t>
      </w:r>
    </w:p>
    <w:p w14:paraId="512E3496" w14:textId="77777777" w:rsidR="00B76A38"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 xml:space="preserve">Eine Forderung ist in der Regel dann i.S. von </w:t>
      </w:r>
      <w:r>
        <w:rPr>
          <w:rStyle w:val="any"/>
          <w:b/>
          <w:bCs/>
          <w:color w:val="000000"/>
        </w:rPr>
        <w:t xml:space="preserve">§ </w:t>
      </w:r>
      <w:hyperlink r:id="rId9" w:history="1">
        <w:r>
          <w:rPr>
            <w:rStyle w:val="bocontentwrapperbocenteranotbeck-btn"/>
            <w:b/>
            <w:bCs/>
            <w:color w:val="000000"/>
            <w:u w:val="single" w:color="000000"/>
          </w:rPr>
          <w:t>17</w:t>
        </w:r>
      </w:hyperlink>
      <w:r>
        <w:rPr>
          <w:rStyle w:val="any"/>
          <w:b/>
          <w:bCs/>
          <w:color w:val="000000"/>
        </w:rPr>
        <w:t xml:space="preserve"> </w:t>
      </w:r>
      <w:hyperlink r:id="rId10" w:history="1">
        <w:r>
          <w:rPr>
            <w:rStyle w:val="bocontentwrapperbocenteranotbeck-btn"/>
            <w:b/>
            <w:bCs/>
            <w:color w:val="000000"/>
            <w:u w:val="single" w:color="000000"/>
          </w:rPr>
          <w:t>II</w:t>
        </w:r>
      </w:hyperlink>
      <w:r>
        <w:rPr>
          <w:rStyle w:val="any"/>
          <w:b/>
          <w:bCs/>
          <w:color w:val="000000"/>
        </w:rPr>
        <w:t xml:space="preserve"> InsO</w:t>
      </w:r>
      <w:r>
        <w:rPr>
          <w:b/>
          <w:bCs/>
          <w:color w:val="000000"/>
        </w:rPr>
        <w:t xml:space="preserve"> fällig, wenn eine Gläubigerhandlung feststeht, aus der sich der Wille, vom Schuldner Erfüllung zu verlangen, im Allgemeinen ergibt.</w:t>
      </w:r>
    </w:p>
    <w:p w14:paraId="74A43D6C" w14:textId="77777777" w:rsidR="00B76A38"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Forderungen, deren Gläubiger sich für die Zeit vor Eröffnung eines Insolvenzverfahrens mit einer späteren oder nachrangigen Befriedigung einverstanden erklärt haben, sind bei der Prüfung der Zahlungsunfähigkeit des Schuldners nicht zu berücksichtigen.</w:t>
      </w:r>
    </w:p>
    <w:p w14:paraId="5BD55DC1" w14:textId="77777777" w:rsidR="00B76A38"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etyp"/>
          <w:color w:val="000000"/>
        </w:rPr>
        <w:t>Beschluß</w:t>
      </w:r>
      <w:r>
        <w:rPr>
          <w:color w:val="000000"/>
        </w:rPr>
        <w:t xml:space="preserve"> vom </w:t>
      </w:r>
      <w:r>
        <w:rPr>
          <w:rStyle w:val="any"/>
          <w:color w:val="000000"/>
        </w:rPr>
        <w:t>19. 7. 2007</w:t>
      </w:r>
      <w:r>
        <w:rPr>
          <w:color w:val="000000"/>
        </w:rPr>
        <w:t xml:space="preserve"> - </w:t>
      </w:r>
      <w:r>
        <w:rPr>
          <w:rStyle w:val="any"/>
          <w:color w:val="000000"/>
        </w:rPr>
        <w:t xml:space="preserve">IX ZB 36/07 (LG Hannover) </w:t>
      </w:r>
      <w:bookmarkStart w:id="0" w:name="Y-300-Z-NZI-B-2007-S-579-N-1-NAME-SACHVE"/>
      <w:bookmarkEnd w:id="0"/>
    </w:p>
    <w:p w14:paraId="237AA92E" w14:textId="77777777" w:rsidR="00B76A38" w:rsidRDefault="00000000">
      <w:pPr>
        <w:pStyle w:val="printcontenth2"/>
        <w:spacing w:line="360" w:lineRule="auto"/>
        <w:ind w:right="150"/>
        <w:outlineLvl w:val="1"/>
        <w:rPr>
          <w:b/>
          <w:bCs/>
        </w:rPr>
      </w:pPr>
      <w:r>
        <w:rPr>
          <w:b/>
          <w:bCs/>
        </w:rPr>
        <w:t>Zum Sachverhalt:</w:t>
      </w:r>
    </w:p>
    <w:p w14:paraId="33B90B0D" w14:textId="77777777" w:rsidR="00B76A38" w:rsidRDefault="00000000">
      <w:pPr>
        <w:pStyle w:val="divbocontentwrapperbocenterpParagraph"/>
        <w:spacing w:after="120" w:line="360" w:lineRule="auto"/>
        <w:ind w:right="150"/>
        <w:rPr>
          <w:color w:val="000000"/>
        </w:rPr>
      </w:pPr>
      <w:r>
        <w:rPr>
          <w:color w:val="000000"/>
        </w:rPr>
        <w:t xml:space="preserve">Der Schuldner und Rechtsbf. ist selbstständiger Friseurmeister, der vier Filialen betrieb und möglicherweise noch betreibt. Mit Schreiben vom 12. 7. 2006 beantragte das zuständige Finanzamt H.-L. II wegen rückständiger Abgabenforderungen – Lohn-, Einkommen- und Umsatzsteuer – von insgesamt 77 485,82 Euro die Eröffnung des Insolvenzverfahrens über das Vermögen des Schuldners. Mit Schreiben vom 20. 7. 2006 stellte auch die IKK wegen eines Betrags von 3284,80 Euro Insolvenzantrag. Der Schuldner wurde angehört. Er erklärte, eine Einigung mit dem Finanzamt und die Begleichung der Rückstände stehe kurz bevor. Am 8. 9. 2006 wurde der weitere Bet. in dem durch den Antrag der IKK eingeleiteten Eröffnungsverfahren zum vorläufigen Insolvenzverwalter bestellt. Am 12. 9. 2006 teilte der Schuldner mit, er habe sich mit der Finanzverwaltung auf einen Betrag von 48000 Euro geeinigt, der noch im Laufe der Woche überwiesen werde. Die Rückstände bei der IKK seien teilweise bezahlt; der Restbetrag von 2284 Euro werde ebenfalls kurzfristig beglichen. Am 15. 9. 2006 erklärte die IKK ihren Antrag für erledigt, weil die dem Antrag zu Grunde liegende Forderung erfüllt worden sei. Der Schuldner schloss sich der Erledigungserklärung an und erklärte, auch der für das Finanzamt bestimmte Vergleichsbetrag sei mittlerweile überwiesen worden. Am 27. 9. 2006 wurde die vorläufige Insolvenzverwaltung deshalb aufgehoben. Ebenfalls mit Beschluss vom 27. 9. 2006 wurde der weitere Bet. in dem durch den Antrag des Finanzamts eingeleiteten Eröffnungsverfahren zum vorläufigen Verwalter mit Zustimmungsvorbehalt bestellt und mit der Erstattung eines Gutachtens über das Vorliegen eines Eröffnungsgrundes, die Deckung der Verfahrenskosten sowie die Aussichten einer Fortführung des Unternehmens beauftragt. Am 13. 10. 2006 um 10.21 Uhr ging das Gutachten ein. In dem Gutachten heißt es, die Eröffnungsvoraussetzungen lägen vor und die Verfahrenskosten seien gedeckt. Der Schuldner versuche jedoch, die offenen Forderungen durch den Verkauf einer im Eigentum seiner Ehefrau stehenden </w:t>
      </w:r>
      <w:r>
        <w:rPr>
          <w:color w:val="000000"/>
        </w:rPr>
        <w:lastRenderedPageBreak/>
        <w:t>Eigentumswohnung zu begleichen. Auch ein befreundeter Nachbar stelle nach Angaben des Schuldners Mittel zur Verfügung. Dadurch sei eine Schädigung anderer Gläubiger zu befürchten. Am 13. 10. 2006 um 11.19 Uhr wurde das Insolvenzverfahren eröffnet; der weitere Bet. wurde zum Insolvenzverwalter bestellt. Mit Schriftsatz vom 13. 10. 2006, beim Insolvenzgericht eingegangen per Fax am 16. 10. 2006 und im Original am 19. 10. 2006, erklärte das Finanzamt H.-L. II den Eröffnungsantrag für erledigt.</w:t>
      </w:r>
    </w:p>
    <w:p w14:paraId="5CE9B42F" w14:textId="77777777" w:rsidR="00B76A38" w:rsidRDefault="00000000">
      <w:pPr>
        <w:pStyle w:val="divbocontentwrapperbocenterpParagraph"/>
        <w:spacing w:after="120" w:line="360" w:lineRule="auto"/>
        <w:ind w:right="150"/>
        <w:rPr>
          <w:color w:val="000000"/>
        </w:rPr>
      </w:pPr>
      <w:r>
        <w:rPr>
          <w:color w:val="000000"/>
        </w:rPr>
        <w:t xml:space="preserve">Der Schuldner rügte, dass ihm kein rechtliches Gehör gewährt worden sei, und bat um Übersendung des Gutachtens. Seine sofortige Beschwerde gegen den Eröffnungsbeschluss ist erfolglos geblieben. Mit seiner Rechtsbeschwerde will er weiterhin die Aufhebung des Eröffnungsbeschlusses, hilfsweise die Zurückverweisung der Sache an das </w:t>
      </w:r>
      <w:r>
        <w:rPr>
          <w:rStyle w:val="emitalicon"/>
          <w:color w:val="000000"/>
        </w:rPr>
        <w:t>LG</w:t>
      </w:r>
      <w:r>
        <w:rPr>
          <w:color w:val="000000"/>
        </w:rPr>
        <w:t xml:space="preserve"> erreichen. Er beantragt, die Vollziehung des Eröffnungsbeschlusses bis zur Entscheidung des BeschwGer. auszusetzen. Der weitere Bet. beantragt, die Rechtsbeschwerde zurückzuweisen.</w:t>
      </w:r>
    </w:p>
    <w:p w14:paraId="0CB24D56" w14:textId="77777777" w:rsidR="00B76A38" w:rsidRDefault="00000000">
      <w:pPr>
        <w:pStyle w:val="divbocontentwrapperbocenterpParagraph"/>
        <w:spacing w:after="120" w:line="360" w:lineRule="auto"/>
        <w:ind w:right="150"/>
        <w:rPr>
          <w:color w:val="000000"/>
        </w:rPr>
      </w:pPr>
      <w:r>
        <w:rPr>
          <w:color w:val="000000"/>
        </w:rPr>
        <w:t>Die Rechtsbeschwerde hatte Erfolg. Sie führte zur Aufhebung des angefochtenen Beschlusses und zur Zurückverweisung der Sache an das BeschwGer.</w:t>
      </w:r>
      <w:bookmarkStart w:id="1" w:name="Y-300-Z-NZI-B-2007-S-579-N-1-NAME-GRUEND"/>
      <w:bookmarkEnd w:id="1"/>
    </w:p>
    <w:p w14:paraId="2F4DA30D" w14:textId="77777777" w:rsidR="00B76A38" w:rsidRDefault="00000000">
      <w:pPr>
        <w:pStyle w:val="printcontenth2"/>
        <w:spacing w:line="360" w:lineRule="auto"/>
        <w:ind w:right="150"/>
        <w:outlineLvl w:val="1"/>
        <w:rPr>
          <w:b/>
          <w:bCs/>
        </w:rPr>
      </w:pPr>
      <w:r>
        <w:rPr>
          <w:b/>
          <w:bCs/>
        </w:rPr>
        <w:t>Aus den Gründen:</w:t>
      </w:r>
    </w:p>
    <w:p w14:paraId="5074F626" w14:textId="77777777" w:rsidR="00B76A38" w:rsidRDefault="00000000">
      <w:pPr>
        <w:pStyle w:val="divbocontentwrapperbocenterpParagraph"/>
        <w:spacing w:after="120" w:line="360" w:lineRule="auto"/>
        <w:ind w:right="150"/>
        <w:rPr>
          <w:color w:val="000000"/>
        </w:rPr>
      </w:pPr>
      <w:r>
        <w:rPr>
          <w:color w:val="000000"/>
        </w:rPr>
        <w:t xml:space="preserve">[6] II. 1. Das </w:t>
      </w:r>
      <w:r>
        <w:rPr>
          <w:rStyle w:val="emitalicon"/>
          <w:color w:val="000000"/>
        </w:rPr>
        <w:t>LG</w:t>
      </w:r>
      <w:r>
        <w:rPr>
          <w:color w:val="000000"/>
        </w:rPr>
        <w:t xml:space="preserve"> hat den Schuldner für zahlungsunfähig gehalten. Aktiva von 34581,39 Euro stünden fällige Verbindlichkeiten von insgesamt 208657,95 Euro gegenüber. Soweit der Schuldner meine, die Mietforderungen seiner Ehefrau in Höhe von 142418,30 Euro, das Privatdarlehen von 48000 Euro und die Honorarforderung der Steuerberaterin von 28749,47 Euro seien nicht zu berücksichtigen, treffe dies aus Rechtsgründen nicht zu. Zwar seien gestundete Forderungen nicht zu berücksichtigen. Stundungsvereinbarungen habe der Schuldner jedoch nicht vorgelegt. Bei den Aktiva könne das Immobilienvermögen des Schuldners nicht einbezogen werden, weil offen sei, ob, wann und zu welchem Preis dieses veräußert werden könne.</w:t>
      </w:r>
    </w:p>
    <w:p w14:paraId="3213F423" w14:textId="77777777" w:rsidR="00B76A38" w:rsidRDefault="00000000">
      <w:pPr>
        <w:pStyle w:val="divbocontentwrapperbocenterpParagraph"/>
        <w:spacing w:after="120" w:line="360" w:lineRule="auto"/>
        <w:ind w:right="150"/>
        <w:rPr>
          <w:color w:val="000000"/>
        </w:rPr>
      </w:pPr>
      <w:r>
        <w:rPr>
          <w:color w:val="000000"/>
        </w:rPr>
        <w:t>[7] 2. Diese Ausführungen halten einer rechtlichen Überprüfung nicht stand. Die bisherigen Feststellungen tragen den Schluss auf das Vorliegen eines Eröffnungsgrundes nicht.</w:t>
      </w:r>
    </w:p>
    <w:p w14:paraId="42899E82" w14:textId="77777777" w:rsidR="00B76A38" w:rsidRDefault="00000000">
      <w:pPr>
        <w:pStyle w:val="divbocontentwrapperbocenterpParagraph"/>
        <w:spacing w:after="120" w:line="360" w:lineRule="auto"/>
        <w:ind w:right="150"/>
        <w:rPr>
          <w:color w:val="000000"/>
        </w:rPr>
      </w:pPr>
      <w:r>
        <w:rPr>
          <w:color w:val="000000"/>
        </w:rPr>
        <w:t>[8] a) Allgemeiner Eröffnungsgrund ist die Zahlungsunfähigkeit (</w:t>
      </w:r>
      <w:r>
        <w:rPr>
          <w:rStyle w:val="any"/>
          <w:color w:val="000000"/>
        </w:rPr>
        <w:t xml:space="preserve">§ </w:t>
      </w:r>
      <w:hyperlink r:id="rId11" w:history="1">
        <w:r>
          <w:rPr>
            <w:rStyle w:val="bocontentwrapperbocenteranotbeck-btn"/>
            <w:color w:val="000000"/>
            <w:u w:val="single" w:color="000000"/>
          </w:rPr>
          <w:t>17</w:t>
        </w:r>
      </w:hyperlink>
      <w:r>
        <w:rPr>
          <w:rStyle w:val="any"/>
          <w:color w:val="000000"/>
        </w:rPr>
        <w:t xml:space="preserve"> </w:t>
      </w:r>
      <w:hyperlink r:id="rId12" w:history="1">
        <w:r>
          <w:rPr>
            <w:rStyle w:val="bocontentwrapperbocenteranotbeck-btn"/>
            <w:color w:val="000000"/>
            <w:u w:val="single" w:color="000000"/>
          </w:rPr>
          <w:t>I</w:t>
        </w:r>
      </w:hyperlink>
      <w:r>
        <w:rPr>
          <w:rStyle w:val="any"/>
          <w:color w:val="000000"/>
        </w:rPr>
        <w:t xml:space="preserve"> InsO</w:t>
      </w:r>
      <w:r>
        <w:rPr>
          <w:color w:val="000000"/>
        </w:rPr>
        <w:t xml:space="preserve">). Der Schuldner ist zahlungsunfähig, wenn er wegen eines objektiven, kurzfristig nicht zu behebenden Mangels an Zahlungsmitteln nicht in der Lage ist, die fälligen Zahlungspflichten zu erfüllen (vgl. </w:t>
      </w:r>
      <w:r>
        <w:rPr>
          <w:rStyle w:val="any"/>
          <w:color w:val="000000"/>
        </w:rPr>
        <w:t xml:space="preserve">§ </w:t>
      </w:r>
      <w:hyperlink r:id="rId13" w:history="1">
        <w:r>
          <w:rPr>
            <w:rStyle w:val="bocontentwrapperbocenteranotbeck-btn"/>
            <w:color w:val="000000"/>
            <w:u w:val="single" w:color="000000"/>
          </w:rPr>
          <w:t>17</w:t>
        </w:r>
      </w:hyperlink>
      <w:r>
        <w:rPr>
          <w:rStyle w:val="any"/>
          <w:color w:val="000000"/>
        </w:rPr>
        <w:t xml:space="preserve"> </w:t>
      </w:r>
      <w:hyperlink r:id="rId14" w:history="1">
        <w:r>
          <w:rPr>
            <w:rStyle w:val="bocontentwrapperbocenteranotbeck-btn"/>
            <w:color w:val="000000"/>
            <w:u w:val="single" w:color="000000"/>
          </w:rPr>
          <w:t>II</w:t>
        </w:r>
      </w:hyperlink>
      <w:r>
        <w:rPr>
          <w:rStyle w:val="any"/>
          <w:color w:val="000000"/>
        </w:rPr>
        <w:t xml:space="preserve"> 1 InsO</w:t>
      </w:r>
      <w:r>
        <w:rPr>
          <w:color w:val="000000"/>
        </w:rPr>
        <w:t>).</w:t>
      </w:r>
    </w:p>
    <w:p w14:paraId="3492B91E" w14:textId="77777777" w:rsidR="00B76A38" w:rsidRDefault="00000000">
      <w:pPr>
        <w:pStyle w:val="divbocontentwrapperbocenterpParagraph"/>
        <w:spacing w:after="120" w:line="360" w:lineRule="auto"/>
        <w:ind w:right="150"/>
        <w:rPr>
          <w:color w:val="000000"/>
        </w:rPr>
      </w:pPr>
      <w:r>
        <w:rPr>
          <w:color w:val="000000"/>
        </w:rPr>
        <w:t>[9] b) Auf der Grundlage der bisherigen Feststellungen hatte der Schuldner im Zeitpunkt der Eröffnung nur insolvenzrechtlich zu berücksichtigende Verbindlichkeiten in Höhe von insgesamt 46311,02 Euro, nicht, wie das BeschwGer. angenommen hat, von 280657,95 Euro.</w:t>
      </w:r>
    </w:p>
    <w:p w14:paraId="7BD49035" w14:textId="77777777" w:rsidR="00B76A38" w:rsidRDefault="00000000">
      <w:pPr>
        <w:pStyle w:val="divbocontentwrapperbocenterpParagraph"/>
        <w:spacing w:after="120" w:line="360" w:lineRule="auto"/>
        <w:ind w:right="150"/>
        <w:rPr>
          <w:color w:val="000000"/>
        </w:rPr>
      </w:pPr>
      <w:r>
        <w:rPr>
          <w:color w:val="000000"/>
        </w:rPr>
        <w:lastRenderedPageBreak/>
        <w:t xml:space="preserve">[10] aa) Der Honoraranspruch der Steuerberaterin in Höhe von 28749,47 Euro war im Zeitpunkt der Eröffnung, auf den es ankommt (vgl. </w:t>
      </w:r>
      <w:r>
        <w:rPr>
          <w:rStyle w:val="any"/>
          <w:color w:val="000000"/>
        </w:rPr>
        <w:t xml:space="preserve">BGHZ 169, </w:t>
      </w:r>
      <w:hyperlink r:id="rId15" w:history="1">
        <w:r>
          <w:rPr>
            <w:rStyle w:val="bocontentwrapperbocenteranotbeck-btn"/>
            <w:color w:val="000000"/>
            <w:u w:val="single" w:color="000000"/>
          </w:rPr>
          <w:t>17</w:t>
        </w:r>
      </w:hyperlink>
      <w:r>
        <w:rPr>
          <w:color w:val="000000"/>
        </w:rPr>
        <w:t xml:space="preserve"> = </w:t>
      </w:r>
      <w:r>
        <w:rPr>
          <w:rStyle w:val="any"/>
          <w:color w:val="000000"/>
        </w:rPr>
        <w:t xml:space="preserve">NJW 2006, </w:t>
      </w:r>
      <w:hyperlink r:id="rId16" w:history="1">
        <w:r>
          <w:rPr>
            <w:rStyle w:val="bocontentwrapperbocenteranotbeck-btn"/>
            <w:color w:val="000000"/>
            <w:u w:val="single" w:color="000000"/>
          </w:rPr>
          <w:t>3553</w:t>
        </w:r>
      </w:hyperlink>
      <w:r>
        <w:rPr>
          <w:color w:val="000000"/>
        </w:rPr>
        <w:t xml:space="preserve"> = </w:t>
      </w:r>
      <w:r>
        <w:rPr>
          <w:rStyle w:val="any"/>
          <w:color w:val="000000"/>
        </w:rPr>
        <w:t xml:space="preserve">NZI 2006, </w:t>
      </w:r>
      <w:hyperlink r:id="rId17" w:history="1">
        <w:r>
          <w:rPr>
            <w:rStyle w:val="bocontentwrapperbocenteranotbeck-btn"/>
            <w:color w:val="000000"/>
            <w:u w:val="single" w:color="000000"/>
          </w:rPr>
          <w:t>693</w:t>
        </w:r>
      </w:hyperlink>
      <w:r>
        <w:rPr>
          <w:color w:val="000000"/>
        </w:rPr>
        <w:t xml:space="preserve">) nicht i.S. von </w:t>
      </w:r>
      <w:r>
        <w:rPr>
          <w:rStyle w:val="any"/>
          <w:color w:val="000000"/>
        </w:rPr>
        <w:t xml:space="preserve">§ </w:t>
      </w:r>
      <w:hyperlink r:id="rId18" w:history="1">
        <w:r>
          <w:rPr>
            <w:rStyle w:val="bocontentwrapperbocenteranotbeck-btn"/>
            <w:color w:val="000000"/>
            <w:u w:val="single" w:color="000000"/>
          </w:rPr>
          <w:t>17</w:t>
        </w:r>
      </w:hyperlink>
      <w:r>
        <w:rPr>
          <w:rStyle w:val="any"/>
          <w:color w:val="000000"/>
        </w:rPr>
        <w:t xml:space="preserve"> </w:t>
      </w:r>
      <w:hyperlink r:id="rId19" w:history="1">
        <w:r>
          <w:rPr>
            <w:rStyle w:val="bocontentwrapperbocenteranotbeck-btn"/>
            <w:color w:val="000000"/>
            <w:u w:val="single" w:color="000000"/>
          </w:rPr>
          <w:t>II</w:t>
        </w:r>
      </w:hyperlink>
      <w:r>
        <w:rPr>
          <w:rStyle w:val="any"/>
          <w:color w:val="000000"/>
        </w:rPr>
        <w:t xml:space="preserve"> InsO</w:t>
      </w:r>
      <w:r>
        <w:rPr>
          <w:color w:val="000000"/>
        </w:rPr>
        <w:t xml:space="preserve"> fällig.</w:t>
      </w:r>
    </w:p>
    <w:p w14:paraId="24AD3911" w14:textId="77777777" w:rsidR="00B76A38" w:rsidRDefault="00000000">
      <w:pPr>
        <w:pStyle w:val="divbocontentwrapperbocenterpParagraph"/>
        <w:spacing w:after="120" w:line="360" w:lineRule="auto"/>
        <w:ind w:right="150"/>
        <w:rPr>
          <w:color w:val="000000"/>
        </w:rPr>
      </w:pPr>
      <w:r>
        <w:rPr>
          <w:color w:val="000000"/>
        </w:rPr>
        <w:t>[11] (1) Nach Darstellung des Schuldners war zwischen ihm und der Steuerberaterin vereinbart worden, dass er zahlen oder Forderungen abtreten sollte, wie es ihm jeweils möglich war. Die Steuerberaterin verzichtete auf Mahnungen; die jeweilige Restforderung wurde mit 8 Prozent (bei bankmäßiger Berechnung) verzinst. Das BeschwGer. hat diesen Vortrag für unerheblich gehalten, weil keine echte Stundung vorgelegen habe. Das vorgelegte Schreiben der Steuerberaterin bestätige gerade, dass der Schuldner seine Verbindlichkeiten nicht begleichen könne.</w:t>
      </w:r>
    </w:p>
    <w:p w14:paraId="247305BD" w14:textId="77777777" w:rsidR="00B76A38" w:rsidRDefault="00000000">
      <w:pPr>
        <w:pStyle w:val="divbocontentwrapperbocenterpParagraph"/>
        <w:spacing w:after="120" w:line="360" w:lineRule="auto"/>
        <w:ind w:right="150"/>
        <w:rPr>
          <w:color w:val="000000"/>
        </w:rPr>
      </w:pPr>
      <w:r>
        <w:rPr>
          <w:color w:val="000000"/>
        </w:rPr>
        <w:t xml:space="preserve">[12] (2) Im allgemeinen Zivilrecht wird mit „Fälligkeit” derjenige Zeitpunkt bezeichnet, von dem ab der Gläubiger die Leistung fordern kann. Ob dies auch für </w:t>
      </w:r>
      <w:r>
        <w:rPr>
          <w:rStyle w:val="any"/>
          <w:color w:val="000000"/>
        </w:rPr>
        <w:t xml:space="preserve">§ </w:t>
      </w:r>
      <w:hyperlink r:id="rId20" w:history="1">
        <w:r>
          <w:rPr>
            <w:rStyle w:val="bocontentwrapperbocenteranotbeck-btn"/>
            <w:color w:val="000000"/>
            <w:u w:val="single" w:color="000000"/>
          </w:rPr>
          <w:t>17</w:t>
        </w:r>
      </w:hyperlink>
      <w:r>
        <w:rPr>
          <w:rStyle w:val="any"/>
          <w:color w:val="000000"/>
        </w:rPr>
        <w:t xml:space="preserve"> </w:t>
      </w:r>
      <w:hyperlink r:id="rId21" w:history="1">
        <w:r>
          <w:rPr>
            <w:rStyle w:val="bocontentwrapperbocenteranotbeck-btn"/>
            <w:color w:val="000000"/>
            <w:u w:val="single" w:color="000000"/>
          </w:rPr>
          <w:t>II</w:t>
        </w:r>
      </w:hyperlink>
      <w:r>
        <w:rPr>
          <w:rStyle w:val="any"/>
          <w:color w:val="000000"/>
        </w:rPr>
        <w:t xml:space="preserve"> InsO</w:t>
      </w:r>
      <w:r>
        <w:rPr>
          <w:color w:val="000000"/>
        </w:rPr>
        <w:t xml:space="preserve"> gilt, ist in der Literatur umstritten und höchstrichterlich noch nicht geklärt. Der Wortlaut des </w:t>
      </w:r>
      <w:r>
        <w:rPr>
          <w:rStyle w:val="any"/>
          <w:color w:val="000000"/>
        </w:rPr>
        <w:t xml:space="preserve">§ </w:t>
      </w:r>
      <w:hyperlink r:id="rId22" w:history="1">
        <w:r>
          <w:rPr>
            <w:rStyle w:val="bocontentwrapperbocenteranotbeck-btn"/>
            <w:color w:val="000000"/>
            <w:u w:val="single" w:color="000000"/>
          </w:rPr>
          <w:t>17</w:t>
        </w:r>
      </w:hyperlink>
      <w:r>
        <w:rPr>
          <w:rStyle w:val="any"/>
          <w:color w:val="000000"/>
        </w:rPr>
        <w:t xml:space="preserve"> </w:t>
      </w:r>
      <w:hyperlink r:id="rId23" w:history="1">
        <w:r>
          <w:rPr>
            <w:rStyle w:val="bocontentwrapperbocenteranotbeck-btn"/>
            <w:color w:val="000000"/>
            <w:u w:val="single" w:color="000000"/>
          </w:rPr>
          <w:t>II</w:t>
        </w:r>
      </w:hyperlink>
      <w:r>
        <w:rPr>
          <w:rStyle w:val="any"/>
          <w:color w:val="000000"/>
        </w:rPr>
        <w:t xml:space="preserve"> InsO</w:t>
      </w:r>
      <w:r>
        <w:rPr>
          <w:color w:val="000000"/>
        </w:rPr>
        <w:t xml:space="preserve"> scheint eindeutig zu sein. Zweifel an der Maßgeblichkeit des zivilrechtlichen Begriffs der Fälligkeit auch für die Vorschrift des </w:t>
      </w:r>
      <w:r>
        <w:rPr>
          <w:rStyle w:val="any"/>
          <w:color w:val="000000"/>
        </w:rPr>
        <w:t xml:space="preserve">§ </w:t>
      </w:r>
      <w:hyperlink r:id="rId24" w:history="1">
        <w:r>
          <w:rPr>
            <w:rStyle w:val="bocontentwrapperbocenteranotbeck-btn"/>
            <w:color w:val="000000"/>
            <w:u w:val="single" w:color="000000"/>
          </w:rPr>
          <w:t>17</w:t>
        </w:r>
      </w:hyperlink>
      <w:r>
        <w:rPr>
          <w:rStyle w:val="any"/>
          <w:color w:val="000000"/>
        </w:rPr>
        <w:t xml:space="preserve"> </w:t>
      </w:r>
      <w:hyperlink r:id="rId25" w:history="1">
        <w:r>
          <w:rPr>
            <w:rStyle w:val="bocontentwrapperbocenteranotbeck-btn"/>
            <w:color w:val="000000"/>
            <w:u w:val="single" w:color="000000"/>
          </w:rPr>
          <w:t>II</w:t>
        </w:r>
      </w:hyperlink>
      <w:r>
        <w:rPr>
          <w:rStyle w:val="any"/>
          <w:color w:val="000000"/>
        </w:rPr>
        <w:t xml:space="preserve"> InsO</w:t>
      </w:r>
      <w:r>
        <w:rPr>
          <w:color w:val="000000"/>
        </w:rPr>
        <w:t xml:space="preserve"> folgen jedoch aus der unterschiedlichen Funktion, den die „Fälligkeit” einer Forderung im jeweiligen Regelungszusammenhang erfüllt. Zivilrechtlich ist die Fälligkeit einer Forderung Voraussetzung für den Schuldnerverzug und die Erhebung der Leistungsklage sowie Anknüpfung für den Verjährungsbeginn (</w:t>
      </w:r>
      <w:r>
        <w:rPr>
          <w:rStyle w:val="emitalicon"/>
          <w:color w:val="000000"/>
        </w:rPr>
        <w:t>Grüneberg</w:t>
      </w:r>
      <w:r>
        <w:rPr>
          <w:color w:val="000000"/>
        </w:rPr>
        <w:t xml:space="preserve">, in: </w:t>
      </w:r>
      <w:r>
        <w:rPr>
          <w:rStyle w:val="emitalicon"/>
          <w:color w:val="000000"/>
        </w:rPr>
        <w:t>Bamberger/Roth</w:t>
      </w:r>
      <w:r>
        <w:rPr>
          <w:color w:val="000000"/>
        </w:rPr>
        <w:t>, BGB, § 271 Rdnr. 2). Insolvenzrechtlich geht es demgegenüber um den Zeitpunkt der Zahlungsunfähigkeit des Schuldners, von dem an der Übergang von der Einzelzwangsvollstreckung zur Gesamtvollstreckung zu erfolgen hat. Das Vermögen des Schuldners, das nicht zur Befriedigung aller Gläubiger ausreicht, soll im Rahmen eines geordneten Verfahrens gleichmäßig unter diesen verteilt werden, um einen weiteren „Wettlauf der Gläubiger” im Rahmen der vom Prioritätsprinzip geprägten Einzelzwangsvollstreckung zu verhindern. Ob dieser Zeitpunkt gekommen ist, hängt nicht notwendig allein von der Frage ab, in welchem Umfang die Gläubiger des Schuldners Zahlungen verlangen können. Die Frage, ob die Zahlungen tatsächlich eingefordert werden, ist nicht von vornherein unerheblich.</w:t>
      </w:r>
    </w:p>
    <w:p w14:paraId="6BAFDEDA" w14:textId="77777777" w:rsidR="00B76A38" w:rsidRDefault="00000000">
      <w:pPr>
        <w:pStyle w:val="divbocontentwrapperbocenterpParagraph"/>
        <w:spacing w:after="120" w:line="360" w:lineRule="auto"/>
        <w:ind w:right="150"/>
        <w:rPr>
          <w:color w:val="000000"/>
        </w:rPr>
      </w:pPr>
      <w:r>
        <w:rPr>
          <w:color w:val="000000"/>
        </w:rPr>
        <w:t>[13] Der Gesetzgeber der KO wollte mit der Einführung des Begriffs der „Zahlungsunfähigkeit” – im Unterschied zu demjenigen der Vermögensunzulänglichkeit – den Schuldner vor einer voreiligen Eröffnung des Konkursverfahrens schützen, aber auch den berechtigten Interessen der Gläubiger an einer Befriedigung ihrer Forderungen Rechnung tragen:</w:t>
      </w:r>
    </w:p>
    <w:p w14:paraId="55053E11" w14:textId="77777777" w:rsidR="00B76A38" w:rsidRDefault="00000000">
      <w:pPr>
        <w:pStyle w:val="divbocontentwrapperbocenterpParagraph"/>
        <w:spacing w:after="120" w:line="360" w:lineRule="auto"/>
        <w:ind w:right="150"/>
        <w:rPr>
          <w:color w:val="000000"/>
        </w:rPr>
      </w:pPr>
      <w:r>
        <w:rPr>
          <w:color w:val="000000"/>
        </w:rPr>
        <w:t xml:space="preserve">[14] „Solange derselbe (= der Gemeinschuldner) seinen Verbindlichkeiten nachkommt, hat niemand das Recht, in seine Verhältnisse sich einzudrängen, ihn aus dem Besitz zu setzen und seine produktive Tätigkeit zu unterbrechen, möchte auch bei gleichzeitigem Andrängen </w:t>
      </w:r>
      <w:r>
        <w:rPr>
          <w:color w:val="000000"/>
        </w:rPr>
        <w:lastRenderedPageBreak/>
        <w:t xml:space="preserve">aller Gläubiger sein Vermögen zur vollständigen Befriedigung derselben nicht ausreichen. Ein solches Vorgehen würde ein Unrecht gegen den Schuldner enthalten, der verlangen kann, dass vor eingetretenem Zahlungsverzug ihm nicht die Möglichkeit genommen werde, seine Lage zu verbessern und das materiell vorhandene Defizit auszugleichen. Bei der großen Empfindlichkeit des Kredits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B76A38" w14:paraId="214F182C" w14:textId="77777777">
        <w:tc>
          <w:tcPr>
            <w:tcW w:w="4000" w:type="pct"/>
            <w:shd w:val="clear" w:color="auto" w:fill="F0F0F0"/>
            <w:tcMar>
              <w:top w:w="0" w:type="dxa"/>
              <w:left w:w="0" w:type="dxa"/>
              <w:bottom w:w="0" w:type="dxa"/>
              <w:right w:w="0" w:type="dxa"/>
            </w:tcMar>
            <w:vAlign w:val="center"/>
            <w:hideMark/>
          </w:tcPr>
          <w:p w14:paraId="452AE92B" w14:textId="77777777" w:rsidR="00B76A38"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Fälligkeit einer Forderung i.S. von § 17 II InsO</w:t>
            </w:r>
            <w:r>
              <w:rPr>
                <w:rStyle w:val="citation"/>
                <w:color w:val="000000"/>
              </w:rPr>
              <w:t>(NZI 2007, 579)</w:t>
            </w:r>
          </w:p>
        </w:tc>
        <w:tc>
          <w:tcPr>
            <w:tcW w:w="1000" w:type="pct"/>
            <w:shd w:val="clear" w:color="auto" w:fill="F0F0F0"/>
            <w:tcMar>
              <w:top w:w="0" w:type="dxa"/>
              <w:left w:w="0" w:type="dxa"/>
              <w:bottom w:w="0" w:type="dxa"/>
              <w:right w:w="0" w:type="dxa"/>
            </w:tcMar>
            <w:vAlign w:val="center"/>
            <w:hideMark/>
          </w:tcPr>
          <w:p w14:paraId="1A3FEC0B" w14:textId="77777777" w:rsidR="00B76A38"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580</w:t>
            </w:r>
          </w:p>
        </w:tc>
      </w:tr>
    </w:tbl>
    <w:p w14:paraId="725F0FF8" w14:textId="77777777" w:rsidR="00B76A38" w:rsidRDefault="00000000">
      <w:pPr>
        <w:pStyle w:val="divbocontentwrapperbocenterpParagraph"/>
        <w:spacing w:after="120" w:line="360" w:lineRule="auto"/>
        <w:ind w:right="150"/>
        <w:rPr>
          <w:color w:val="000000"/>
        </w:rPr>
      </w:pPr>
      <w:r>
        <w:rPr>
          <w:color w:val="000000"/>
        </w:rPr>
        <w:t>und dem engen Ineinandergreifen der heutigen Verkehrsbeziehungen würden dadurch nicht nur der Gemeinschuldner, sondern in den meisten Fällen auch andere ohne Grund und ohne Nutzen der Gefahr finanziellen Ruins ausgesetzt werden. Umgekehrt aber und zweitens kann den andringenden Gläubigern nicht damit gedient sein, dass ihr Schuldner ein selbst wohlhabender Mann ist, wenn derselbe nicht die Mittel zur Zahlung seiner fälligen Schulden herbeizuschaffen vermag; sie brauchen sich nicht mit dem Einwand der Vermögenssuffizienz abfinden zu lassen, wo sie Zahlung zu fordern berechtigt sind” (</w:t>
      </w:r>
      <w:r>
        <w:rPr>
          <w:rStyle w:val="emitalicon"/>
          <w:color w:val="000000"/>
        </w:rPr>
        <w:t>Hahn</w:t>
      </w:r>
      <w:r>
        <w:rPr>
          <w:color w:val="000000"/>
        </w:rPr>
        <w:t>, Die gesamten Materialien zu den Reichs-Justizgesetzen, Bd. 4 [Neudr. 1983], S. 292).</w:t>
      </w:r>
    </w:p>
    <w:p w14:paraId="43F4A1F1" w14:textId="77777777" w:rsidR="00B76A38" w:rsidRDefault="00000000">
      <w:pPr>
        <w:pStyle w:val="divbocontentwrapperbocenterpParagraph"/>
        <w:spacing w:after="120" w:line="360" w:lineRule="auto"/>
        <w:ind w:right="150"/>
        <w:rPr>
          <w:color w:val="000000"/>
        </w:rPr>
      </w:pPr>
      <w:r>
        <w:rPr>
          <w:color w:val="000000"/>
        </w:rPr>
        <w:t xml:space="preserve">[15] „Zahlungsunfähigkeit” i.S. von </w:t>
      </w:r>
      <w:r>
        <w:rPr>
          <w:rStyle w:val="any"/>
          <w:color w:val="000000"/>
        </w:rPr>
        <w:t xml:space="preserve">§ </w:t>
      </w:r>
      <w:hyperlink r:id="rId26" w:history="1">
        <w:r>
          <w:rPr>
            <w:rStyle w:val="bocontentwrapperbocenteranotbeck-btn"/>
            <w:color w:val="000000"/>
            <w:u w:val="single" w:color="000000"/>
          </w:rPr>
          <w:t>102</w:t>
        </w:r>
      </w:hyperlink>
      <w:r>
        <w:rPr>
          <w:rStyle w:val="any"/>
          <w:color w:val="000000"/>
        </w:rPr>
        <w:t xml:space="preserve"> KO</w:t>
      </w:r>
      <w:r>
        <w:rPr>
          <w:color w:val="000000"/>
        </w:rPr>
        <w:t xml:space="preserve"> wurde folgerichtig als das auf einem Mangel an Zahlungsmitteln beruhende, voraussichtlich dauernde Unvermögen des Schuldners verstanden, seine sofort zu erfüllenden Geldschulden noch im Wesentlichen zu berichtigen, wenn und soweit die Gläubiger diese Forderungen „ernsthaft einforderten” (z. B. </w:t>
      </w:r>
      <w:r>
        <w:rPr>
          <w:rStyle w:val="any"/>
          <w:color w:val="000000"/>
        </w:rPr>
        <w:t xml:space="preserve">BGHZ 118, </w:t>
      </w:r>
      <w:hyperlink r:id="rId27" w:history="1">
        <w:r>
          <w:rPr>
            <w:rStyle w:val="bocontentwrapperbocenteranotbeck-btn"/>
            <w:color w:val="000000"/>
            <w:u w:val="single" w:color="000000"/>
          </w:rPr>
          <w:t>171</w:t>
        </w:r>
      </w:hyperlink>
      <w:r>
        <w:rPr>
          <w:rStyle w:val="any"/>
          <w:color w:val="000000"/>
        </w:rPr>
        <w:t xml:space="preserve"> [</w:t>
      </w:r>
      <w:hyperlink r:id="rId28" w:history="1">
        <w:r>
          <w:rPr>
            <w:rStyle w:val="bocontentwrapperbocenteranotbeck-btn"/>
            <w:color w:val="000000"/>
            <w:u w:val="single" w:color="000000"/>
          </w:rPr>
          <w:t>174</w:t>
        </w:r>
      </w:hyperlink>
      <w:r>
        <w:rPr>
          <w:color w:val="000000"/>
        </w:rPr>
        <w:t xml:space="preserve">] = </w:t>
      </w:r>
      <w:r>
        <w:rPr>
          <w:rStyle w:val="any"/>
          <w:color w:val="000000"/>
        </w:rPr>
        <w:t xml:space="preserve">NJW 1992, </w:t>
      </w:r>
      <w:hyperlink r:id="rId29" w:history="1">
        <w:r>
          <w:rPr>
            <w:rStyle w:val="bocontentwrapperbocenteranotbeck-btn"/>
            <w:color w:val="000000"/>
            <w:u w:val="single" w:color="000000"/>
          </w:rPr>
          <w:t>1960</w:t>
        </w:r>
      </w:hyperlink>
      <w:r>
        <w:rPr>
          <w:color w:val="000000"/>
        </w:rPr>
        <w:t xml:space="preserve"> m.w. Nachw.; </w:t>
      </w:r>
      <w:r>
        <w:rPr>
          <w:rStyle w:val="emitalicon"/>
          <w:color w:val="000000"/>
        </w:rPr>
        <w:t>Kilger</w:t>
      </w:r>
      <w:r>
        <w:rPr>
          <w:color w:val="000000"/>
        </w:rPr>
        <w:t>/</w:t>
      </w:r>
      <w:r>
        <w:rPr>
          <w:rStyle w:val="emitalicon"/>
          <w:color w:val="000000"/>
        </w:rPr>
        <w:t>Karsten Schmidt</w:t>
      </w:r>
      <w:r>
        <w:rPr>
          <w:color w:val="000000"/>
        </w:rPr>
        <w:t xml:space="preserve">, InsolvenzG, 17. Aufl., § 102 Anm. 2). Hohe Anforderungen sind an dieses Merkmal allerdings nicht gestellt worden. Nach der Rechtsprechung des </w:t>
      </w:r>
      <w:r>
        <w:rPr>
          <w:rStyle w:val="emitalicon"/>
          <w:color w:val="000000"/>
        </w:rPr>
        <w:t>BGH</w:t>
      </w:r>
      <w:r>
        <w:rPr>
          <w:color w:val="000000"/>
        </w:rPr>
        <w:t xml:space="preserve"> reichte eine einzige ernsthafte Zahlungsaufforderung aus. Dass der Gläubiger den Schuldner zur Zahlung drängte oder gar die Zwangsvollstreckung betrieb, war nicht notwendig (</w:t>
      </w:r>
      <w:r>
        <w:rPr>
          <w:rStyle w:val="emitalicon"/>
          <w:color w:val="000000"/>
        </w:rPr>
        <w:t>BGH</w:t>
      </w:r>
      <w:r>
        <w:rPr>
          <w:color w:val="000000"/>
        </w:rPr>
        <w:t xml:space="preserve">, </w:t>
      </w:r>
      <w:r>
        <w:rPr>
          <w:rStyle w:val="any"/>
          <w:color w:val="000000"/>
        </w:rPr>
        <w:t xml:space="preserve">NJW 1995, </w:t>
      </w:r>
      <w:hyperlink r:id="rId30" w:history="1">
        <w:r>
          <w:rPr>
            <w:rStyle w:val="bocontentwrapperbocenteranotbeck-btn"/>
            <w:color w:val="000000"/>
            <w:u w:val="single" w:color="000000"/>
          </w:rPr>
          <w:t>2103</w:t>
        </w:r>
      </w:hyperlink>
      <w:r>
        <w:rPr>
          <w:color w:val="000000"/>
        </w:rPr>
        <w:t xml:space="preserve"> = </w:t>
      </w:r>
      <w:r>
        <w:rPr>
          <w:rStyle w:val="any"/>
          <w:color w:val="000000"/>
        </w:rPr>
        <w:t xml:space="preserve">WM 1995, </w:t>
      </w:r>
      <w:hyperlink r:id="rId31" w:history="1">
        <w:r>
          <w:rPr>
            <w:rStyle w:val="bocontentwrapperbocenteranotbeck-btn"/>
            <w:color w:val="000000"/>
            <w:u w:val="single" w:color="000000"/>
          </w:rPr>
          <w:t>1113</w:t>
        </w:r>
      </w:hyperlink>
      <w:r>
        <w:rPr>
          <w:rStyle w:val="any"/>
          <w:color w:val="000000"/>
        </w:rPr>
        <w:t xml:space="preserve"> [</w:t>
      </w:r>
      <w:hyperlink r:id="rId32" w:history="1">
        <w:r>
          <w:rPr>
            <w:rStyle w:val="bocontentwrapperbocenteranotbeck-btn"/>
            <w:color w:val="000000"/>
            <w:u w:val="single" w:color="000000"/>
          </w:rPr>
          <w:t>1114</w:t>
        </w:r>
      </w:hyperlink>
      <w:r>
        <w:rPr>
          <w:color w:val="000000"/>
        </w:rPr>
        <w:t>]). Die Voraussetzung des „ernstlichen Einforderns” diente schließlich nur noch dem Zweck, solche Forderungen auszunehmen, die rein tatsächlich – also auch ohne rechtlichen Bindungswillen oder erkennbare Erklärung – gestundet worden waren (</w:t>
      </w:r>
      <w:r>
        <w:rPr>
          <w:rStyle w:val="emitalicon"/>
          <w:color w:val="000000"/>
        </w:rPr>
        <w:t>BGH</w:t>
      </w:r>
      <w:r>
        <w:rPr>
          <w:color w:val="000000"/>
        </w:rPr>
        <w:t xml:space="preserve">, </w:t>
      </w:r>
      <w:r>
        <w:rPr>
          <w:rStyle w:val="any"/>
          <w:color w:val="000000"/>
        </w:rPr>
        <w:t xml:space="preserve">NJW 1998, </w:t>
      </w:r>
      <w:hyperlink r:id="rId33" w:history="1">
        <w:r>
          <w:rPr>
            <w:rStyle w:val="bocontentwrapperbocenteranotbeck-btn"/>
            <w:color w:val="000000"/>
            <w:u w:val="single" w:color="000000"/>
          </w:rPr>
          <w:t>607</w:t>
        </w:r>
      </w:hyperlink>
      <w:r>
        <w:rPr>
          <w:color w:val="000000"/>
        </w:rPr>
        <w:t xml:space="preserve"> = </w:t>
      </w:r>
      <w:r>
        <w:rPr>
          <w:rStyle w:val="any"/>
          <w:color w:val="000000"/>
        </w:rPr>
        <w:t xml:space="preserve">WM 1997, </w:t>
      </w:r>
      <w:hyperlink r:id="rId34" w:history="1">
        <w:r>
          <w:rPr>
            <w:rStyle w:val="bocontentwrapperbocenteranotbeck-btn"/>
            <w:color w:val="000000"/>
            <w:u w:val="single" w:color="000000"/>
          </w:rPr>
          <w:t>2134</w:t>
        </w:r>
      </w:hyperlink>
      <w:r>
        <w:rPr>
          <w:rStyle w:val="any"/>
          <w:color w:val="000000"/>
        </w:rPr>
        <w:t xml:space="preserve"> [</w:t>
      </w:r>
      <w:hyperlink r:id="rId35" w:history="1">
        <w:r>
          <w:rPr>
            <w:rStyle w:val="bocontentwrapperbocenteranotbeck-btn"/>
            <w:color w:val="000000"/>
            <w:u w:val="single" w:color="000000"/>
          </w:rPr>
          <w:t>2135</w:t>
        </w:r>
      </w:hyperlink>
      <w:r>
        <w:rPr>
          <w:color w:val="000000"/>
        </w:rPr>
        <w:t xml:space="preserve">]; </w:t>
      </w:r>
      <w:r>
        <w:rPr>
          <w:rStyle w:val="any"/>
          <w:color w:val="000000"/>
        </w:rPr>
        <w:t xml:space="preserve">NJW-RR 1999, </w:t>
      </w:r>
      <w:hyperlink r:id="rId36" w:history="1">
        <w:r>
          <w:rPr>
            <w:rStyle w:val="bocontentwrapperbocenteranotbeck-btn"/>
            <w:color w:val="000000"/>
            <w:u w:val="single" w:color="000000"/>
          </w:rPr>
          <w:t>272</w:t>
        </w:r>
      </w:hyperlink>
      <w:r>
        <w:rPr>
          <w:color w:val="000000"/>
        </w:rPr>
        <w:t xml:space="preserve"> = </w:t>
      </w:r>
      <w:r>
        <w:rPr>
          <w:rStyle w:val="any"/>
          <w:color w:val="000000"/>
        </w:rPr>
        <w:t xml:space="preserve">NZI 1998, </w:t>
      </w:r>
      <w:hyperlink r:id="rId37" w:history="1">
        <w:r>
          <w:rPr>
            <w:rStyle w:val="bocontentwrapperbocenteranotbeck-btn"/>
            <w:color w:val="000000"/>
            <w:u w:val="single" w:color="000000"/>
          </w:rPr>
          <w:t>118</w:t>
        </w:r>
      </w:hyperlink>
      <w:r>
        <w:rPr>
          <w:color w:val="000000"/>
        </w:rPr>
        <w:t xml:space="preserve"> = </w:t>
      </w:r>
      <w:r>
        <w:rPr>
          <w:rStyle w:val="any"/>
          <w:color w:val="000000"/>
        </w:rPr>
        <w:t xml:space="preserve">WM 1998, </w:t>
      </w:r>
      <w:hyperlink r:id="rId38" w:history="1">
        <w:r>
          <w:rPr>
            <w:rStyle w:val="bocontentwrapperbocenteranotbeck-btn"/>
            <w:color w:val="000000"/>
            <w:u w:val="single" w:color="000000"/>
          </w:rPr>
          <w:t>2345</w:t>
        </w:r>
      </w:hyperlink>
      <w:r>
        <w:rPr>
          <w:rStyle w:val="any"/>
          <w:color w:val="000000"/>
        </w:rPr>
        <w:t xml:space="preserve"> [</w:t>
      </w:r>
      <w:hyperlink r:id="rId39" w:history="1">
        <w:r>
          <w:rPr>
            <w:rStyle w:val="bocontentwrapperbocenteranotbeck-btn"/>
            <w:color w:val="000000"/>
            <w:u w:val="single" w:color="000000"/>
          </w:rPr>
          <w:t>2346</w:t>
        </w:r>
      </w:hyperlink>
      <w:r>
        <w:rPr>
          <w:color w:val="000000"/>
        </w:rPr>
        <w:t>]).</w:t>
      </w:r>
    </w:p>
    <w:p w14:paraId="1AF57657" w14:textId="77777777" w:rsidR="00B76A38" w:rsidRDefault="00000000">
      <w:pPr>
        <w:pStyle w:val="divbocontentwrapperbocenterpParagraph"/>
        <w:spacing w:after="120" w:line="360" w:lineRule="auto"/>
        <w:ind w:right="150"/>
        <w:rPr>
          <w:color w:val="000000"/>
        </w:rPr>
      </w:pPr>
      <w:r>
        <w:rPr>
          <w:color w:val="000000"/>
        </w:rPr>
        <w:t xml:space="preserve">[16] Der Regierungsentwurf zur InsO wollte den allgemeinen Eröffnungsgrund der Zahlungsunfähigkeit in die InsO übernehmen. „Im Interesse der Rechtsklarheit” wurde der Begriff der Zahlungsunfähigkeit in Absatz 2 S. 1 des </w:t>
      </w:r>
      <w:r>
        <w:rPr>
          <w:rStyle w:val="any"/>
          <w:color w:val="000000"/>
        </w:rPr>
        <w:t xml:space="preserve">§ </w:t>
      </w:r>
      <w:hyperlink r:id="rId40" w:history="1">
        <w:r>
          <w:rPr>
            <w:rStyle w:val="bocontentwrapperbocenteranotbeck-btn"/>
            <w:color w:val="000000"/>
            <w:u w:val="single" w:color="000000"/>
          </w:rPr>
          <w:t>17</w:t>
        </w:r>
      </w:hyperlink>
      <w:r>
        <w:rPr>
          <w:rStyle w:val="any"/>
          <w:color w:val="000000"/>
        </w:rPr>
        <w:t xml:space="preserve"> InsO</w:t>
      </w:r>
      <w:r>
        <w:rPr>
          <w:color w:val="000000"/>
        </w:rPr>
        <w:t xml:space="preserve"> jedoch gesetzlich umschrieben. Wörtlich heißt es weiter: „Dabei wird die Definition zu Grunde gelegt, die sich in Rechtsprechung und Literatur für die Zahlungsunfähigkeit durchgesetzt hat” (BT-Dr 12/2443, S. 114). Aus der weiteren Begründung ergibt sich, dass der Entwurf auf die Merkmale der „Dauer” und der „Wesentlichkeit” bewusst verzichtet hat. Dass eine nur vorübergehende Zahlungsstockung keine Zahlungsunfähigkeit begründe, verstehe sich von selbst; eine „andauernde” Unfähigkeit zur Erfüllung der Zahlungspflichten zu verlangen, sei </w:t>
      </w:r>
      <w:r>
        <w:rPr>
          <w:color w:val="000000"/>
        </w:rPr>
        <w:lastRenderedPageBreak/>
        <w:t xml:space="preserve">untunlich, weil dadurch der Begriff der Zahlungsunfähigkeit zu sehr eingeengt werden könne, was wiederum das Ziel einer rechtzeitigen Verfahrenseröffnung erheblich gefährde (BT-Dr 12/2443, S. 114; vgl. auch </w:t>
      </w:r>
      <w:r>
        <w:rPr>
          <w:rStyle w:val="any"/>
          <w:color w:val="000000"/>
        </w:rPr>
        <w:t xml:space="preserve">BGHZ 163, </w:t>
      </w:r>
      <w:hyperlink r:id="rId41" w:history="1">
        <w:r>
          <w:rPr>
            <w:rStyle w:val="bocontentwrapperbocenteranotbeck-btn"/>
            <w:color w:val="000000"/>
            <w:u w:val="single" w:color="000000"/>
          </w:rPr>
          <w:t>134</w:t>
        </w:r>
      </w:hyperlink>
      <w:r>
        <w:rPr>
          <w:rStyle w:val="any"/>
          <w:color w:val="000000"/>
        </w:rPr>
        <w:t xml:space="preserve"> [</w:t>
      </w:r>
      <w:hyperlink r:id="rId42" w:history="1">
        <w:r>
          <w:rPr>
            <w:rStyle w:val="bocontentwrapperbocenteranotbeck-btn"/>
            <w:color w:val="000000"/>
            <w:u w:val="single" w:color="000000"/>
          </w:rPr>
          <w:t>137</w:t>
        </w:r>
      </w:hyperlink>
      <w:r>
        <w:rPr>
          <w:color w:val="000000"/>
        </w:rPr>
        <w:t xml:space="preserve">] = </w:t>
      </w:r>
      <w:r>
        <w:rPr>
          <w:rStyle w:val="any"/>
          <w:color w:val="000000"/>
        </w:rPr>
        <w:t xml:space="preserve">NJW 2005, </w:t>
      </w:r>
      <w:hyperlink r:id="rId43" w:history="1">
        <w:r>
          <w:rPr>
            <w:rStyle w:val="bocontentwrapperbocenteranotbeck-btn"/>
            <w:color w:val="000000"/>
            <w:u w:val="single" w:color="000000"/>
          </w:rPr>
          <w:t>3062</w:t>
        </w:r>
      </w:hyperlink>
      <w:r>
        <w:rPr>
          <w:color w:val="000000"/>
        </w:rPr>
        <w:t xml:space="preserve"> = </w:t>
      </w:r>
      <w:r>
        <w:rPr>
          <w:rStyle w:val="any"/>
          <w:color w:val="000000"/>
        </w:rPr>
        <w:t xml:space="preserve">NZI 2005, </w:t>
      </w:r>
      <w:hyperlink r:id="rId44" w:history="1">
        <w:r>
          <w:rPr>
            <w:rStyle w:val="bocontentwrapperbocenteranotbeck-btn"/>
            <w:color w:val="000000"/>
            <w:u w:val="single" w:color="000000"/>
          </w:rPr>
          <w:t>547</w:t>
        </w:r>
      </w:hyperlink>
      <w:r>
        <w:rPr>
          <w:color w:val="000000"/>
        </w:rPr>
        <w:t>).</w:t>
      </w:r>
    </w:p>
    <w:p w14:paraId="55C9AEA3" w14:textId="77777777" w:rsidR="00B76A38" w:rsidRDefault="00000000">
      <w:pPr>
        <w:pStyle w:val="divbocontentwrapperbocenterpParagraph"/>
        <w:spacing w:after="120" w:line="360" w:lineRule="auto"/>
        <w:ind w:right="150"/>
        <w:rPr>
          <w:color w:val="000000"/>
        </w:rPr>
      </w:pPr>
      <w:r>
        <w:rPr>
          <w:color w:val="000000"/>
        </w:rPr>
        <w:t xml:space="preserve">[17] Damit, dass die jeweilige Forderung nach der bis dahin ergangenen höchstrichterlichen Rechtsprechung auch „ernstlich eingefordert” werden musste, befasst sich die Begründung des Regierungsentwurfs mit keinem Wort. In der Kommentarliteratur wird aus dem Schweigen des Gesetzes und der Begründung ganz überwiegend der Schluss gezogen, dieses Merkmal sei entfallen, so dass jetzt nur noch die Frage der Fälligkeit i.S. von </w:t>
      </w:r>
      <w:r>
        <w:rPr>
          <w:rStyle w:val="any"/>
          <w:color w:val="000000"/>
        </w:rPr>
        <w:t xml:space="preserve">§ </w:t>
      </w:r>
      <w:hyperlink r:id="rId45" w:history="1">
        <w:r>
          <w:rPr>
            <w:rStyle w:val="bocontentwrapperbocenteranotbeck-btn"/>
            <w:color w:val="000000"/>
            <w:u w:val="single" w:color="000000"/>
          </w:rPr>
          <w:t>271</w:t>
        </w:r>
      </w:hyperlink>
      <w:r>
        <w:rPr>
          <w:rStyle w:val="any"/>
          <w:color w:val="000000"/>
        </w:rPr>
        <w:t xml:space="preserve"> BGB</w:t>
      </w:r>
      <w:r>
        <w:rPr>
          <w:color w:val="000000"/>
        </w:rPr>
        <w:t xml:space="preserve"> zu prüfen sei (vgl. etwa </w:t>
      </w:r>
      <w:r>
        <w:rPr>
          <w:rStyle w:val="emitalicon"/>
          <w:color w:val="000000"/>
        </w:rPr>
        <w:t>Uhlenbruck</w:t>
      </w:r>
      <w:r>
        <w:rPr>
          <w:color w:val="000000"/>
        </w:rPr>
        <w:t xml:space="preserve">, InsO, 12. Aufl., § 17 Rdnr. 8; </w:t>
      </w:r>
      <w:r>
        <w:rPr>
          <w:rStyle w:val="emitalicon"/>
          <w:color w:val="000000"/>
        </w:rPr>
        <w:t>Eilenberger</w:t>
      </w:r>
      <w:r>
        <w:rPr>
          <w:color w:val="000000"/>
        </w:rPr>
        <w:t xml:space="preserve">, in: MünchKomm-InsO, § 17 Rdnr. 7; </w:t>
      </w:r>
      <w:r>
        <w:rPr>
          <w:rStyle w:val="emitalicon"/>
          <w:color w:val="000000"/>
        </w:rPr>
        <w:t>Müller</w:t>
      </w:r>
      <w:r>
        <w:rPr>
          <w:color w:val="000000"/>
        </w:rPr>
        <w:t xml:space="preserve">, in: </w:t>
      </w:r>
      <w:r>
        <w:rPr>
          <w:rStyle w:val="emitalicon"/>
          <w:color w:val="000000"/>
        </w:rPr>
        <w:t>Jaeger/Henckel</w:t>
      </w:r>
      <w:r>
        <w:rPr>
          <w:color w:val="000000"/>
        </w:rPr>
        <w:t xml:space="preserve">, InsO, § 17 Rdnrn. 7ff. [9]; </w:t>
      </w:r>
      <w:r>
        <w:rPr>
          <w:rStyle w:val="emitalicon"/>
          <w:color w:val="000000"/>
        </w:rPr>
        <w:t>Pape</w:t>
      </w:r>
      <w:r>
        <w:rPr>
          <w:color w:val="000000"/>
        </w:rPr>
        <w:t xml:space="preserve">, in: </w:t>
      </w:r>
      <w:r>
        <w:rPr>
          <w:rStyle w:val="emitalicon"/>
          <w:color w:val="000000"/>
        </w:rPr>
        <w:t>Kübler/Prütting</w:t>
      </w:r>
      <w:r>
        <w:rPr>
          <w:color w:val="000000"/>
        </w:rPr>
        <w:t xml:space="preserve">, InsO, § 17 Rdnrn. 5f.; </w:t>
      </w:r>
      <w:r>
        <w:rPr>
          <w:rStyle w:val="emitalicon"/>
          <w:color w:val="000000"/>
        </w:rPr>
        <w:t>Braun/Kind</w:t>
      </w:r>
      <w:r>
        <w:rPr>
          <w:color w:val="000000"/>
        </w:rPr>
        <w:t xml:space="preserve">, InsO, 2. Aufl., § 17 Rdnrn. 6 [15ff.]; </w:t>
      </w:r>
      <w:r>
        <w:rPr>
          <w:rStyle w:val="emitalicon"/>
          <w:color w:val="000000"/>
        </w:rPr>
        <w:t>Schröder</w:t>
      </w:r>
      <w:r>
        <w:rPr>
          <w:color w:val="000000"/>
        </w:rPr>
        <w:t>, in: Hamburger Komm. z. InsO, § 17 Rdnr. 8).</w:t>
      </w:r>
    </w:p>
    <w:p w14:paraId="353D848C" w14:textId="77777777" w:rsidR="00B76A38" w:rsidRDefault="00000000">
      <w:pPr>
        <w:pStyle w:val="divbocontentwrapperbocenterpParagraph"/>
        <w:spacing w:after="120" w:line="360" w:lineRule="auto"/>
        <w:ind w:right="150"/>
        <w:rPr>
          <w:color w:val="000000"/>
        </w:rPr>
      </w:pPr>
      <w:r>
        <w:rPr>
          <w:color w:val="000000"/>
        </w:rPr>
        <w:t>[18] Angesichts der erklärten Absicht der Begründung des Regierungsentwurfs, an der überkommenen Definition des Begriffs der Zahlungsunfähigkeit festzuhalten, ist dieser Schluss nicht zwingend (</w:t>
      </w:r>
      <w:r>
        <w:rPr>
          <w:rStyle w:val="emitalicon"/>
          <w:color w:val="000000"/>
        </w:rPr>
        <w:t>Kirchhof</w:t>
      </w:r>
      <w:r>
        <w:rPr>
          <w:color w:val="000000"/>
        </w:rPr>
        <w:t xml:space="preserve">, in: Kölner Schrift z. InsO, 2. Aufl., S. 288 Rdnr. 11). Sinn und Zweck des </w:t>
      </w:r>
      <w:r>
        <w:rPr>
          <w:rStyle w:val="any"/>
          <w:color w:val="000000"/>
        </w:rPr>
        <w:t xml:space="preserve">§ </w:t>
      </w:r>
      <w:hyperlink r:id="rId46" w:history="1">
        <w:r>
          <w:rPr>
            <w:rStyle w:val="bocontentwrapperbocenteranotbeck-btn"/>
            <w:color w:val="000000"/>
            <w:u w:val="single" w:color="000000"/>
          </w:rPr>
          <w:t>17</w:t>
        </w:r>
      </w:hyperlink>
      <w:r>
        <w:rPr>
          <w:rStyle w:val="any"/>
          <w:color w:val="000000"/>
        </w:rPr>
        <w:t xml:space="preserve"> InsO</w:t>
      </w:r>
      <w:r>
        <w:rPr>
          <w:color w:val="000000"/>
        </w:rPr>
        <w:t xml:space="preserve"> verlangen vielmehr, an dem Erfordernis des „ernsthaften Einforderns” als Voraussetzung einer die Zahlungsunfähigkeit begründenden oder zu dieser beitragenden Forderung festzuhalten. Von der Fälligkeit einer Forderung i.S. des </w:t>
      </w:r>
      <w:r>
        <w:rPr>
          <w:rStyle w:val="any"/>
          <w:color w:val="000000"/>
        </w:rPr>
        <w:t xml:space="preserve">§ </w:t>
      </w:r>
      <w:hyperlink r:id="rId47" w:history="1">
        <w:r>
          <w:rPr>
            <w:rStyle w:val="bocontentwrapperbocenteranotbeck-btn"/>
            <w:color w:val="000000"/>
            <w:u w:val="single" w:color="000000"/>
          </w:rPr>
          <w:t>271</w:t>
        </w:r>
      </w:hyperlink>
      <w:r>
        <w:rPr>
          <w:rStyle w:val="any"/>
          <w:color w:val="000000"/>
        </w:rPr>
        <w:t xml:space="preserve"> </w:t>
      </w:r>
      <w:hyperlink r:id="rId48" w:history="1">
        <w:r>
          <w:rPr>
            <w:rStyle w:val="bocontentwrapperbocenteranotbeck-btn"/>
            <w:color w:val="000000"/>
            <w:u w:val="single" w:color="000000"/>
          </w:rPr>
          <w:t>I</w:t>
        </w:r>
      </w:hyperlink>
      <w:r>
        <w:rPr>
          <w:rStyle w:val="any"/>
          <w:color w:val="000000"/>
        </w:rPr>
        <w:t xml:space="preserve"> BGB</w:t>
      </w:r>
      <w:r>
        <w:rPr>
          <w:color w:val="000000"/>
        </w:rPr>
        <w:t xml:space="preserve"> darf nicht schematisch auf die Zahlungsunfähigkeit i.S. von </w:t>
      </w:r>
      <w:r>
        <w:rPr>
          <w:rStyle w:val="any"/>
          <w:color w:val="000000"/>
        </w:rPr>
        <w:t xml:space="preserve">§ </w:t>
      </w:r>
      <w:hyperlink r:id="rId49" w:history="1">
        <w:r>
          <w:rPr>
            <w:rStyle w:val="bocontentwrapperbocenteranotbeck-btn"/>
            <w:color w:val="000000"/>
            <w:u w:val="single" w:color="000000"/>
          </w:rPr>
          <w:t>17</w:t>
        </w:r>
      </w:hyperlink>
      <w:r>
        <w:rPr>
          <w:rStyle w:val="any"/>
          <w:color w:val="000000"/>
        </w:rPr>
        <w:t xml:space="preserve"> InsO</w:t>
      </w:r>
      <w:r>
        <w:rPr>
          <w:color w:val="000000"/>
        </w:rPr>
        <w:t xml:space="preserve"> geschlossen werden. Vielmehr kann im Einzelfall zu prüfen sein, ob eine nach </w:t>
      </w:r>
      <w:r>
        <w:rPr>
          <w:rStyle w:val="any"/>
          <w:color w:val="000000"/>
        </w:rPr>
        <w:t xml:space="preserve">§ </w:t>
      </w:r>
      <w:hyperlink r:id="rId50" w:history="1">
        <w:r>
          <w:rPr>
            <w:rStyle w:val="bocontentwrapperbocenteranotbeck-btn"/>
            <w:color w:val="000000"/>
            <w:u w:val="single" w:color="000000"/>
          </w:rPr>
          <w:t>271</w:t>
        </w:r>
      </w:hyperlink>
      <w:r>
        <w:rPr>
          <w:rStyle w:val="any"/>
          <w:color w:val="000000"/>
        </w:rPr>
        <w:t xml:space="preserve"> </w:t>
      </w:r>
      <w:hyperlink r:id="rId51" w:history="1">
        <w:r>
          <w:rPr>
            <w:rStyle w:val="bocontentwrapperbocenteranotbeck-btn"/>
            <w:color w:val="000000"/>
            <w:u w:val="single" w:color="000000"/>
          </w:rPr>
          <w:t>I</w:t>
        </w:r>
      </w:hyperlink>
      <w:r>
        <w:rPr>
          <w:rStyle w:val="any"/>
          <w:color w:val="000000"/>
        </w:rPr>
        <w:t xml:space="preserve"> BGB</w:t>
      </w:r>
      <w:r>
        <w:rPr>
          <w:color w:val="000000"/>
        </w:rPr>
        <w:t xml:space="preserve"> fällige Forderung, die der Schuldner nicht erfüllt, den Schluss auf eine Zahlungsunfähigkeit zulässt. Nach wie vor ist nicht zu verlangen, dass ein Gläubiger ein Zahlungsverlangen regelmäßig oder auch nur ein einziges Mal wiederholt, um sicherzustellen, dass seine Forderung bei der Prüfung der Eröffnungsvoraussetzungen Berücksichtigung findet. Der Zweck der Vorschrift des </w:t>
      </w:r>
      <w:r>
        <w:rPr>
          <w:rStyle w:val="any"/>
          <w:color w:val="000000"/>
        </w:rPr>
        <w:t xml:space="preserve">§ </w:t>
      </w:r>
      <w:hyperlink r:id="rId52" w:history="1">
        <w:r>
          <w:rPr>
            <w:rStyle w:val="bocontentwrapperbocenteranotbeck-btn"/>
            <w:color w:val="000000"/>
            <w:u w:val="single" w:color="000000"/>
          </w:rPr>
          <w:t>17</w:t>
        </w:r>
      </w:hyperlink>
      <w:r>
        <w:rPr>
          <w:rStyle w:val="any"/>
          <w:color w:val="000000"/>
        </w:rPr>
        <w:t xml:space="preserve"> InsO</w:t>
      </w:r>
      <w:r>
        <w:rPr>
          <w:color w:val="000000"/>
        </w:rPr>
        <w:t>, den richtigen Zeitpunkt für die Eröffnung des Insolvenzverfahrens zu finden, gebietet die Berücksichtigung auch solcher Gläubiger, die den Schuldner zur Zahlung aufgefordert, dann aber weitere Bemühungen eingestellt haben, ohne ihr Einverständnis damit zum Ausdruck zu bringen, dass der Schuldner seine Verbindlichkeit vorerst nicht erfüllt. Die Forderung eines Gläubigers, der in eine spätere oder nachrangige Befriedigung eingewilligt hat, darf hingegen nicht berücksichtigt werden, auch wenn keine rechtlich bindende Vereinbarung getroffen worden ist oder die Vereinbarung nur auf die Einrede des Schuldners berücksichtigt würde und vom Gläubiger einseitig aufgekündigt werden könnte.</w:t>
      </w:r>
    </w:p>
    <w:p w14:paraId="1412C6D4" w14:textId="77777777" w:rsidR="00B76A38" w:rsidRDefault="00000000">
      <w:pPr>
        <w:pStyle w:val="divbocontentwrapperbocenterpParagraph"/>
        <w:spacing w:after="120" w:line="360" w:lineRule="auto"/>
        <w:ind w:right="150"/>
        <w:rPr>
          <w:color w:val="000000"/>
        </w:rPr>
      </w:pPr>
      <w:r>
        <w:rPr>
          <w:color w:val="000000"/>
        </w:rPr>
        <w:t xml:space="preserve">[19] Regelmäßig ist eine Forderung also dann i.S. von </w:t>
      </w:r>
      <w:r>
        <w:rPr>
          <w:rStyle w:val="any"/>
          <w:color w:val="000000"/>
        </w:rPr>
        <w:t xml:space="preserve">§ </w:t>
      </w:r>
      <w:hyperlink r:id="rId53" w:history="1">
        <w:r>
          <w:rPr>
            <w:rStyle w:val="bocontentwrapperbocenteranotbeck-btn"/>
            <w:color w:val="000000"/>
            <w:u w:val="single" w:color="000000"/>
          </w:rPr>
          <w:t>17</w:t>
        </w:r>
      </w:hyperlink>
      <w:r>
        <w:rPr>
          <w:rStyle w:val="any"/>
          <w:color w:val="000000"/>
        </w:rPr>
        <w:t xml:space="preserve"> </w:t>
      </w:r>
      <w:hyperlink r:id="rId54" w:history="1">
        <w:r>
          <w:rPr>
            <w:rStyle w:val="bocontentwrapperbocenteranotbeck-btn"/>
            <w:color w:val="000000"/>
            <w:u w:val="single" w:color="000000"/>
          </w:rPr>
          <w:t>II</w:t>
        </w:r>
      </w:hyperlink>
      <w:r>
        <w:rPr>
          <w:rStyle w:val="any"/>
          <w:color w:val="000000"/>
        </w:rPr>
        <w:t xml:space="preserve"> InsO</w:t>
      </w:r>
      <w:r>
        <w:rPr>
          <w:color w:val="000000"/>
        </w:rPr>
        <w:t xml:space="preserve"> fällig, wenn eine Gläubigerhandlung feststeht, aus der sich der Wille, vom Schuldner Erfüllung zu verlangen, im Allgemeinen ergibt. Dies ist grundsätzlich schon bei Übersendung einer Rechnung zu bejahen. Das Insolvenzgericht hat im Rahmen seiner Amtsermittlungspflicht (</w:t>
      </w:r>
      <w:r>
        <w:rPr>
          <w:rStyle w:val="any"/>
          <w:color w:val="000000"/>
        </w:rPr>
        <w:t xml:space="preserve">§ </w:t>
      </w:r>
      <w:hyperlink r:id="rId55" w:history="1">
        <w:r>
          <w:rPr>
            <w:rStyle w:val="bocontentwrapperbocenteranotbeck-btn"/>
            <w:color w:val="000000"/>
            <w:u w:val="single" w:color="000000"/>
          </w:rPr>
          <w:t>5</w:t>
        </w:r>
      </w:hyperlink>
      <w:r>
        <w:rPr>
          <w:rStyle w:val="any"/>
          <w:color w:val="000000"/>
        </w:rPr>
        <w:t xml:space="preserve"> </w:t>
      </w:r>
      <w:hyperlink r:id="rId56" w:history="1">
        <w:r>
          <w:rPr>
            <w:rStyle w:val="bocontentwrapperbocenteranotbeck-btn"/>
            <w:color w:val="000000"/>
            <w:u w:val="single" w:color="000000"/>
          </w:rPr>
          <w:t>I</w:t>
        </w:r>
      </w:hyperlink>
      <w:r>
        <w:rPr>
          <w:rStyle w:val="any"/>
          <w:color w:val="000000"/>
        </w:rPr>
        <w:t xml:space="preserve"> InsO</w:t>
      </w:r>
      <w:r>
        <w:rPr>
          <w:color w:val="000000"/>
        </w:rPr>
        <w:t xml:space="preserve">) jedoch Tatsachenbehauptungen des Schuldners oder anderen Anhaltspunkten </w:t>
      </w:r>
      <w:r>
        <w:rPr>
          <w:color w:val="000000"/>
        </w:rPr>
        <w:lastRenderedPageBreak/>
        <w:t xml:space="preserve">nachzugehen, die konkret als möglich erscheinen lassen, dass der Gläubiger sich dem Schuldner gegenüber mit einer nachrangigen Befriedigung unter – sei es auch zeitweiligem – Verzicht auf staatlichen Zwang einverstanden erklärt hat (vgl. </w:t>
      </w:r>
      <w:r>
        <w:rPr>
          <w:rStyle w:val="emitalicon"/>
          <w:color w:val="000000"/>
        </w:rPr>
        <w:t>BGH</w:t>
      </w:r>
      <w:r>
        <w:rPr>
          <w:color w:val="000000"/>
        </w:rPr>
        <w:t xml:space="preserve">, </w:t>
      </w:r>
      <w:r>
        <w:rPr>
          <w:rStyle w:val="any"/>
          <w:color w:val="000000"/>
        </w:rPr>
        <w:t xml:space="preserve">NJW-RR 1999, </w:t>
      </w:r>
      <w:hyperlink r:id="rId57" w:history="1">
        <w:r>
          <w:rPr>
            <w:rStyle w:val="bocontentwrapperbocenteranotbeck-btn"/>
            <w:color w:val="000000"/>
            <w:u w:val="single" w:color="000000"/>
          </w:rPr>
          <w:t>272</w:t>
        </w:r>
      </w:hyperlink>
      <w:r>
        <w:rPr>
          <w:color w:val="000000"/>
        </w:rPr>
        <w:t xml:space="preserve"> = </w:t>
      </w:r>
      <w:r>
        <w:rPr>
          <w:rStyle w:val="any"/>
          <w:color w:val="000000"/>
        </w:rPr>
        <w:t xml:space="preserve">NZI 1998, </w:t>
      </w:r>
      <w:hyperlink r:id="rId58" w:history="1">
        <w:r>
          <w:rPr>
            <w:rStyle w:val="bocontentwrapperbocenteranotbeck-btn"/>
            <w:color w:val="000000"/>
            <w:u w:val="single" w:color="000000"/>
          </w:rPr>
          <w:t>118</w:t>
        </w:r>
      </w:hyperlink>
      <w:r>
        <w:rPr>
          <w:color w:val="000000"/>
        </w:rPr>
        <w:t xml:space="preserve"> = </w:t>
      </w:r>
      <w:r>
        <w:rPr>
          <w:rStyle w:val="any"/>
          <w:color w:val="000000"/>
        </w:rPr>
        <w:t xml:space="preserve">WM 1998, </w:t>
      </w:r>
      <w:hyperlink r:id="rId59" w:history="1">
        <w:r>
          <w:rPr>
            <w:rStyle w:val="bocontentwrapperbocenteranotbeck-btn"/>
            <w:color w:val="000000"/>
            <w:u w:val="single" w:color="000000"/>
          </w:rPr>
          <w:t>2345</w:t>
        </w:r>
      </w:hyperlink>
      <w:r>
        <w:rPr>
          <w:color w:val="000000"/>
        </w:rPr>
        <w:t>).</w:t>
      </w:r>
    </w:p>
    <w:p w14:paraId="2F626FEF" w14:textId="77777777" w:rsidR="00B76A38" w:rsidRDefault="00000000">
      <w:pPr>
        <w:pStyle w:val="divbocontentwrapperbocenterpParagraph"/>
        <w:spacing w:after="120" w:line="360" w:lineRule="auto"/>
        <w:ind w:right="150"/>
        <w:rPr>
          <w:color w:val="000000"/>
        </w:rPr>
      </w:pPr>
      <w:r>
        <w:rPr>
          <w:rStyle w:val="emsmall"/>
          <w:color w:val="000000"/>
          <w:sz w:val="22"/>
          <w:szCs w:val="22"/>
        </w:rPr>
        <w:t xml:space="preserve">[20] (3) Ob die Steuerberaterin zunächst Rechnungen gestellt oder in anderer Weise zum Ausdruck gebracht hat, dass sie alsbaldige Zahlungen des Schuldners erwartete, hat das BeschwGer. nicht festgestellt. War das der Fall, waren die Honorarforderungen ernstlich eingefordert und damit i.S. von </w:t>
      </w:r>
      <w:r>
        <w:rPr>
          <w:rStyle w:val="any"/>
          <w:color w:val="000000"/>
        </w:rPr>
        <w:t xml:space="preserve">§ </w:t>
      </w:r>
      <w:hyperlink r:id="rId60" w:history="1">
        <w:r>
          <w:rPr>
            <w:rStyle w:val="bocontentwrapperbocenteranotbeck-btn"/>
            <w:color w:val="000000"/>
            <w:u w:val="single" w:color="000000"/>
          </w:rPr>
          <w:t>17</w:t>
        </w:r>
      </w:hyperlink>
      <w:r>
        <w:rPr>
          <w:rStyle w:val="any"/>
          <w:color w:val="000000"/>
        </w:rPr>
        <w:t xml:space="preserve"> </w:t>
      </w:r>
      <w:hyperlink r:id="rId61" w:history="1">
        <w:r>
          <w:rPr>
            <w:rStyle w:val="bocontentwrapperbocenteranotbeck-btn"/>
            <w:color w:val="000000"/>
            <w:u w:val="single" w:color="000000"/>
          </w:rPr>
          <w:t>II</w:t>
        </w:r>
      </w:hyperlink>
      <w:r>
        <w:rPr>
          <w:rStyle w:val="any"/>
          <w:color w:val="000000"/>
        </w:rPr>
        <w:t xml:space="preserve"> InsO</w:t>
      </w:r>
      <w:r>
        <w:rPr>
          <w:rStyle w:val="emsmall"/>
          <w:color w:val="000000"/>
          <w:sz w:val="22"/>
          <w:szCs w:val="22"/>
        </w:rPr>
        <w:t xml:space="preserve"> fällig gestellt. Eine gleichwohl getroffene Vereinbarung zwischen der Steuerberaterin und dem Schuldner darüber, dass die Forderung im Rahmen der finanziellen Möglichkeiten des Schuldners beglichen werden könne, dürfte dann zwar an der Fälligkeit der Forderung i.S. von </w:t>
      </w:r>
      <w:r>
        <w:rPr>
          <w:rStyle w:val="any"/>
          <w:color w:val="000000"/>
        </w:rPr>
        <w:t xml:space="preserve">§ </w:t>
      </w:r>
      <w:hyperlink r:id="rId62" w:history="1">
        <w:r>
          <w:rPr>
            <w:rStyle w:val="bocontentwrapperbocenteranotbeck-btn"/>
            <w:color w:val="000000"/>
            <w:u w:val="single" w:color="000000"/>
          </w:rPr>
          <w:t>271</w:t>
        </w:r>
      </w:hyperlink>
      <w:r>
        <w:rPr>
          <w:rStyle w:val="any"/>
          <w:color w:val="000000"/>
        </w:rPr>
        <w:t xml:space="preserve"> BGB</w:t>
      </w:r>
      <w:r>
        <w:rPr>
          <w:rStyle w:val="emsmall"/>
          <w:color w:val="000000"/>
          <w:sz w:val="22"/>
          <w:szCs w:val="22"/>
        </w:rPr>
        <w:t xml:space="preserve"> nichts geändert haben. Die Forderungsgläubigerin hatte damit jedoch zum Ausdruck gebracht, dass sie weder eine bevorrechtigte Befriedigung im Rahmen des vollstreckungsrechtlichen Prioritätsprinzips noch die Eröffnung des Insolvenzverfahrens über das Vermögen des Schuldners anstrebte, sondern je nach den finanziellen Möglichkeiten des Schuldners mit einer nachrangigen Befriedigung einverstanden war. Eine derartige Forderung kann nicht zur Begründung einer Zahlungsunfähigkeit i.S. von </w:t>
      </w:r>
      <w:r>
        <w:rPr>
          <w:rStyle w:val="any"/>
          <w:color w:val="000000"/>
        </w:rPr>
        <w:t xml:space="preserve">§ </w:t>
      </w:r>
      <w:hyperlink r:id="rId63" w:history="1">
        <w:r>
          <w:rPr>
            <w:rStyle w:val="bocontentwrapperbocenteranotbeck-btn"/>
            <w:color w:val="000000"/>
            <w:u w:val="single" w:color="000000"/>
          </w:rPr>
          <w:t>17</w:t>
        </w:r>
      </w:hyperlink>
      <w:r>
        <w:rPr>
          <w:rStyle w:val="any"/>
          <w:color w:val="000000"/>
        </w:rPr>
        <w:t xml:space="preserve"> </w:t>
      </w:r>
      <w:hyperlink r:id="rId64" w:history="1">
        <w:r>
          <w:rPr>
            <w:rStyle w:val="bocontentwrapperbocenteranotbeck-btn"/>
            <w:color w:val="000000"/>
            <w:u w:val="single" w:color="000000"/>
          </w:rPr>
          <w:t>I</w:t>
        </w:r>
      </w:hyperlink>
      <w:r>
        <w:rPr>
          <w:rStyle w:val="any"/>
          <w:color w:val="000000"/>
        </w:rPr>
        <w:t xml:space="preserve"> InsO</w:t>
      </w:r>
      <w:r>
        <w:rPr>
          <w:rStyle w:val="emsmall"/>
          <w:color w:val="000000"/>
          <w:sz w:val="22"/>
          <w:szCs w:val="22"/>
        </w:rPr>
        <w:t xml:space="preserve"> herangezogen werden.</w:t>
      </w:r>
    </w:p>
    <w:p w14:paraId="6E6CF126" w14:textId="77777777" w:rsidR="00B76A38" w:rsidRDefault="00000000">
      <w:pPr>
        <w:pStyle w:val="divbocontentwrapperbocenterpParagraph"/>
        <w:spacing w:after="120" w:line="360" w:lineRule="auto"/>
        <w:ind w:right="150"/>
        <w:rPr>
          <w:color w:val="000000"/>
        </w:rPr>
      </w:pPr>
      <w:r>
        <w:rPr>
          <w:color w:val="000000"/>
        </w:rPr>
        <w:t xml:space="preserve">[21] bb) Die Forderung „S/Sch” in Höhe von 8679,38 Euro hat der weitere Bet. der betriebswirtschaftlichen Auswertung für den Monat September 2006 entnommen; Einzelheiten hätten sich nicht feststellen lassen. Der Schuldner hat erwidert, die Geschäftsverbindung zu den Damen </w:t>
      </w:r>
      <w:r>
        <w:rPr>
          <w:rStyle w:val="emitalicon"/>
          <w:color w:val="000000"/>
        </w:rPr>
        <w:t>S</w:t>
      </w:r>
      <w:r>
        <w:rPr>
          <w:color w:val="000000"/>
        </w:rPr>
        <w:t xml:space="preserve"> und </w:t>
      </w:r>
      <w:r>
        <w:rPr>
          <w:rStyle w:val="emitalicon"/>
          <w:color w:val="000000"/>
        </w:rPr>
        <w:t>Sch</w:t>
      </w:r>
      <w:r>
        <w:rPr>
          <w:color w:val="000000"/>
        </w:rPr>
        <w:t xml:space="preserve"> – frühere Pächterinnen der Filiale </w:t>
      </w:r>
      <w:r>
        <w:rPr>
          <w:rStyle w:val="emitalicon"/>
          <w:color w:val="000000"/>
        </w:rPr>
        <w:t>A</w:t>
      </w:r>
      <w:r>
        <w:rPr>
          <w:color w:val="000000"/>
        </w:rPr>
        <w:t xml:space="preserve"> in L. – sei seit mehr als fünf Jahren beendet, so dass jegliche Forderungen verjährt seien. Das BeschwGer. hat nicht begründet, warum es gleichwohl eine rechtlich durchsetzbare Forderung angenommen hat.</w:t>
      </w:r>
    </w:p>
    <w:p w14:paraId="646C2A06" w14:textId="77777777" w:rsidR="00B76A38" w:rsidRDefault="00000000">
      <w:pPr>
        <w:pStyle w:val="divbocontentwrapperbocenterpParagraph"/>
        <w:spacing w:after="120" w:line="360" w:lineRule="auto"/>
        <w:ind w:right="150"/>
        <w:rPr>
          <w:color w:val="000000"/>
        </w:rPr>
      </w:pPr>
      <w:r>
        <w:rPr>
          <w:color w:val="000000"/>
        </w:rPr>
        <w:t xml:space="preserve">[22] cc) Der Anspruch „sonstige Mieten” in Höhe von 142418,30 Euro war im Zeitpunkt der Eröffnung ebenfalls kein i.S. von </w:t>
      </w:r>
      <w:r>
        <w:rPr>
          <w:rStyle w:val="any"/>
          <w:color w:val="000000"/>
        </w:rPr>
        <w:t xml:space="preserve">§ </w:t>
      </w:r>
      <w:hyperlink r:id="rId65" w:history="1">
        <w:r>
          <w:rPr>
            <w:rStyle w:val="bocontentwrapperbocenteranotbeck-btn"/>
            <w:color w:val="000000"/>
            <w:u w:val="single" w:color="000000"/>
          </w:rPr>
          <w:t>17</w:t>
        </w:r>
      </w:hyperlink>
      <w:r>
        <w:rPr>
          <w:rStyle w:val="any"/>
          <w:color w:val="000000"/>
        </w:rPr>
        <w:t xml:space="preserve"> </w:t>
      </w:r>
      <w:hyperlink r:id="rId66" w:history="1">
        <w:r>
          <w:rPr>
            <w:rStyle w:val="bocontentwrapperbocenteranotbeck-btn"/>
            <w:color w:val="000000"/>
            <w:u w:val="single" w:color="000000"/>
          </w:rPr>
          <w:t>II</w:t>
        </w:r>
      </w:hyperlink>
      <w:r>
        <w:rPr>
          <w:rStyle w:val="any"/>
          <w:color w:val="000000"/>
        </w:rPr>
        <w:t xml:space="preserve"> InsO</w:t>
      </w:r>
      <w:r>
        <w:rPr>
          <w:color w:val="000000"/>
        </w:rPr>
        <w:t xml:space="preserve"> fälliger Anspruch.</w:t>
      </w:r>
    </w:p>
    <w:p w14:paraId="249525B0" w14:textId="77777777" w:rsidR="00B76A38" w:rsidRDefault="00000000">
      <w:pPr>
        <w:pStyle w:val="divbocontentwrapperbocenterpParagraph"/>
        <w:spacing w:after="120" w:line="360" w:lineRule="auto"/>
        <w:ind w:right="150"/>
        <w:rPr>
          <w:color w:val="000000"/>
        </w:rPr>
      </w:pPr>
      <w:r>
        <w:rPr>
          <w:color w:val="000000"/>
        </w:rPr>
        <w:t xml:space="preserve">[23] (1) Der weitere Bet. hat auch diesen Anspruch der betriebswirtschaftlichen Auswertung für den Monat September 2006 entnommen. Drei der vier Filialen seien in Objekten betrieben worden, welche im Eigentum der Ehefrau des Schuldners oder der Eheleute stünden. Es seien Mietzahlungen vereinbart gewesen. Die Mieten seien jedoch über einen längeren Zeitraum hinweg nicht gezahlt worden. Der Schuldner hat dazu erklärt, seine Ehefrau habe die Mietforderungen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B76A38" w14:paraId="7EAE4E36" w14:textId="77777777">
        <w:tc>
          <w:tcPr>
            <w:tcW w:w="4000" w:type="pct"/>
            <w:shd w:val="clear" w:color="auto" w:fill="F0F0F0"/>
            <w:tcMar>
              <w:top w:w="0" w:type="dxa"/>
              <w:left w:w="0" w:type="dxa"/>
              <w:bottom w:w="0" w:type="dxa"/>
              <w:right w:w="0" w:type="dxa"/>
            </w:tcMar>
            <w:vAlign w:val="center"/>
            <w:hideMark/>
          </w:tcPr>
          <w:p w14:paraId="08D38DEF" w14:textId="77777777" w:rsidR="00B76A38"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Fälligkeit einer Forderung i.S. von § 17 II InsO</w:t>
            </w:r>
            <w:r>
              <w:rPr>
                <w:rStyle w:val="citation"/>
                <w:color w:val="000000"/>
              </w:rPr>
              <w:t>(NZI 2007, 579)</w:t>
            </w:r>
          </w:p>
        </w:tc>
        <w:tc>
          <w:tcPr>
            <w:tcW w:w="1000" w:type="pct"/>
            <w:shd w:val="clear" w:color="auto" w:fill="F0F0F0"/>
            <w:tcMar>
              <w:top w:w="0" w:type="dxa"/>
              <w:left w:w="0" w:type="dxa"/>
              <w:bottom w:w="0" w:type="dxa"/>
              <w:right w:w="0" w:type="dxa"/>
            </w:tcMar>
            <w:vAlign w:val="center"/>
            <w:hideMark/>
          </w:tcPr>
          <w:p w14:paraId="36F8B7C2" w14:textId="77777777" w:rsidR="00B76A38"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581</w:t>
            </w:r>
          </w:p>
        </w:tc>
      </w:tr>
    </w:tbl>
    <w:p w14:paraId="7FFB6B6B" w14:textId="77777777" w:rsidR="00B76A38" w:rsidRDefault="00000000">
      <w:pPr>
        <w:pStyle w:val="divbocontentwrapperbocenterpParagraph"/>
        <w:spacing w:after="120" w:line="360" w:lineRule="auto"/>
        <w:ind w:right="150"/>
        <w:rPr>
          <w:color w:val="000000"/>
        </w:rPr>
      </w:pPr>
      <w:r>
        <w:rPr>
          <w:color w:val="000000"/>
        </w:rPr>
        <w:t xml:space="preserve">„aus steuerlichen Gründen gestundet”. Bei ihm, dem Schuldner, sei ein Verlustvortrag entstanden. Die Mieten hätten jedoch nicht gezahlt werden sollen, um zu versteuernde Einnahmen der Ehefrau zu vermeiden. Der Verlustvortrag werde allenfalls im Rahmen der </w:t>
      </w:r>
      <w:r>
        <w:rPr>
          <w:color w:val="000000"/>
        </w:rPr>
        <w:lastRenderedPageBreak/>
        <w:t>Freibeträge aufgelöst werden. Das BeschwGer. hat diesen Vortrag für unerheblich gehalten, weil die steuerliche Handhabung nichts an den Schulden als solchen geändert habe. Ein Verzicht sei aus steuerlichen Gründen gerade nicht gewollt gewesen. Eine ernst gemeinte Stundungsvereinbarung sei gleichfalls nicht vorgelegt worden.</w:t>
      </w:r>
    </w:p>
    <w:p w14:paraId="6B54E72C" w14:textId="77777777" w:rsidR="00B76A38" w:rsidRDefault="00000000">
      <w:pPr>
        <w:pStyle w:val="divbocontentwrapperbocenterpParagraph"/>
        <w:spacing w:after="120" w:line="360" w:lineRule="auto"/>
        <w:ind w:right="150"/>
        <w:rPr>
          <w:color w:val="000000"/>
        </w:rPr>
      </w:pPr>
      <w:r>
        <w:rPr>
          <w:rStyle w:val="emsmall"/>
          <w:color w:val="000000"/>
          <w:sz w:val="22"/>
          <w:szCs w:val="22"/>
        </w:rPr>
        <w:t xml:space="preserve">[24] (2) Diese Begründung hält einer rechtlichen Überprüfung ebenfalls nicht stand. Eine Stundungsvereinbarung kann auch formfrei getroffen werden. Bestand zwischen den Parteien des Mietvertrags (oder der Mietverträge) Einigkeit darüber, dass Mietforderungen entstehen, aber nicht beglichen werden sollten, handelt es sich nicht um fällige Forderungen i.S. von </w:t>
      </w:r>
      <w:r>
        <w:rPr>
          <w:rStyle w:val="any"/>
          <w:color w:val="000000"/>
        </w:rPr>
        <w:t xml:space="preserve">§ </w:t>
      </w:r>
      <w:hyperlink r:id="rId67" w:history="1">
        <w:r>
          <w:rPr>
            <w:rStyle w:val="bocontentwrapperbocenteranotbeck-btn"/>
            <w:color w:val="000000"/>
            <w:u w:val="single" w:color="000000"/>
          </w:rPr>
          <w:t>17</w:t>
        </w:r>
      </w:hyperlink>
      <w:r>
        <w:rPr>
          <w:rStyle w:val="any"/>
          <w:color w:val="000000"/>
        </w:rPr>
        <w:t xml:space="preserve"> </w:t>
      </w:r>
      <w:hyperlink r:id="rId68" w:history="1">
        <w:r>
          <w:rPr>
            <w:rStyle w:val="bocontentwrapperbocenteranotbeck-btn"/>
            <w:color w:val="000000"/>
            <w:u w:val="single" w:color="000000"/>
          </w:rPr>
          <w:t>II</w:t>
        </w:r>
      </w:hyperlink>
      <w:r>
        <w:rPr>
          <w:rStyle w:val="any"/>
          <w:color w:val="000000"/>
        </w:rPr>
        <w:t xml:space="preserve"> InsO</w:t>
      </w:r>
      <w:r>
        <w:rPr>
          <w:rStyle w:val="emsmall"/>
          <w:color w:val="000000"/>
          <w:sz w:val="22"/>
          <w:szCs w:val="22"/>
        </w:rPr>
        <w:t xml:space="preserve">. Die Forderungsgläubigerin hat – wenn es die behauptete Vereinbarung gegeben hat – nicht nur von einer zwangsweisen Durchsetzung ihrer Forderungen abgesehen. Die Forderungen sollten vielmehr nicht nur nicht fällig, sondern sogar – wegen der mit der Erzielung von Einnahmen aus Vermietung und Verpachtung verbundenen steuerlichen Folgen – nur nach Absprache erfüllbar sein. Ob die behauptete steuerliche Handhabung korrekt ist, ist für die Frage der Zahlungsunfähigkeit i.S. von </w:t>
      </w:r>
      <w:r>
        <w:rPr>
          <w:rStyle w:val="any"/>
          <w:color w:val="000000"/>
        </w:rPr>
        <w:t xml:space="preserve">§ </w:t>
      </w:r>
      <w:hyperlink r:id="rId69" w:history="1">
        <w:r>
          <w:rPr>
            <w:rStyle w:val="bocontentwrapperbocenteranotbeck-btn"/>
            <w:color w:val="000000"/>
            <w:u w:val="single" w:color="000000"/>
          </w:rPr>
          <w:t>17</w:t>
        </w:r>
      </w:hyperlink>
      <w:r>
        <w:rPr>
          <w:rStyle w:val="any"/>
          <w:color w:val="000000"/>
        </w:rPr>
        <w:t xml:space="preserve"> InsO</w:t>
      </w:r>
      <w:r>
        <w:rPr>
          <w:rStyle w:val="emsmall"/>
          <w:color w:val="000000"/>
          <w:sz w:val="22"/>
          <w:szCs w:val="22"/>
        </w:rPr>
        <w:t xml:space="preserve"> unerheblich.</w:t>
      </w:r>
    </w:p>
    <w:p w14:paraId="33357434" w14:textId="77777777" w:rsidR="00B76A38" w:rsidRDefault="00000000">
      <w:pPr>
        <w:pStyle w:val="divbocontentwrapperbocenterpParagraph"/>
        <w:spacing w:after="120" w:line="360" w:lineRule="auto"/>
        <w:ind w:right="150"/>
        <w:rPr>
          <w:color w:val="000000"/>
        </w:rPr>
      </w:pPr>
      <w:r>
        <w:rPr>
          <w:color w:val="000000"/>
        </w:rPr>
        <w:t>[25] dd) Die als „Gehälter Oktober anteilig” bezeichnete Forderung in Höhe von 6500 Euro war schon nach den allgemeinen zivilrechtlichen Regeln nicht fällig (</w:t>
      </w:r>
      <w:r>
        <w:rPr>
          <w:rStyle w:val="any"/>
          <w:color w:val="000000"/>
        </w:rPr>
        <w:t xml:space="preserve">§ </w:t>
      </w:r>
      <w:hyperlink r:id="rId70" w:history="1">
        <w:r>
          <w:rPr>
            <w:rStyle w:val="bocontentwrapperbocenteranotbeck-btn"/>
            <w:color w:val="000000"/>
            <w:u w:val="single" w:color="000000"/>
          </w:rPr>
          <w:t>271</w:t>
        </w:r>
      </w:hyperlink>
      <w:r>
        <w:rPr>
          <w:rStyle w:val="any"/>
          <w:color w:val="000000"/>
        </w:rPr>
        <w:t xml:space="preserve"> </w:t>
      </w:r>
      <w:hyperlink r:id="rId71" w:history="1">
        <w:r>
          <w:rPr>
            <w:rStyle w:val="bocontentwrapperbocenteranotbeck-btn"/>
            <w:color w:val="000000"/>
            <w:u w:val="single" w:color="000000"/>
          </w:rPr>
          <w:t>I</w:t>
        </w:r>
      </w:hyperlink>
      <w:r>
        <w:rPr>
          <w:rStyle w:val="any"/>
          <w:color w:val="000000"/>
        </w:rPr>
        <w:t xml:space="preserve"> BGB</w:t>
      </w:r>
      <w:r>
        <w:rPr>
          <w:color w:val="000000"/>
        </w:rPr>
        <w:t xml:space="preserve">). Gem. </w:t>
      </w:r>
      <w:r>
        <w:rPr>
          <w:rStyle w:val="any"/>
          <w:color w:val="000000"/>
        </w:rPr>
        <w:t xml:space="preserve">§ </w:t>
      </w:r>
      <w:hyperlink r:id="rId72" w:history="1">
        <w:r>
          <w:rPr>
            <w:rStyle w:val="bocontentwrapperbocenteranotbeck-btn"/>
            <w:color w:val="000000"/>
            <w:u w:val="single" w:color="000000"/>
          </w:rPr>
          <w:t>614</w:t>
        </w:r>
      </w:hyperlink>
      <w:r>
        <w:rPr>
          <w:rStyle w:val="any"/>
          <w:color w:val="000000"/>
        </w:rPr>
        <w:t xml:space="preserve"> BGB</w:t>
      </w:r>
      <w:r>
        <w:rPr>
          <w:color w:val="000000"/>
        </w:rPr>
        <w:t xml:space="preserve"> ist die Vergütung nach Leistung der Dienste zu entrichten. Ist die Vergütung nach Zeitabschnitten bemessen, so hat der Arbeitgeber sie nach dem Ablauf der einzelnen Zeitabschnitte zu zahlen. Abweichende Vereinbarungen zwischen dem Schuldner und seinen Angestellten hat das BeschwGer. nicht festgestellt.</w:t>
      </w:r>
    </w:p>
    <w:p w14:paraId="24B7B40D" w14:textId="77777777" w:rsidR="00B76A38" w:rsidRDefault="00000000">
      <w:pPr>
        <w:pStyle w:val="divbocontentwrapperbocenterpParagraph"/>
        <w:spacing w:after="120" w:line="360" w:lineRule="auto"/>
        <w:ind w:right="150"/>
        <w:rPr>
          <w:color w:val="000000"/>
        </w:rPr>
      </w:pPr>
      <w:r>
        <w:rPr>
          <w:color w:val="000000"/>
        </w:rPr>
        <w:t xml:space="preserve">[26] ee) Schließlich war auch der von </w:t>
      </w:r>
      <w:r>
        <w:rPr>
          <w:rStyle w:val="emitalicon"/>
          <w:color w:val="000000"/>
        </w:rPr>
        <w:t>H</w:t>
      </w:r>
      <w:r>
        <w:rPr>
          <w:color w:val="000000"/>
        </w:rPr>
        <w:t xml:space="preserve"> gewährte Kredit über 48000 Euro nicht i.S. von </w:t>
      </w:r>
      <w:r>
        <w:rPr>
          <w:rStyle w:val="any"/>
          <w:color w:val="000000"/>
        </w:rPr>
        <w:t xml:space="preserve">§ </w:t>
      </w:r>
      <w:hyperlink r:id="rId73" w:history="1">
        <w:r>
          <w:rPr>
            <w:rStyle w:val="bocontentwrapperbocenteranotbeck-btn"/>
            <w:color w:val="000000"/>
            <w:u w:val="single" w:color="000000"/>
          </w:rPr>
          <w:t>17</w:t>
        </w:r>
      </w:hyperlink>
      <w:r>
        <w:rPr>
          <w:rStyle w:val="any"/>
          <w:color w:val="000000"/>
        </w:rPr>
        <w:t xml:space="preserve"> InsO</w:t>
      </w:r>
      <w:r>
        <w:rPr>
          <w:color w:val="000000"/>
        </w:rPr>
        <w:t xml:space="preserve"> fällig.</w:t>
      </w:r>
    </w:p>
    <w:p w14:paraId="3683234D" w14:textId="77777777" w:rsidR="00B76A38" w:rsidRDefault="00000000">
      <w:pPr>
        <w:pStyle w:val="divbocontentwrapperbocenterpParagraph"/>
        <w:spacing w:after="120" w:line="360" w:lineRule="auto"/>
        <w:ind w:right="150"/>
        <w:rPr>
          <w:color w:val="000000"/>
        </w:rPr>
      </w:pPr>
      <w:r>
        <w:rPr>
          <w:rStyle w:val="emsmall"/>
          <w:color w:val="000000"/>
          <w:sz w:val="22"/>
          <w:szCs w:val="22"/>
        </w:rPr>
        <w:t xml:space="preserve">[27] (1) </w:t>
      </w:r>
      <w:r>
        <w:rPr>
          <w:rStyle w:val="emitalicon"/>
          <w:color w:val="000000"/>
        </w:rPr>
        <w:t>H</w:t>
      </w:r>
      <w:r>
        <w:rPr>
          <w:rStyle w:val="emsmall"/>
          <w:color w:val="000000"/>
          <w:sz w:val="22"/>
          <w:szCs w:val="22"/>
        </w:rPr>
        <w:t xml:space="preserve"> hatte dem Schuldner einen Betrag von 48000 Euro zur Begleichung der Steuerschulden zur Verfügung gestellt, welche Grundlage des Insolvenzantrags des Finanzamts H.-L. II gewesen waren. Der Schuldner hat dazu vorgetragen, der Anspruch auf Rückzahlung des Darlehens sei bis zur Veräußerung der Immobilie A2 in L. gestundet worden. Das BeschwGer. hat dieses Vorbringen für unerheblich gehalten, weil keine ausdrückliche Stundungsvereinbarung vorgelegt worden sei und der Schuldner sich zudem nicht, „die notwendige Liquidität … durch die sukzessive Verwertung von Vermögensteilen verschaffen und die Insolvenz zum Nachteil der Gläubiger so lange hinauszögern” könne, „bis ein Insolvenzantrag wegen Masselosigkeit abgewiesen werden müsste.”</w:t>
      </w:r>
    </w:p>
    <w:p w14:paraId="5FEE0CE0" w14:textId="77777777" w:rsidR="00B76A38" w:rsidRDefault="00000000">
      <w:pPr>
        <w:pStyle w:val="divbocontentwrapperbocenterpParagraph"/>
        <w:spacing w:after="120" w:line="360" w:lineRule="auto"/>
        <w:ind w:right="150"/>
        <w:rPr>
          <w:color w:val="000000"/>
        </w:rPr>
      </w:pPr>
      <w:r>
        <w:rPr>
          <w:rStyle w:val="emsmall"/>
          <w:color w:val="000000"/>
          <w:sz w:val="22"/>
          <w:szCs w:val="22"/>
        </w:rPr>
        <w:t>[28] (2) War die Darlehensgeberin, wie der Schuldner behauptet, mit einer Rückzahlung des Darlehens erst nach Veräußerung der Immobilie einverstanden, war die Forderung schon nach allgemeinen Grundsätzen (</w:t>
      </w:r>
      <w:r>
        <w:rPr>
          <w:rStyle w:val="any"/>
          <w:color w:val="000000"/>
        </w:rPr>
        <w:t xml:space="preserve">§ </w:t>
      </w:r>
      <w:hyperlink r:id="rId74" w:history="1">
        <w:r>
          <w:rPr>
            <w:rStyle w:val="bocontentwrapperbocenteranotbeck-btn"/>
            <w:color w:val="000000"/>
            <w:u w:val="single" w:color="000000"/>
          </w:rPr>
          <w:t>271</w:t>
        </w:r>
      </w:hyperlink>
      <w:r>
        <w:rPr>
          <w:rStyle w:val="any"/>
          <w:color w:val="000000"/>
        </w:rPr>
        <w:t xml:space="preserve"> BGB</w:t>
      </w:r>
      <w:r>
        <w:rPr>
          <w:rStyle w:val="emsmall"/>
          <w:color w:val="000000"/>
          <w:sz w:val="22"/>
          <w:szCs w:val="22"/>
        </w:rPr>
        <w:t xml:space="preserve">) nicht fällig. Die weiteren Ausführungen des BeschwGer. dazu, dass ein Schuldner zur Verwertung von Vermögensgegenständen und zur </w:t>
      </w:r>
      <w:r>
        <w:rPr>
          <w:rStyle w:val="emsmall"/>
          <w:color w:val="000000"/>
          <w:sz w:val="22"/>
          <w:szCs w:val="22"/>
        </w:rPr>
        <w:lastRenderedPageBreak/>
        <w:t>Begleichung von Forderungen nicht berechtigt sei, sind offensichtlich verfehlt. Ziel der InsO ist zwar auch, die Zahl der masselosen Insolvenzen zu verringern und mehr Verfahren zu eröffnen (vgl. etwa BT-Dr 12/2443, S. 84ff.). Kreditaufnahmen sind als Mittel zur Begleichung von Schulden jedoch allgemein anerkannt. Ebenso hat der Schuldner das Recht, eine Immobilie zu verkaufen, um damit einen Kredit abzulösen.</w:t>
      </w:r>
    </w:p>
    <w:p w14:paraId="4A70C74A" w14:textId="77777777" w:rsidR="00B76A38" w:rsidRDefault="00000000">
      <w:pPr>
        <w:pStyle w:val="divbocontentwrapperbocenterpParagraph"/>
        <w:spacing w:after="120" w:line="360" w:lineRule="auto"/>
        <w:ind w:right="150"/>
        <w:rPr>
          <w:color w:val="000000"/>
        </w:rPr>
      </w:pPr>
      <w:r>
        <w:rPr>
          <w:color w:val="000000"/>
        </w:rPr>
        <w:t>[29] c) Allerdings betrugen die liquiden Mittel im Zeitpunkt der Eröffnung auch nur 27680,39 Euro, nicht, wie das BeschwGer. angenommen hat, 34581,39 Euro.</w:t>
      </w:r>
    </w:p>
    <w:p w14:paraId="639A3A85" w14:textId="77777777" w:rsidR="00B76A38" w:rsidRDefault="00000000">
      <w:pPr>
        <w:pStyle w:val="divbocontentwrapperbocenterpParagraph"/>
        <w:spacing w:after="120" w:line="360" w:lineRule="auto"/>
        <w:ind w:right="150"/>
        <w:rPr>
          <w:color w:val="000000"/>
        </w:rPr>
      </w:pPr>
      <w:r>
        <w:rPr>
          <w:color w:val="000000"/>
        </w:rPr>
        <w:t>[30] aa) Fällige Zahlungspflichten (</w:t>
      </w:r>
      <w:r>
        <w:rPr>
          <w:rStyle w:val="any"/>
          <w:color w:val="000000"/>
        </w:rPr>
        <w:t xml:space="preserve">§ </w:t>
      </w:r>
      <w:hyperlink r:id="rId75" w:history="1">
        <w:r>
          <w:rPr>
            <w:rStyle w:val="bocontentwrapperbocenteranotbeck-btn"/>
            <w:color w:val="000000"/>
            <w:u w:val="single" w:color="000000"/>
          </w:rPr>
          <w:t>17</w:t>
        </w:r>
      </w:hyperlink>
      <w:r>
        <w:rPr>
          <w:rStyle w:val="any"/>
          <w:color w:val="000000"/>
        </w:rPr>
        <w:t xml:space="preserve"> </w:t>
      </w:r>
      <w:hyperlink r:id="rId76" w:history="1">
        <w:r>
          <w:rPr>
            <w:rStyle w:val="bocontentwrapperbocenteranotbeck-btn"/>
            <w:color w:val="000000"/>
            <w:u w:val="single" w:color="000000"/>
          </w:rPr>
          <w:t>II</w:t>
        </w:r>
      </w:hyperlink>
      <w:r>
        <w:rPr>
          <w:rStyle w:val="any"/>
          <w:color w:val="000000"/>
        </w:rPr>
        <w:t xml:space="preserve"> 1 InsO</w:t>
      </w:r>
      <w:r>
        <w:rPr>
          <w:color w:val="000000"/>
        </w:rPr>
        <w:t xml:space="preserve">) können nur mit Geld oder anderen üblichen Zahlungsmitteln erfüllt werden. Grundsätzlich sind in die zur Prüfung der Voraussetzungen des </w:t>
      </w:r>
      <w:r>
        <w:rPr>
          <w:rStyle w:val="any"/>
          <w:color w:val="000000"/>
        </w:rPr>
        <w:t xml:space="preserve">§ </w:t>
      </w:r>
      <w:hyperlink r:id="rId77" w:history="1">
        <w:r>
          <w:rPr>
            <w:rStyle w:val="bocontentwrapperbocenteranotbeck-btn"/>
            <w:color w:val="000000"/>
            <w:u w:val="single" w:color="000000"/>
          </w:rPr>
          <w:t>17</w:t>
        </w:r>
      </w:hyperlink>
      <w:r>
        <w:rPr>
          <w:rStyle w:val="any"/>
          <w:color w:val="000000"/>
        </w:rPr>
        <w:t xml:space="preserve"> InsO</w:t>
      </w:r>
      <w:r>
        <w:rPr>
          <w:color w:val="000000"/>
        </w:rPr>
        <w:t xml:space="preserve"> zu erstellende Liquiditätsbilanz (vgl. </w:t>
      </w:r>
      <w:r>
        <w:rPr>
          <w:rStyle w:val="emitalicon"/>
          <w:color w:val="000000"/>
        </w:rPr>
        <w:t>BGH</w:t>
      </w:r>
      <w:r>
        <w:rPr>
          <w:color w:val="000000"/>
        </w:rPr>
        <w:t xml:space="preserve">, </w:t>
      </w:r>
      <w:r>
        <w:rPr>
          <w:rStyle w:val="any"/>
          <w:color w:val="000000"/>
        </w:rPr>
        <w:t xml:space="preserve">NZI 2007, </w:t>
      </w:r>
      <w:hyperlink r:id="rId78" w:history="1">
        <w:r>
          <w:rPr>
            <w:rStyle w:val="bocontentwrapperbocenteranotbeck-btn"/>
            <w:color w:val="000000"/>
            <w:u w:val="single" w:color="000000"/>
          </w:rPr>
          <w:t>36</w:t>
        </w:r>
      </w:hyperlink>
      <w:r>
        <w:rPr>
          <w:color w:val="000000"/>
        </w:rPr>
        <w:t xml:space="preserve"> = </w:t>
      </w:r>
      <w:r>
        <w:rPr>
          <w:rStyle w:val="any"/>
          <w:color w:val="000000"/>
        </w:rPr>
        <w:t xml:space="preserve">WM 2006, </w:t>
      </w:r>
      <w:hyperlink r:id="rId79" w:history="1">
        <w:r>
          <w:rPr>
            <w:rStyle w:val="bocontentwrapperbocenteranotbeck-btn"/>
            <w:color w:val="000000"/>
            <w:u w:val="single" w:color="000000"/>
          </w:rPr>
          <w:t>2312</w:t>
        </w:r>
      </w:hyperlink>
      <w:r>
        <w:rPr>
          <w:rStyle w:val="any"/>
          <w:color w:val="000000"/>
        </w:rPr>
        <w:t xml:space="preserve"> [</w:t>
      </w:r>
      <w:hyperlink r:id="rId80" w:history="1">
        <w:r>
          <w:rPr>
            <w:rStyle w:val="bocontentwrapperbocenteranotbeck-btn"/>
            <w:color w:val="000000"/>
            <w:u w:val="single" w:color="000000"/>
          </w:rPr>
          <w:t>2314</w:t>
        </w:r>
      </w:hyperlink>
      <w:r>
        <w:rPr>
          <w:color w:val="000000"/>
        </w:rPr>
        <w:t>]) daher nur die aktuell verfügbaren liquiden Mittel und die kurzfristig verwertbaren Vermögensbestandteile aufzunehmen, im vorliegenden Fall also das Bankguthaben, der Kassenbestand, der Pkw und die monatlich zu erwartenden Zahlungen. Die Geschäftseinrichtung mag für die Frage des Vorhandenseins einer die Kosten des Insolvenzverfahrens deckenden Masse (</w:t>
      </w:r>
      <w:r>
        <w:rPr>
          <w:rStyle w:val="any"/>
          <w:color w:val="000000"/>
        </w:rPr>
        <w:t xml:space="preserve">§ </w:t>
      </w:r>
      <w:hyperlink r:id="rId81" w:history="1">
        <w:r>
          <w:rPr>
            <w:rStyle w:val="bocontentwrapperbocenteranotbeck-btn"/>
            <w:color w:val="000000"/>
            <w:u w:val="single" w:color="000000"/>
          </w:rPr>
          <w:t>26</w:t>
        </w:r>
      </w:hyperlink>
      <w:r>
        <w:rPr>
          <w:rStyle w:val="any"/>
          <w:color w:val="000000"/>
        </w:rPr>
        <w:t xml:space="preserve"> </w:t>
      </w:r>
      <w:hyperlink r:id="rId82" w:history="1">
        <w:r>
          <w:rPr>
            <w:rStyle w:val="bocontentwrapperbocenteranotbeck-btn"/>
            <w:color w:val="000000"/>
            <w:u w:val="single" w:color="000000"/>
          </w:rPr>
          <w:t>I</w:t>
        </w:r>
      </w:hyperlink>
      <w:r>
        <w:rPr>
          <w:rStyle w:val="any"/>
          <w:color w:val="000000"/>
        </w:rPr>
        <w:t xml:space="preserve"> InsO</w:t>
      </w:r>
      <w:r>
        <w:rPr>
          <w:color w:val="000000"/>
        </w:rPr>
        <w:t xml:space="preserve">) von Bedeutung sein. Für die Frage der Zahlungsfähigkeit des Schuldners spielt sie hingegen zunächst keine Rolle. Die nach einer Eröffnung zu erwartenden Ansprüche aus anfechtbaren Rechtshandlungen dürfen im Rahmen des </w:t>
      </w:r>
      <w:r>
        <w:rPr>
          <w:rStyle w:val="any"/>
          <w:color w:val="000000"/>
        </w:rPr>
        <w:t xml:space="preserve">§ </w:t>
      </w:r>
      <w:hyperlink r:id="rId83" w:history="1">
        <w:r>
          <w:rPr>
            <w:rStyle w:val="bocontentwrapperbocenteranotbeck-btn"/>
            <w:color w:val="000000"/>
            <w:u w:val="single" w:color="000000"/>
          </w:rPr>
          <w:t>17</w:t>
        </w:r>
      </w:hyperlink>
      <w:r>
        <w:rPr>
          <w:rStyle w:val="any"/>
          <w:color w:val="000000"/>
        </w:rPr>
        <w:t xml:space="preserve"> InsO</w:t>
      </w:r>
      <w:r>
        <w:rPr>
          <w:color w:val="000000"/>
        </w:rPr>
        <w:t xml:space="preserve"> unter keinem denkbaren Gesichtspunkt berücksichtigt werden (vgl. </w:t>
      </w:r>
      <w:r>
        <w:rPr>
          <w:rStyle w:val="any"/>
          <w:color w:val="000000"/>
        </w:rPr>
        <w:t xml:space="preserve">BGHZ 169, </w:t>
      </w:r>
      <w:hyperlink r:id="rId84" w:history="1">
        <w:r>
          <w:rPr>
            <w:rStyle w:val="bocontentwrapperbocenteranotbeck-btn"/>
            <w:color w:val="000000"/>
            <w:u w:val="single" w:color="000000"/>
          </w:rPr>
          <w:t>17</w:t>
        </w:r>
      </w:hyperlink>
      <w:r>
        <w:rPr>
          <w:color w:val="000000"/>
        </w:rPr>
        <w:t xml:space="preserve"> = </w:t>
      </w:r>
      <w:r>
        <w:rPr>
          <w:rStyle w:val="any"/>
          <w:color w:val="000000"/>
        </w:rPr>
        <w:t xml:space="preserve">NJW 2006, </w:t>
      </w:r>
      <w:hyperlink r:id="rId85" w:history="1">
        <w:r>
          <w:rPr>
            <w:rStyle w:val="bocontentwrapperbocenteranotbeck-btn"/>
            <w:color w:val="000000"/>
            <w:u w:val="single" w:color="000000"/>
          </w:rPr>
          <w:t>3553</w:t>
        </w:r>
      </w:hyperlink>
      <w:r>
        <w:rPr>
          <w:color w:val="000000"/>
        </w:rPr>
        <w:t xml:space="preserve"> = </w:t>
      </w:r>
      <w:r>
        <w:rPr>
          <w:rStyle w:val="any"/>
          <w:color w:val="000000"/>
        </w:rPr>
        <w:t xml:space="preserve">NZI 2006, </w:t>
      </w:r>
      <w:hyperlink r:id="rId86" w:history="1">
        <w:r>
          <w:rPr>
            <w:rStyle w:val="bocontentwrapperbocenteranotbeck-btn"/>
            <w:color w:val="000000"/>
            <w:u w:val="single" w:color="000000"/>
          </w:rPr>
          <w:t>693</w:t>
        </w:r>
      </w:hyperlink>
      <w:r>
        <w:rPr>
          <w:rStyle w:val="any"/>
          <w:color w:val="000000"/>
        </w:rPr>
        <w:t xml:space="preserve"> [</w:t>
      </w:r>
      <w:hyperlink r:id="rId87" w:history="1">
        <w:r>
          <w:rPr>
            <w:rStyle w:val="bocontentwrapperbocenteranotbeck-btn"/>
            <w:color w:val="000000"/>
            <w:u w:val="single" w:color="000000"/>
          </w:rPr>
          <w:t>694</w:t>
        </w:r>
      </w:hyperlink>
      <w:r>
        <w:rPr>
          <w:color w:val="000000"/>
        </w:rPr>
        <w:t>]).</w:t>
      </w:r>
    </w:p>
    <w:p w14:paraId="2EC3FBF3" w14:textId="77777777" w:rsidR="00B76A38" w:rsidRDefault="00000000">
      <w:pPr>
        <w:pStyle w:val="divbocontentwrapperbocenterpParagraph"/>
        <w:spacing w:after="120" w:line="360" w:lineRule="auto"/>
        <w:ind w:right="150"/>
        <w:rPr>
          <w:color w:val="000000"/>
        </w:rPr>
      </w:pPr>
      <w:r>
        <w:rPr>
          <w:color w:val="000000"/>
        </w:rPr>
        <w:t xml:space="preserve">[31] d) Im Zeitpunkt der Eröffnung standen damit Verbindlichkeiten von 46311,02 Euro liquide Mittel von nur 27680,39 Euro gegenüber. Die Unterdeckung betrug damit 40 Prozent. Nach mittlerweile gefestigter Rechtsprechung des </w:t>
      </w:r>
      <w:r>
        <w:rPr>
          <w:rStyle w:val="emitalicon"/>
          <w:color w:val="000000"/>
        </w:rPr>
        <w:t>BGH</w:t>
      </w:r>
      <w:r>
        <w:rPr>
          <w:color w:val="000000"/>
        </w:rPr>
        <w:t xml:space="preserve"> ist dann, wenn eine Liquiditätslücke von 10 Prozent oder mehr besteht, regelmäßig von Zahlungsunfähigkeit des Schuldners auszugehen (</w:t>
      </w:r>
      <w:r>
        <w:rPr>
          <w:rStyle w:val="any"/>
          <w:color w:val="000000"/>
        </w:rPr>
        <w:t xml:space="preserve">BGHZ 163, </w:t>
      </w:r>
      <w:hyperlink r:id="rId88" w:history="1">
        <w:r>
          <w:rPr>
            <w:rStyle w:val="bocontentwrapperbocenteranotbeck-btn"/>
            <w:color w:val="000000"/>
            <w:u w:val="single" w:color="000000"/>
          </w:rPr>
          <w:t>134</w:t>
        </w:r>
      </w:hyperlink>
      <w:r>
        <w:rPr>
          <w:rStyle w:val="any"/>
          <w:color w:val="000000"/>
        </w:rPr>
        <w:t xml:space="preserve"> [</w:t>
      </w:r>
      <w:hyperlink r:id="rId89" w:history="1">
        <w:r>
          <w:rPr>
            <w:rStyle w:val="bocontentwrapperbocenteranotbeck-btn"/>
            <w:color w:val="000000"/>
            <w:u w:val="single" w:color="000000"/>
          </w:rPr>
          <w:t>145</w:t>
        </w:r>
      </w:hyperlink>
      <w:r>
        <w:rPr>
          <w:color w:val="000000"/>
        </w:rPr>
        <w:t xml:space="preserve">] = </w:t>
      </w:r>
      <w:r>
        <w:rPr>
          <w:rStyle w:val="any"/>
          <w:color w:val="000000"/>
        </w:rPr>
        <w:t xml:space="preserve">NJW 2005, </w:t>
      </w:r>
      <w:hyperlink r:id="rId90" w:history="1">
        <w:r>
          <w:rPr>
            <w:rStyle w:val="bocontentwrapperbocenteranotbeck-btn"/>
            <w:color w:val="000000"/>
            <w:u w:val="single" w:color="000000"/>
          </w:rPr>
          <w:t>3062</w:t>
        </w:r>
      </w:hyperlink>
      <w:r>
        <w:rPr>
          <w:color w:val="000000"/>
        </w:rPr>
        <w:t xml:space="preserve"> = </w:t>
      </w:r>
      <w:r>
        <w:rPr>
          <w:rStyle w:val="any"/>
          <w:color w:val="000000"/>
        </w:rPr>
        <w:t xml:space="preserve">NZI 2005, </w:t>
      </w:r>
      <w:hyperlink r:id="rId91" w:history="1">
        <w:r>
          <w:rPr>
            <w:rStyle w:val="bocontentwrapperbocenteranotbeck-btn"/>
            <w:color w:val="000000"/>
            <w:u w:val="single" w:color="000000"/>
          </w:rPr>
          <w:t>547</w:t>
        </w:r>
      </w:hyperlink>
      <w:r>
        <w:rPr>
          <w:color w:val="000000"/>
        </w:rPr>
        <w:t xml:space="preserve">; </w:t>
      </w:r>
      <w:r>
        <w:rPr>
          <w:rStyle w:val="emitalicon"/>
          <w:color w:val="000000"/>
        </w:rPr>
        <w:t>BGH</w:t>
      </w:r>
      <w:r>
        <w:rPr>
          <w:color w:val="000000"/>
        </w:rPr>
        <w:t xml:space="preserve">, </w:t>
      </w:r>
      <w:r>
        <w:rPr>
          <w:rStyle w:val="any"/>
          <w:color w:val="000000"/>
        </w:rPr>
        <w:t xml:space="preserve">NZI 2007, </w:t>
      </w:r>
      <w:hyperlink r:id="rId92" w:history="1">
        <w:r>
          <w:rPr>
            <w:rStyle w:val="bocontentwrapperbocenteranotbeck-btn"/>
            <w:color w:val="000000"/>
            <w:u w:val="single" w:color="000000"/>
          </w:rPr>
          <w:t>36</w:t>
        </w:r>
      </w:hyperlink>
      <w:r>
        <w:rPr>
          <w:color w:val="000000"/>
        </w:rPr>
        <w:t xml:space="preserve"> = </w:t>
      </w:r>
      <w:r>
        <w:rPr>
          <w:rStyle w:val="any"/>
          <w:color w:val="000000"/>
        </w:rPr>
        <w:t xml:space="preserve">WM 2006, </w:t>
      </w:r>
      <w:hyperlink r:id="rId93" w:history="1">
        <w:r>
          <w:rPr>
            <w:rStyle w:val="bocontentwrapperbocenteranotbeck-btn"/>
            <w:color w:val="000000"/>
            <w:u w:val="single" w:color="000000"/>
          </w:rPr>
          <w:t>2312</w:t>
        </w:r>
      </w:hyperlink>
      <w:r>
        <w:rPr>
          <w:rStyle w:val="any"/>
          <w:color w:val="000000"/>
        </w:rPr>
        <w:t xml:space="preserve"> [</w:t>
      </w:r>
      <w:hyperlink r:id="rId94" w:history="1">
        <w:r>
          <w:rPr>
            <w:rStyle w:val="bocontentwrapperbocenteranotbeck-btn"/>
            <w:color w:val="000000"/>
            <w:u w:val="single" w:color="000000"/>
          </w:rPr>
          <w:t>2314</w:t>
        </w:r>
      </w:hyperlink>
      <w:r>
        <w:rPr>
          <w:color w:val="000000"/>
        </w:rPr>
        <w:t>]). Das gilt nur dann nicht, wenn ausnahmsweise mit an Sicherheit grenzender Wahrscheinlichkeit zu erwarten ist, dass die Liquiditätslücke zwar erst mehr als drei Wochen später, aber in absehbarer Zeit vollständig oder fast vollständig beseitigt werden wird und den Gläubigern ein Zuwarten nach den besonderen Umständen des Einzelfalls zuzumuten ist (</w:t>
      </w:r>
      <w:r>
        <w:rPr>
          <w:rStyle w:val="any"/>
          <w:color w:val="000000"/>
        </w:rPr>
        <w:t xml:space="preserve">BGHZ 163, </w:t>
      </w:r>
      <w:hyperlink r:id="rId95" w:history="1">
        <w:r>
          <w:rPr>
            <w:rStyle w:val="bocontentwrapperbocenteranotbeck-btn"/>
            <w:color w:val="000000"/>
            <w:u w:val="single" w:color="000000"/>
          </w:rPr>
          <w:t>134</w:t>
        </w:r>
      </w:hyperlink>
      <w:r>
        <w:rPr>
          <w:rStyle w:val="any"/>
          <w:color w:val="000000"/>
        </w:rPr>
        <w:t xml:space="preserve"> [</w:t>
      </w:r>
      <w:hyperlink r:id="rId96" w:history="1">
        <w:r>
          <w:rPr>
            <w:rStyle w:val="bocontentwrapperbocenteranotbeck-btn"/>
            <w:color w:val="000000"/>
            <w:u w:val="single" w:color="000000"/>
          </w:rPr>
          <w:t>145</w:t>
        </w:r>
      </w:hyperlink>
      <w:r>
        <w:rPr>
          <w:color w:val="000000"/>
        </w:rPr>
        <w:t xml:space="preserve">] = </w:t>
      </w:r>
      <w:r>
        <w:rPr>
          <w:rStyle w:val="any"/>
          <w:color w:val="000000"/>
        </w:rPr>
        <w:t xml:space="preserve">NJW 2005, </w:t>
      </w:r>
      <w:hyperlink r:id="rId97" w:history="1">
        <w:r>
          <w:rPr>
            <w:rStyle w:val="bocontentwrapperbocenteranotbeck-btn"/>
            <w:color w:val="000000"/>
            <w:u w:val="single" w:color="000000"/>
          </w:rPr>
          <w:t>3062</w:t>
        </w:r>
      </w:hyperlink>
      <w:r>
        <w:rPr>
          <w:color w:val="000000"/>
        </w:rPr>
        <w:t xml:space="preserve"> = </w:t>
      </w:r>
      <w:r>
        <w:rPr>
          <w:rStyle w:val="any"/>
          <w:color w:val="000000"/>
        </w:rPr>
        <w:t xml:space="preserve">NZI 2005, </w:t>
      </w:r>
      <w:hyperlink r:id="rId98" w:history="1">
        <w:r>
          <w:rPr>
            <w:rStyle w:val="bocontentwrapperbocenteranotbeck-btn"/>
            <w:color w:val="000000"/>
            <w:u w:val="single" w:color="000000"/>
          </w:rPr>
          <w:t>547</w:t>
        </w:r>
      </w:hyperlink>
      <w:r>
        <w:rPr>
          <w:color w:val="000000"/>
        </w:rPr>
        <w:t xml:space="preserve">; </w:t>
      </w:r>
      <w:r>
        <w:rPr>
          <w:rStyle w:val="emitalicon"/>
          <w:color w:val="000000"/>
        </w:rPr>
        <w:t>BGH</w:t>
      </w:r>
      <w:r>
        <w:rPr>
          <w:color w:val="000000"/>
        </w:rPr>
        <w:t xml:space="preserve">, </w:t>
      </w:r>
      <w:r>
        <w:rPr>
          <w:rStyle w:val="any"/>
          <w:color w:val="000000"/>
        </w:rPr>
        <w:t xml:space="preserve">NZI 2007, </w:t>
      </w:r>
      <w:hyperlink r:id="rId99" w:history="1">
        <w:r>
          <w:rPr>
            <w:rStyle w:val="bocontentwrapperbocenteranotbeck-btn"/>
            <w:color w:val="000000"/>
            <w:u w:val="single" w:color="000000"/>
          </w:rPr>
          <w:t>36</w:t>
        </w:r>
      </w:hyperlink>
      <w:r>
        <w:rPr>
          <w:color w:val="000000"/>
        </w:rPr>
        <w:t xml:space="preserve"> = </w:t>
      </w:r>
      <w:r>
        <w:rPr>
          <w:rStyle w:val="any"/>
          <w:color w:val="000000"/>
        </w:rPr>
        <w:t xml:space="preserve">WM 2006, </w:t>
      </w:r>
      <w:hyperlink r:id="rId100" w:history="1">
        <w:r>
          <w:rPr>
            <w:rStyle w:val="bocontentwrapperbocenteranotbeck-btn"/>
            <w:color w:val="000000"/>
            <w:u w:val="single" w:color="000000"/>
          </w:rPr>
          <w:t>2312</w:t>
        </w:r>
      </w:hyperlink>
      <w:r>
        <w:rPr>
          <w:rStyle w:val="any"/>
          <w:color w:val="000000"/>
        </w:rPr>
        <w:t xml:space="preserve"> [</w:t>
      </w:r>
      <w:hyperlink r:id="rId101" w:history="1">
        <w:r>
          <w:rPr>
            <w:rStyle w:val="bocontentwrapperbocenteranotbeck-btn"/>
            <w:color w:val="000000"/>
            <w:u w:val="single" w:color="000000"/>
          </w:rPr>
          <w:t>2314</w:t>
        </w:r>
      </w:hyperlink>
      <w:r>
        <w:rPr>
          <w:color w:val="000000"/>
        </w:rPr>
        <w:t>]). Im Zusammenhang mit einem Gläubigerantrag (</w:t>
      </w:r>
      <w:r>
        <w:rPr>
          <w:rStyle w:val="any"/>
          <w:color w:val="000000"/>
        </w:rPr>
        <w:t xml:space="preserve">§ </w:t>
      </w:r>
      <w:hyperlink r:id="rId102" w:history="1">
        <w:r>
          <w:rPr>
            <w:rStyle w:val="bocontentwrapperbocenteranotbeck-btn"/>
            <w:color w:val="000000"/>
            <w:u w:val="single" w:color="000000"/>
          </w:rPr>
          <w:t>14</w:t>
        </w:r>
      </w:hyperlink>
      <w:r>
        <w:rPr>
          <w:rStyle w:val="any"/>
          <w:color w:val="000000"/>
        </w:rPr>
        <w:t xml:space="preserve"> InsO</w:t>
      </w:r>
      <w:r>
        <w:rPr>
          <w:color w:val="000000"/>
        </w:rPr>
        <w:t>) muss sich der Schuldner auf diese Umstände berufen, und das Insolvenzgericht hat im Rahmen seiner Amtsermittlungspflicht (</w:t>
      </w:r>
      <w:r>
        <w:rPr>
          <w:rStyle w:val="any"/>
          <w:color w:val="000000"/>
        </w:rPr>
        <w:t xml:space="preserve">§ </w:t>
      </w:r>
      <w:hyperlink r:id="rId103" w:history="1">
        <w:r>
          <w:rPr>
            <w:rStyle w:val="bocontentwrapperbocenteranotbeck-btn"/>
            <w:color w:val="000000"/>
            <w:u w:val="single" w:color="000000"/>
          </w:rPr>
          <w:t>5</w:t>
        </w:r>
      </w:hyperlink>
      <w:r>
        <w:rPr>
          <w:rStyle w:val="any"/>
          <w:color w:val="000000"/>
        </w:rPr>
        <w:t xml:space="preserve"> InsO</w:t>
      </w:r>
      <w:r>
        <w:rPr>
          <w:color w:val="000000"/>
        </w:rPr>
        <w:t>) zu prüfen, ob sich ein solcher Ausnahmefall feststellen lässt (</w:t>
      </w:r>
      <w:r>
        <w:rPr>
          <w:rStyle w:val="any"/>
          <w:color w:val="000000"/>
        </w:rPr>
        <w:t xml:space="preserve">BGHZ 163, </w:t>
      </w:r>
      <w:hyperlink r:id="rId104" w:history="1">
        <w:r>
          <w:rPr>
            <w:rStyle w:val="bocontentwrapperbocenteranotbeck-btn"/>
            <w:color w:val="000000"/>
            <w:u w:val="single" w:color="000000"/>
          </w:rPr>
          <w:t>134</w:t>
        </w:r>
      </w:hyperlink>
      <w:r>
        <w:rPr>
          <w:rStyle w:val="any"/>
          <w:color w:val="000000"/>
        </w:rPr>
        <w:t xml:space="preserve"> [</w:t>
      </w:r>
      <w:hyperlink r:id="rId105" w:history="1">
        <w:r>
          <w:rPr>
            <w:rStyle w:val="bocontentwrapperbocenteranotbeck-btn"/>
            <w:color w:val="000000"/>
            <w:u w:val="single" w:color="000000"/>
          </w:rPr>
          <w:t>145</w:t>
        </w:r>
      </w:hyperlink>
      <w:r>
        <w:rPr>
          <w:color w:val="000000"/>
        </w:rPr>
        <w:t xml:space="preserve">] = </w:t>
      </w:r>
      <w:r>
        <w:rPr>
          <w:rStyle w:val="any"/>
          <w:color w:val="000000"/>
        </w:rPr>
        <w:t xml:space="preserve">NJW 2005, </w:t>
      </w:r>
      <w:hyperlink r:id="rId106" w:history="1">
        <w:r>
          <w:rPr>
            <w:rStyle w:val="bocontentwrapperbocenteranotbeck-btn"/>
            <w:color w:val="000000"/>
            <w:u w:val="single" w:color="000000"/>
          </w:rPr>
          <w:t>3062</w:t>
        </w:r>
      </w:hyperlink>
      <w:r>
        <w:rPr>
          <w:color w:val="000000"/>
        </w:rPr>
        <w:t xml:space="preserve"> = </w:t>
      </w:r>
      <w:r>
        <w:rPr>
          <w:rStyle w:val="any"/>
          <w:color w:val="000000"/>
        </w:rPr>
        <w:t xml:space="preserve">NZI 2005, </w:t>
      </w:r>
      <w:hyperlink r:id="rId107" w:history="1">
        <w:r>
          <w:rPr>
            <w:rStyle w:val="bocontentwrapperbocenteranotbeck-btn"/>
            <w:color w:val="000000"/>
            <w:u w:val="single" w:color="000000"/>
          </w:rPr>
          <w:t>547</w:t>
        </w:r>
      </w:hyperlink>
      <w:r>
        <w:rPr>
          <w:color w:val="000000"/>
        </w:rPr>
        <w:t>).</w:t>
      </w:r>
    </w:p>
    <w:p w14:paraId="2FA567E1" w14:textId="77777777" w:rsidR="00B76A38" w:rsidRDefault="00000000">
      <w:pPr>
        <w:pStyle w:val="divbocontentwrapperbocenterpParagraph"/>
        <w:spacing w:after="120" w:line="360" w:lineRule="auto"/>
        <w:ind w:right="150"/>
        <w:rPr>
          <w:color w:val="000000"/>
        </w:rPr>
      </w:pPr>
      <w:r>
        <w:rPr>
          <w:rStyle w:val="emsmall"/>
          <w:color w:val="000000"/>
          <w:sz w:val="22"/>
          <w:szCs w:val="22"/>
        </w:rPr>
        <w:t xml:space="preserve">[32] Im vorliegenden Fall hat der Schuldner mehrfach auf vorhandenes Grundvermögen hingewiesen, insbesondere darauf, dass die in seinem alleinigen Eigentum stehende Immobilie </w:t>
      </w:r>
      <w:r>
        <w:rPr>
          <w:rStyle w:val="emitalicon"/>
          <w:color w:val="000000"/>
        </w:rPr>
        <w:t>I</w:t>
      </w:r>
      <w:r>
        <w:rPr>
          <w:rStyle w:val="emsmall"/>
          <w:color w:val="000000"/>
          <w:sz w:val="22"/>
          <w:szCs w:val="22"/>
        </w:rPr>
        <w:t xml:space="preserve">, L., kurzfristig zu einem Kaufpreis von 42000 Euro an den Elektromeister </w:t>
      </w:r>
      <w:r>
        <w:rPr>
          <w:rStyle w:val="emitalicon"/>
          <w:color w:val="000000"/>
        </w:rPr>
        <w:t>B</w:t>
      </w:r>
      <w:r>
        <w:rPr>
          <w:rStyle w:val="emsmall"/>
          <w:color w:val="000000"/>
          <w:sz w:val="22"/>
          <w:szCs w:val="22"/>
        </w:rPr>
        <w:t xml:space="preserve"> </w:t>
      </w:r>
      <w:r>
        <w:rPr>
          <w:rStyle w:val="emsmall"/>
          <w:color w:val="000000"/>
          <w:sz w:val="22"/>
          <w:szCs w:val="22"/>
        </w:rPr>
        <w:lastRenderedPageBreak/>
        <w:t>veräußert werden könne. Schon dieser Betrag könnte die vorhandene Liquiditätslücke decken. Mit diesem Vorbringen hat sich das BeschwGer. nicht näher befasst. Es hat sich mit dem Hinweis begnügt, es sei nicht feststellbar, ob und zu welchem Preis der Grundbesitz veräußert werden könne. Das reichte schon deshalb nicht aus, weil der Schuldner eine konkrete Verkaufsmöglichkeit zu einem bestimmten Preis dargelegt hatte. Selbst der weitere Bet. war in seinem Gutachten – unter Berücksichtigung einer Belastung zu Gunsten des Finanzamts, die aber nach Begleichung der Steuerverbindlichkeiten nicht mehr bestehen dürfte – von einem Grundstückswert von 30000 Euro ausgegangen. Das weitere Immobilienvermögen des Schuldners wurde dabei noch nicht einmal berücksichtigt.</w:t>
      </w:r>
    </w:p>
    <w:p w14:paraId="778EEAF7" w14:textId="77777777" w:rsidR="00B76A38" w:rsidRDefault="00000000">
      <w:pPr>
        <w:pStyle w:val="divbocontentwrapperbocenterpParagraph"/>
        <w:spacing w:after="120" w:line="360" w:lineRule="auto"/>
        <w:ind w:right="150"/>
        <w:rPr>
          <w:color w:val="000000"/>
        </w:rPr>
      </w:pPr>
      <w:r>
        <w:rPr>
          <w:color w:val="000000"/>
        </w:rPr>
        <w:t>[33] III. Der angefochtene Beschluss kann deshalb keinen Bestand haben. Die Sache ist zur erneuten Entscheidung an das BeschwGer. zurückzuverweisen, das die erforderlichen Feststellungen zur Frage der Zahlungsunfähigkeit nach Maßgabe der Aufhebungsgründe zu treffen haben wird (</w:t>
      </w:r>
      <w:r>
        <w:rPr>
          <w:rStyle w:val="any"/>
          <w:color w:val="000000"/>
        </w:rPr>
        <w:t xml:space="preserve">§ </w:t>
      </w:r>
      <w:hyperlink r:id="rId108" w:history="1">
        <w:r>
          <w:rPr>
            <w:rStyle w:val="bocontentwrapperbocenteranotbeck-btn"/>
            <w:color w:val="000000"/>
            <w:u w:val="single" w:color="000000"/>
          </w:rPr>
          <w:t>577</w:t>
        </w:r>
      </w:hyperlink>
      <w:r>
        <w:rPr>
          <w:rStyle w:val="any"/>
          <w:color w:val="000000"/>
        </w:rPr>
        <w:t xml:space="preserve"> </w:t>
      </w:r>
      <w:hyperlink r:id="rId109" w:history="1">
        <w:r>
          <w:rPr>
            <w:rStyle w:val="bocontentwrapperbocenteranotbeck-btn"/>
            <w:color w:val="000000"/>
            <w:u w:val="single" w:color="000000"/>
          </w:rPr>
          <w:t>IV</w:t>
        </w:r>
      </w:hyperlink>
      <w:r>
        <w:rPr>
          <w:rStyle w:val="any"/>
          <w:color w:val="000000"/>
        </w:rPr>
        <w:t xml:space="preserve"> ZPO</w:t>
      </w:r>
      <w:r>
        <w:rPr>
          <w:color w:val="000000"/>
        </w:rPr>
        <w:t>).</w:t>
      </w:r>
    </w:p>
    <w:p w14:paraId="40D909D4" w14:textId="77777777" w:rsidR="00B76A38" w:rsidRDefault="00000000">
      <w:pPr>
        <w:pStyle w:val="divbocontentwrapperbocenterpParagraph"/>
        <w:spacing w:after="120" w:line="360" w:lineRule="auto"/>
        <w:ind w:right="150"/>
        <w:rPr>
          <w:color w:val="000000"/>
        </w:rPr>
      </w:pPr>
      <w:r>
        <w:rPr>
          <w:color w:val="000000"/>
        </w:rPr>
        <w:t>[34] IV. Auf Antrag des Schuldners wird die Vollziehung des Eröffnungsbeschlusses vom 13. 10. 2006 bis zur erneuten Entscheidung des BeschwGer. ausgesetzt. Das RechtsBeschwGer. kann die Vollziehung der erstinstanzlichen Entscheidung bis zur Entscheidung des BeschwGer. aussetzen (</w:t>
      </w:r>
      <w:r>
        <w:rPr>
          <w:rStyle w:val="any"/>
          <w:color w:val="000000"/>
        </w:rPr>
        <w:t xml:space="preserve">§§ </w:t>
      </w:r>
      <w:hyperlink r:id="rId110" w:history="1">
        <w:r>
          <w:rPr>
            <w:rStyle w:val="bocontentwrapperbocenteranotbeck-btn"/>
            <w:color w:val="000000"/>
            <w:u w:val="single" w:color="000000"/>
          </w:rPr>
          <w:t>575</w:t>
        </w:r>
      </w:hyperlink>
      <w:r>
        <w:rPr>
          <w:rStyle w:val="any"/>
          <w:color w:val="000000"/>
        </w:rPr>
        <w:t xml:space="preserve"> </w:t>
      </w:r>
      <w:hyperlink r:id="rId111" w:history="1">
        <w:r>
          <w:rPr>
            <w:rStyle w:val="bocontentwrapperbocenteranotbeck-btn"/>
            <w:color w:val="000000"/>
            <w:u w:val="single" w:color="000000"/>
          </w:rPr>
          <w:t>V</w:t>
        </w:r>
      </w:hyperlink>
      <w:r>
        <w:rPr>
          <w:rStyle w:val="any"/>
          <w:color w:val="000000"/>
        </w:rPr>
        <w:t xml:space="preserve">, </w:t>
      </w:r>
      <w:hyperlink r:id="rId112" w:history="1">
        <w:r>
          <w:rPr>
            <w:rStyle w:val="bocontentwrapperbocenteranotbeck-btn"/>
            <w:color w:val="000000"/>
            <w:u w:val="single" w:color="000000"/>
          </w:rPr>
          <w:t>570</w:t>
        </w:r>
      </w:hyperlink>
      <w:r>
        <w:rPr>
          <w:rStyle w:val="any"/>
          <w:color w:val="000000"/>
        </w:rPr>
        <w:t xml:space="preserve"> </w:t>
      </w:r>
      <w:hyperlink r:id="rId113" w:history="1">
        <w:r>
          <w:rPr>
            <w:rStyle w:val="bocontentwrapperbocenteranotbeck-btn"/>
            <w:color w:val="000000"/>
            <w:u w:val="single" w:color="000000"/>
          </w:rPr>
          <w:t>III</w:t>
        </w:r>
      </w:hyperlink>
      <w:r>
        <w:rPr>
          <w:rStyle w:val="any"/>
          <w:color w:val="000000"/>
        </w:rPr>
        <w:t xml:space="preserve"> ZPO</w:t>
      </w:r>
      <w:r>
        <w:rPr>
          <w:color w:val="000000"/>
        </w:rPr>
        <w:t xml:space="preserve">; vgl. </w:t>
      </w:r>
      <w:r>
        <w:rPr>
          <w:rStyle w:val="any"/>
          <w:color w:val="000000"/>
        </w:rPr>
        <w:t xml:space="preserve">BGHZ 169, </w:t>
      </w:r>
      <w:hyperlink r:id="rId114" w:history="1">
        <w:r>
          <w:rPr>
            <w:rStyle w:val="bocontentwrapperbocenteranotbeck-btn"/>
            <w:color w:val="000000"/>
            <w:u w:val="single" w:color="000000"/>
          </w:rPr>
          <w:t>17</w:t>
        </w:r>
      </w:hyperlink>
      <w:r>
        <w:rPr>
          <w:color w:val="000000"/>
        </w:rPr>
        <w:t xml:space="preserve"> = </w:t>
      </w:r>
      <w:r>
        <w:rPr>
          <w:rStyle w:val="any"/>
          <w:color w:val="000000"/>
        </w:rPr>
        <w:t xml:space="preserve">NJW 2006, </w:t>
      </w:r>
      <w:hyperlink r:id="rId115" w:history="1">
        <w:r>
          <w:rPr>
            <w:rStyle w:val="bocontentwrapperbocenteranotbeck-btn"/>
            <w:color w:val="000000"/>
            <w:u w:val="single" w:color="000000"/>
          </w:rPr>
          <w:t>3553</w:t>
        </w:r>
      </w:hyperlink>
      <w:r>
        <w:rPr>
          <w:color w:val="000000"/>
        </w:rPr>
        <w:t xml:space="preserve"> = </w:t>
      </w:r>
      <w:r>
        <w:rPr>
          <w:rStyle w:val="any"/>
          <w:color w:val="000000"/>
        </w:rPr>
        <w:t xml:space="preserve">NZI 2006, </w:t>
      </w:r>
      <w:hyperlink r:id="rId116" w:history="1">
        <w:r>
          <w:rPr>
            <w:rStyle w:val="bocontentwrapperbocenteranotbeck-btn"/>
            <w:color w:val="000000"/>
            <w:u w:val="single" w:color="000000"/>
          </w:rPr>
          <w:t>693</w:t>
        </w:r>
      </w:hyperlink>
      <w:r>
        <w:rPr>
          <w:color w:val="000000"/>
        </w:rPr>
        <w:t>). Die Aussetzung der Vollziehung eines Insolvenzeröffnungsbeschlusses kommt dann in Betracht, wenn durch dessen (weitere) Vollziehung dem Beschwerdeführer größere Nachteile drohen als den anderen Beteiligten im Fall der Aufschiebung der vom Insolvenzgericht beschlossenen Maßnahmen und wenn das Rechtsmittel Aussicht auf Erfolg hat (</w:t>
      </w:r>
      <w:r>
        <w:rPr>
          <w:rStyle w:val="any"/>
          <w:color w:val="000000"/>
        </w:rPr>
        <w:t xml:space="preserve">BGHZ 169, </w:t>
      </w:r>
      <w:hyperlink r:id="rId117" w:history="1">
        <w:r>
          <w:rPr>
            <w:rStyle w:val="bocontentwrapperbocenteranotbeck-btn"/>
            <w:color w:val="000000"/>
            <w:u w:val="single" w:color="000000"/>
          </w:rPr>
          <w:t>17</w:t>
        </w:r>
      </w:hyperlink>
      <w:r>
        <w:rPr>
          <w:color w:val="000000"/>
        </w:rPr>
        <w:t xml:space="preserve"> = </w:t>
      </w:r>
      <w:r>
        <w:rPr>
          <w:rStyle w:val="any"/>
          <w:color w:val="000000"/>
        </w:rPr>
        <w:t xml:space="preserve">NJW 2006, </w:t>
      </w:r>
      <w:hyperlink r:id="rId118" w:history="1">
        <w:r>
          <w:rPr>
            <w:rStyle w:val="bocontentwrapperbocenteranotbeck-btn"/>
            <w:color w:val="000000"/>
            <w:u w:val="single" w:color="000000"/>
          </w:rPr>
          <w:t>3553</w:t>
        </w:r>
      </w:hyperlink>
      <w:r>
        <w:rPr>
          <w:color w:val="000000"/>
        </w:rPr>
        <w:t xml:space="preserve"> = </w:t>
      </w:r>
      <w:r>
        <w:rPr>
          <w:rStyle w:val="any"/>
          <w:color w:val="000000"/>
        </w:rPr>
        <w:t xml:space="preserve">NZI 2006, </w:t>
      </w:r>
      <w:hyperlink r:id="rId119" w:history="1">
        <w:r>
          <w:rPr>
            <w:rStyle w:val="bocontentwrapperbocenteranotbeck-btn"/>
            <w:color w:val="000000"/>
            <w:u w:val="single" w:color="000000"/>
          </w:rPr>
          <w:t>693</w:t>
        </w:r>
      </w:hyperlink>
      <w:r>
        <w:rPr>
          <w:color w:val="000000"/>
        </w:rPr>
        <w:t>). Diese Voraussetzungen sind aus den zu II 2b und c dargestellten Gründen hier gegeben.</w:t>
      </w:r>
    </w:p>
    <w:p w14:paraId="615AECD8" w14:textId="77777777" w:rsidR="00B76A38" w:rsidRDefault="00000000">
      <w:pPr>
        <w:pStyle w:val="divbocontentwrapperbocenterpParagraph"/>
        <w:spacing w:after="120" w:line="360" w:lineRule="auto"/>
        <w:ind w:right="150"/>
        <w:rPr>
          <w:color w:val="000000"/>
        </w:rPr>
      </w:pPr>
      <w:r>
        <w:rPr>
          <w:color w:val="000000"/>
        </w:rPr>
        <w:t xml:space="preserve">[35] V. Der Wert des Rechtsbeschwerdeverfahrens entspricht gem. </w:t>
      </w:r>
      <w:r>
        <w:rPr>
          <w:rStyle w:val="any"/>
          <w:color w:val="000000"/>
        </w:rPr>
        <w:t xml:space="preserve">§ </w:t>
      </w:r>
      <w:hyperlink r:id="rId120" w:history="1">
        <w:r>
          <w:rPr>
            <w:rStyle w:val="bocontentwrapperbocenteranotbeck-btn"/>
            <w:color w:val="000000"/>
            <w:u w:val="single" w:color="000000"/>
          </w:rPr>
          <w:t>58</w:t>
        </w:r>
      </w:hyperlink>
      <w:r>
        <w:rPr>
          <w:rStyle w:val="any"/>
          <w:color w:val="000000"/>
        </w:rPr>
        <w:t xml:space="preserve"> </w:t>
      </w:r>
      <w:hyperlink r:id="rId121" w:history="1">
        <w:r>
          <w:rPr>
            <w:rStyle w:val="bocontentwrapperbocenteranotbeck-btn"/>
            <w:color w:val="000000"/>
            <w:u w:val="single" w:color="000000"/>
          </w:rPr>
          <w:t>III</w:t>
        </w:r>
      </w:hyperlink>
      <w:r>
        <w:rPr>
          <w:rStyle w:val="any"/>
          <w:color w:val="000000"/>
        </w:rPr>
        <w:t xml:space="preserve"> 1, </w:t>
      </w:r>
      <w:hyperlink r:id="rId122" w:history="1">
        <w:r>
          <w:rPr>
            <w:rStyle w:val="bocontentwrapperbocenteranotbeck-btn"/>
            <w:color w:val="000000"/>
            <w:u w:val="single" w:color="000000"/>
          </w:rPr>
          <w:t>I</w:t>
        </w:r>
      </w:hyperlink>
      <w:r>
        <w:rPr>
          <w:rStyle w:val="any"/>
          <w:color w:val="000000"/>
        </w:rPr>
        <w:t xml:space="preserve"> GKG</w:t>
      </w:r>
      <w:r>
        <w:rPr>
          <w:color w:val="000000"/>
        </w:rPr>
        <w:t xml:space="preserve"> dem Wert der Insolvenzmasse. Diesen schätzt der </w:t>
      </w:r>
      <w:r>
        <w:rPr>
          <w:rStyle w:val="emitalicon"/>
          <w:color w:val="000000"/>
        </w:rPr>
        <w:t>Senat</w:t>
      </w:r>
      <w:r>
        <w:rPr>
          <w:color w:val="000000"/>
        </w:rPr>
        <w:t xml:space="preserve"> im Hinblick auf die vom BeschwGer. ermittelten Aktiva und den Grundbesitz des Schuldners auf 80 000 Euro.</w:t>
      </w:r>
      <w:bookmarkStart w:id="2" w:name="Y-300-Z-NZI-B-2007-S-579-N-1-NAME-ANMRED"/>
      <w:bookmarkEnd w:id="2"/>
    </w:p>
    <w:p w14:paraId="783D0AB5" w14:textId="77777777" w:rsidR="00B76A38" w:rsidRDefault="00000000">
      <w:pPr>
        <w:pStyle w:val="printcontenth2"/>
        <w:pBdr>
          <w:top w:val="single" w:sz="6" w:space="0" w:color="808080"/>
        </w:pBdr>
        <w:spacing w:before="300" w:line="360" w:lineRule="auto"/>
        <w:ind w:right="150"/>
        <w:outlineLvl w:val="1"/>
        <w:rPr>
          <w:b/>
          <w:bCs/>
        </w:rPr>
      </w:pPr>
      <w:r>
        <w:rPr>
          <w:b/>
          <w:bCs/>
        </w:rPr>
        <w:t>Anm. d. Schriftltg.:</w:t>
      </w:r>
    </w:p>
    <w:p w14:paraId="58D0C5B4" w14:textId="77777777" w:rsidR="00B76A38" w:rsidRDefault="00000000">
      <w:pPr>
        <w:pStyle w:val="divbocontentwrapperbocenterpParagraph"/>
        <w:pBdr>
          <w:top w:val="single" w:sz="6" w:space="0" w:color="808080"/>
        </w:pBdr>
        <w:spacing w:after="120" w:line="360" w:lineRule="auto"/>
        <w:ind w:right="150"/>
        <w:rPr>
          <w:color w:val="000000"/>
        </w:rPr>
      </w:pPr>
      <w:r>
        <w:rPr>
          <w:color w:val="000000"/>
        </w:rPr>
        <w:t xml:space="preserve">Zur Fälligkeit nach </w:t>
      </w:r>
      <w:r>
        <w:rPr>
          <w:rStyle w:val="any"/>
          <w:color w:val="000000"/>
        </w:rPr>
        <w:t xml:space="preserve">§ </w:t>
      </w:r>
      <w:hyperlink r:id="rId123" w:history="1">
        <w:r>
          <w:rPr>
            <w:rStyle w:val="bocontentwrapperbocenteranotbeck-btn"/>
            <w:color w:val="000000"/>
            <w:u w:val="single" w:color="000000"/>
          </w:rPr>
          <w:t>17</w:t>
        </w:r>
      </w:hyperlink>
      <w:r>
        <w:rPr>
          <w:rStyle w:val="any"/>
          <w:color w:val="000000"/>
        </w:rPr>
        <w:t xml:space="preserve"> </w:t>
      </w:r>
      <w:hyperlink r:id="rId124" w:history="1">
        <w:r>
          <w:rPr>
            <w:rStyle w:val="bocontentwrapperbocenteranotbeck-btn"/>
            <w:color w:val="000000"/>
            <w:u w:val="single" w:color="000000"/>
          </w:rPr>
          <w:t>II</w:t>
        </w:r>
      </w:hyperlink>
      <w:r>
        <w:rPr>
          <w:rStyle w:val="any"/>
          <w:color w:val="000000"/>
        </w:rPr>
        <w:t xml:space="preserve"> InsO</w:t>
      </w:r>
      <w:r>
        <w:rPr>
          <w:color w:val="000000"/>
        </w:rPr>
        <w:t xml:space="preserve"> s. auch </w:t>
      </w:r>
      <w:r>
        <w:rPr>
          <w:rStyle w:val="emitalicon"/>
          <w:color w:val="000000"/>
        </w:rPr>
        <w:t>Neumaier</w:t>
      </w:r>
      <w:r>
        <w:rPr>
          <w:color w:val="000000"/>
        </w:rPr>
        <w:t xml:space="preserve">, </w:t>
      </w:r>
      <w:r>
        <w:rPr>
          <w:rStyle w:val="any"/>
          <w:color w:val="000000"/>
        </w:rPr>
        <w:t xml:space="preserve">NJW 2005, </w:t>
      </w:r>
      <w:hyperlink r:id="rId125" w:history="1">
        <w:r>
          <w:rPr>
            <w:rStyle w:val="bocontentwrapperbocenteranotbeck-btn"/>
            <w:color w:val="000000"/>
            <w:u w:val="single" w:color="000000"/>
          </w:rPr>
          <w:t>3041</w:t>
        </w:r>
      </w:hyperlink>
      <w:r>
        <w:rPr>
          <w:color w:val="000000"/>
        </w:rPr>
        <w:t xml:space="preserve">; </w:t>
      </w:r>
      <w:r>
        <w:rPr>
          <w:rStyle w:val="emitalicon"/>
          <w:color w:val="000000"/>
        </w:rPr>
        <w:t>BGH</w:t>
      </w:r>
      <w:r>
        <w:rPr>
          <w:color w:val="000000"/>
        </w:rPr>
        <w:t xml:space="preserve">, </w:t>
      </w:r>
      <w:r>
        <w:rPr>
          <w:rStyle w:val="any"/>
          <w:color w:val="000000"/>
        </w:rPr>
        <w:t xml:space="preserve">NJW-RR 2006, </w:t>
      </w:r>
      <w:hyperlink r:id="rId126" w:history="1">
        <w:r>
          <w:rPr>
            <w:rStyle w:val="bocontentwrapperbocenteranotbeck-btn"/>
            <w:color w:val="000000"/>
            <w:u w:val="single" w:color="000000"/>
          </w:rPr>
          <w:t>1422</w:t>
        </w:r>
      </w:hyperlink>
      <w:r>
        <w:rPr>
          <w:color w:val="000000"/>
        </w:rPr>
        <w:t xml:space="preserve"> = </w:t>
      </w:r>
      <w:r>
        <w:rPr>
          <w:rStyle w:val="any"/>
          <w:color w:val="000000"/>
        </w:rPr>
        <w:t xml:space="preserve">NZI 2006, </w:t>
      </w:r>
      <w:hyperlink r:id="rId127" w:history="1">
        <w:r>
          <w:rPr>
            <w:rStyle w:val="bocontentwrapperbocenteranotbeck-btn"/>
            <w:color w:val="000000"/>
            <w:u w:val="single" w:color="000000"/>
          </w:rPr>
          <w:t>591</w:t>
        </w:r>
      </w:hyperlink>
      <w:r>
        <w:rPr>
          <w:color w:val="000000"/>
        </w:rPr>
        <w:t xml:space="preserve">. Zur Insolvenz von Unterhaltsgläubigern s. </w:t>
      </w:r>
      <w:r>
        <w:rPr>
          <w:rStyle w:val="emitalicon"/>
          <w:color w:val="000000"/>
        </w:rPr>
        <w:t>Keller</w:t>
      </w:r>
      <w:r>
        <w:rPr>
          <w:color w:val="000000"/>
        </w:rPr>
        <w:t xml:space="preserve">, </w:t>
      </w:r>
      <w:r>
        <w:rPr>
          <w:rStyle w:val="any"/>
          <w:color w:val="000000"/>
        </w:rPr>
        <w:t xml:space="preserve">NZI 2007, </w:t>
      </w:r>
      <w:hyperlink r:id="rId128" w:history="1">
        <w:r>
          <w:rPr>
            <w:rStyle w:val="bocontentwrapperbocenteranotbeck-btn"/>
            <w:color w:val="000000"/>
            <w:u w:val="single" w:color="000000"/>
          </w:rPr>
          <w:t>143</w:t>
        </w:r>
      </w:hyperlink>
      <w:r>
        <w:rPr>
          <w:color w:val="000000"/>
        </w:rPr>
        <w:t xml:space="preserve">; </w:t>
      </w:r>
      <w:r>
        <w:rPr>
          <w:rStyle w:val="emitalicon"/>
          <w:color w:val="000000"/>
        </w:rPr>
        <w:t>BGH</w:t>
      </w:r>
      <w:r>
        <w:rPr>
          <w:color w:val="000000"/>
        </w:rPr>
        <w:t xml:space="preserve">, </w:t>
      </w:r>
      <w:r>
        <w:rPr>
          <w:rStyle w:val="any"/>
          <w:color w:val="000000"/>
        </w:rPr>
        <w:t xml:space="preserve">NJW 2005, </w:t>
      </w:r>
      <w:hyperlink r:id="rId129" w:history="1">
        <w:r>
          <w:rPr>
            <w:rStyle w:val="bocontentwrapperbocenteranotbeck-btn"/>
            <w:color w:val="000000"/>
            <w:u w:val="single" w:color="000000"/>
          </w:rPr>
          <w:t>1279</w:t>
        </w:r>
      </w:hyperlink>
      <w:r>
        <w:rPr>
          <w:color w:val="000000"/>
        </w:rPr>
        <w:t xml:space="preserve"> = </w:t>
      </w:r>
      <w:r>
        <w:rPr>
          <w:rStyle w:val="any"/>
          <w:color w:val="000000"/>
        </w:rPr>
        <w:t xml:space="preserve">NZI 2005, </w:t>
      </w:r>
      <w:hyperlink r:id="rId130" w:history="1">
        <w:r>
          <w:rPr>
            <w:rStyle w:val="bocontentwrapperbocenteranotbeck-btn"/>
            <w:color w:val="000000"/>
            <w:u w:val="single" w:color="000000"/>
          </w:rPr>
          <w:t>342</w:t>
        </w:r>
      </w:hyperlink>
      <w:r>
        <w:rPr>
          <w:color w:val="000000"/>
        </w:rPr>
        <w:t xml:space="preserve">. Zur Amtsermittlungspflicht des Insolvenzgerichts s. </w:t>
      </w:r>
      <w:r>
        <w:rPr>
          <w:rStyle w:val="emitalicon"/>
          <w:color w:val="000000"/>
        </w:rPr>
        <w:t>BGH</w:t>
      </w:r>
      <w:r>
        <w:rPr>
          <w:color w:val="000000"/>
        </w:rPr>
        <w:t xml:space="preserve">, </w:t>
      </w:r>
      <w:r>
        <w:rPr>
          <w:rStyle w:val="any"/>
          <w:color w:val="000000"/>
        </w:rPr>
        <w:t xml:space="preserve">NZI 2006, </w:t>
      </w:r>
      <w:hyperlink r:id="rId131" w:history="1">
        <w:r>
          <w:rPr>
            <w:rStyle w:val="bocontentwrapperbocenteranotbeck-btn"/>
            <w:color w:val="000000"/>
            <w:u w:val="single" w:color="000000"/>
          </w:rPr>
          <w:t>405</w:t>
        </w:r>
      </w:hyperlink>
      <w:r>
        <w:rPr>
          <w:color w:val="000000"/>
        </w:rPr>
        <w:t>.</w:t>
      </w:r>
    </w:p>
    <w:p w14:paraId="5C3D5F48" w14:textId="77777777" w:rsidR="00B76A38" w:rsidRDefault="00000000">
      <w:pPr>
        <w:pStyle w:val="printcontenth3"/>
        <w:spacing w:line="360" w:lineRule="auto"/>
        <w:ind w:left="150" w:right="150"/>
        <w:outlineLvl w:val="2"/>
        <w:rPr>
          <w:b/>
          <w:bCs/>
        </w:rPr>
      </w:pPr>
      <w:r>
        <w:rPr>
          <w:b/>
          <w:bCs/>
        </w:rPr>
        <w:t>Entscheidung zitiert in:</w:t>
      </w:r>
    </w:p>
    <w:p w14:paraId="397D45A4" w14:textId="77777777" w:rsidR="00B76A38" w:rsidRDefault="00000000">
      <w:pPr>
        <w:pStyle w:val="printcontentdivnotlawversion"/>
        <w:spacing w:line="360" w:lineRule="auto"/>
        <w:ind w:left="150" w:right="150"/>
      </w:pPr>
      <w:r>
        <w:t xml:space="preserve">Büchern | Noack/Servatius/Haas, GmbHG | Braun, Insolvenzordnung | IDW Sanierung und Insolvenz | IDW Verlautbarungen | Heyd/Kautenburger-Behr/Wind, Bilanzierung und Besteuerung in Krise und Insolvenz | Koch, Aktiengesetz | Oppenländer/Trölitzsch, </w:t>
      </w:r>
      <w:r>
        <w:lastRenderedPageBreak/>
        <w:t>Praxishandbuch der GmbH-Geschäftsführung | Hopt, Handelsgesetzbuch, 45. A. 2026 | Böcking/Gros/Oser/Thormann, Beck'sches Handbuch der Rechnungslegung, 77. EL März 2026 | BeckOK StGB, 69. Edition | Beck'sches Handbuch Unternehmenskauf im Mittelstand, 3. A. 2020 | Michalski GmbHG, 4. A. 2023 | Drinhausen/Eckstein, Beck'sches Handbuch der AG, 3. A. 2018 | Beck'sches Handbuch d. Personengesellschaften, 5. A. 2020 | Reichert, GmbH &amp; Co. KG, 9. A. 2024 | Römermann, Leitfaden Covid-19-Pandemie, 1. A. 2020 | Römermann, Selbständige und Unternehmer in Zeiten von Corona, 1. A. 2020 | Schauhoff/Kirchhain, Hdb. d. Gemeinnützigkeit, 4. A. 2023 | Sonnleitner/Witfeld, Insolvenz- und Sanierungssteuerrecht, 2. A. 2022 | Pelka/Petersen, Beck'sches Steuerberater-Hdb. 2025/2026, 20. A. 2026 | Rechtsprechung | Verwaltungsvorschriften | Aufsätzen | Meldungen</w:t>
      </w:r>
    </w:p>
    <w:p w14:paraId="15E5816B" w14:textId="77777777" w:rsidR="00B76A38" w:rsidRDefault="00000000">
      <w:pPr>
        <w:pStyle w:val="printcontenth3"/>
        <w:spacing w:line="360" w:lineRule="auto"/>
        <w:ind w:left="150" w:right="150"/>
        <w:outlineLvl w:val="2"/>
        <w:rPr>
          <w:b/>
          <w:bCs/>
        </w:rPr>
      </w:pPr>
      <w:r>
        <w:rPr>
          <w:b/>
          <w:bCs/>
        </w:rPr>
        <w:t>Parallelfundstellen:</w:t>
      </w:r>
    </w:p>
    <w:p w14:paraId="20A29B5F" w14:textId="77777777" w:rsidR="00B76A38" w:rsidRDefault="00000000">
      <w:pPr>
        <w:pStyle w:val="printcontentdivnotlawversion"/>
        <w:spacing w:line="360" w:lineRule="auto"/>
        <w:ind w:left="150" w:right="150"/>
      </w:pPr>
      <w:r>
        <w:t>Entscheidungen | BeckRS 2007, 13422 | IBRRS 2007, 3999 | LSK 2007, 360541 (Ls.) | Entscheidungsbesprechungen | NJW-Spezial 2007, 453 | FD-InsR 2007, 240782 (Bußhardt) | LMK 2007, 243216 (Jacoby) | Weitere Fundstellen | BGHZ 173, 286 | DZWir 2007, 522 (m. Anm. Rechtsanwalt Harald Heinze) | InVo 2007, 493 | LMK 2007, 243216 (m. Anm. Professor Dr. Florian Jacoby) | MDR 2007, 1395 | ZInsO 2007, 939 | ZIP 2007, 1666</w:t>
      </w:r>
    </w:p>
    <w:p w14:paraId="192F5984" w14:textId="06447CB6" w:rsidR="00B76A38" w:rsidRDefault="00B76A38">
      <w:pPr>
        <w:pStyle w:val="tdm-long"/>
        <w:spacing w:before="225" w:after="2"/>
        <w:ind w:right="150"/>
        <w:rPr>
          <w:sz w:val="16"/>
          <w:szCs w:val="16"/>
        </w:rPr>
      </w:pPr>
    </w:p>
    <w:sectPr w:rsidR="00B76A38">
      <w:headerReference w:type="even" r:id="rId132"/>
      <w:headerReference w:type="default" r:id="rId133"/>
      <w:footerReference w:type="even" r:id="rId134"/>
      <w:footerReference w:type="default" r:id="rId135"/>
      <w:headerReference w:type="first" r:id="rId136"/>
      <w:footerReference w:type="first" r:id="rId137"/>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2F6819" w14:textId="77777777" w:rsidR="008147C2" w:rsidRDefault="008147C2">
      <w:r>
        <w:separator/>
      </w:r>
    </w:p>
  </w:endnote>
  <w:endnote w:type="continuationSeparator" w:id="0">
    <w:p w14:paraId="75750A2C" w14:textId="77777777" w:rsidR="008147C2" w:rsidRDefault="00814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643025" w14:textId="77777777" w:rsidR="00C15B02" w:rsidRDefault="00C15B0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17324D" w14:textId="00824E6F" w:rsidR="00B76A38" w:rsidRDefault="00B76A3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1FC2D4" w14:textId="77777777" w:rsidR="00C15B02" w:rsidRDefault="00C15B0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5246CD" w14:textId="77777777" w:rsidR="008147C2" w:rsidRDefault="008147C2">
      <w:r>
        <w:separator/>
      </w:r>
    </w:p>
  </w:footnote>
  <w:footnote w:type="continuationSeparator" w:id="0">
    <w:p w14:paraId="799B6DEC" w14:textId="77777777" w:rsidR="008147C2" w:rsidRDefault="008147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75BC9" w14:textId="77777777" w:rsidR="00C15B02" w:rsidRDefault="00C15B0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45C887" w14:textId="10116460" w:rsidR="00B76A38" w:rsidRDefault="00B76A3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A0E456" w14:textId="77777777" w:rsidR="00C15B02" w:rsidRDefault="00C15B02">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A38"/>
    <w:rsid w:val="00054B42"/>
    <w:rsid w:val="008147C2"/>
    <w:rsid w:val="00B76A38"/>
    <w:rsid w:val="00C15B0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F00D6"/>
  <w15:docId w15:val="{493FA75C-6498-0C4B-8676-4C90192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character" w:customStyle="1" w:styleId="emsmall">
    <w:name w:val="em_small"/>
    <w:basedOn w:val="em"/>
    <w:rPr>
      <w:i w:val="0"/>
      <w:iCs w:val="0"/>
      <w:sz w:val="24"/>
      <w:szCs w:val="24"/>
    </w:r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C15B02"/>
    <w:pPr>
      <w:tabs>
        <w:tab w:val="center" w:pos="4536"/>
        <w:tab w:val="right" w:pos="9072"/>
      </w:tabs>
    </w:pPr>
  </w:style>
  <w:style w:type="character" w:customStyle="1" w:styleId="KopfzeileZchn">
    <w:name w:val="Kopfzeile Zchn"/>
    <w:basedOn w:val="Absatz-Standardschriftart"/>
    <w:link w:val="Kopfzeile"/>
    <w:uiPriority w:val="99"/>
    <w:rsid w:val="00C15B02"/>
    <w:rPr>
      <w:color w:val="141414"/>
      <w:sz w:val="22"/>
      <w:szCs w:val="22"/>
    </w:rPr>
  </w:style>
  <w:style w:type="paragraph" w:styleId="Fuzeile">
    <w:name w:val="footer"/>
    <w:basedOn w:val="Standard"/>
    <w:link w:val="FuzeileZchn"/>
    <w:uiPriority w:val="99"/>
    <w:unhideWhenUsed/>
    <w:rsid w:val="00C15B02"/>
    <w:pPr>
      <w:tabs>
        <w:tab w:val="center" w:pos="4536"/>
        <w:tab w:val="right" w:pos="9072"/>
      </w:tabs>
    </w:pPr>
  </w:style>
  <w:style w:type="character" w:customStyle="1" w:styleId="FuzeileZchn">
    <w:name w:val="Fußzeile Zchn"/>
    <w:basedOn w:val="Absatz-Standardschriftart"/>
    <w:link w:val="Fuzeile"/>
    <w:uiPriority w:val="99"/>
    <w:rsid w:val="00C15B02"/>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300&amp;z=BGHZ&amp;b=169&amp;s=17" TargetMode="External"/><Relationship Id="rId21" Type="http://schemas.openxmlformats.org/officeDocument/2006/relationships/hyperlink" Target="https://beck-online.beck.de/?typ=reference&amp;y=100&amp;g=INSO&amp;p=17&amp;x=2" TargetMode="External"/><Relationship Id="rId42" Type="http://schemas.openxmlformats.org/officeDocument/2006/relationships/hyperlink" Target="https://beck-online.beck.de/?typ=reference&amp;y=300&amp;z=BGHZ&amp;b=163&amp;s=137" TargetMode="External"/><Relationship Id="rId63" Type="http://schemas.openxmlformats.org/officeDocument/2006/relationships/hyperlink" Target="https://beck-online.beck.de/?typ=reference&amp;y=100&amp;g=INSO&amp;p=17" TargetMode="External"/><Relationship Id="rId84" Type="http://schemas.openxmlformats.org/officeDocument/2006/relationships/hyperlink" Target="https://beck-online.beck.de/?typ=reference&amp;y=300&amp;z=BGHZ&amp;b=169&amp;s=17" TargetMode="External"/><Relationship Id="rId138" Type="http://schemas.openxmlformats.org/officeDocument/2006/relationships/fontTable" Target="fontTable.xml"/><Relationship Id="rId16" Type="http://schemas.openxmlformats.org/officeDocument/2006/relationships/hyperlink" Target="https://beck-online.beck.de/?typ=reference&amp;y=300&amp;z=NJW&amp;b=2006&amp;s=3553" TargetMode="External"/><Relationship Id="rId107" Type="http://schemas.openxmlformats.org/officeDocument/2006/relationships/hyperlink" Target="https://beck-online.beck.de/?typ=reference&amp;y=300&amp;z=NZI&amp;b=2005&amp;s=547" TargetMode="External"/><Relationship Id="rId11" Type="http://schemas.openxmlformats.org/officeDocument/2006/relationships/hyperlink" Target="https://beck-online.beck.de/?typ=reference&amp;y=100&amp;g=INSO&amp;p=17" TargetMode="External"/><Relationship Id="rId32" Type="http://schemas.openxmlformats.org/officeDocument/2006/relationships/hyperlink" Target="https://beck-online.beck.de/?typ=reference&amp;y=300&amp;z=WM&amp;b=1995&amp;s=1114" TargetMode="External"/><Relationship Id="rId37" Type="http://schemas.openxmlformats.org/officeDocument/2006/relationships/hyperlink" Target="https://beck-online.beck.de/?typ=reference&amp;y=300&amp;z=NZI&amp;b=1998&amp;s=118" TargetMode="External"/><Relationship Id="rId53" Type="http://schemas.openxmlformats.org/officeDocument/2006/relationships/hyperlink" Target="https://beck-online.beck.de/?typ=reference&amp;y=100&amp;g=INSO&amp;p=17" TargetMode="External"/><Relationship Id="rId58" Type="http://schemas.openxmlformats.org/officeDocument/2006/relationships/hyperlink" Target="https://beck-online.beck.de/?typ=reference&amp;y=300&amp;z=NZI&amp;b=1998&amp;s=118" TargetMode="External"/><Relationship Id="rId74" Type="http://schemas.openxmlformats.org/officeDocument/2006/relationships/hyperlink" Target="https://beck-online.beck.de/?typ=reference&amp;y=100&amp;g=BGB&amp;p=271" TargetMode="External"/><Relationship Id="rId79" Type="http://schemas.openxmlformats.org/officeDocument/2006/relationships/hyperlink" Target="https://beck-online.beck.de/?typ=reference&amp;y=300&amp;z=WM&amp;b=2006&amp;s=2312" TargetMode="External"/><Relationship Id="rId102" Type="http://schemas.openxmlformats.org/officeDocument/2006/relationships/hyperlink" Target="https://beck-online.beck.de/?typ=reference&amp;y=100&amp;g=INSO&amp;p=14" TargetMode="External"/><Relationship Id="rId123" Type="http://schemas.openxmlformats.org/officeDocument/2006/relationships/hyperlink" Target="https://beck-online.beck.de/?typ=reference&amp;y=100&amp;g=INSO&amp;p=17" TargetMode="External"/><Relationship Id="rId128" Type="http://schemas.openxmlformats.org/officeDocument/2006/relationships/hyperlink" Target="https://beck-online.beck.de/?typ=reference&amp;y=300&amp;z=NZI&amp;b=2007&amp;s=143" TargetMode="External"/><Relationship Id="rId5" Type="http://schemas.openxmlformats.org/officeDocument/2006/relationships/endnotes" Target="endnotes.xml"/><Relationship Id="rId90" Type="http://schemas.openxmlformats.org/officeDocument/2006/relationships/hyperlink" Target="https://beck-online.beck.de/?typ=reference&amp;y=300&amp;z=NJW&amp;b=2005&amp;s=3062" TargetMode="External"/><Relationship Id="rId95" Type="http://schemas.openxmlformats.org/officeDocument/2006/relationships/hyperlink" Target="https://beck-online.beck.de/?typ=reference&amp;y=300&amp;z=BGHZ&amp;b=163&amp;s=134" TargetMode="External"/><Relationship Id="rId22" Type="http://schemas.openxmlformats.org/officeDocument/2006/relationships/hyperlink" Target="https://beck-online.beck.de/?typ=reference&amp;y=100&amp;g=INSO&amp;p=17" TargetMode="External"/><Relationship Id="rId27" Type="http://schemas.openxmlformats.org/officeDocument/2006/relationships/hyperlink" Target="https://beck-online.beck.de/?typ=reference&amp;y=300&amp;z=BGHZ&amp;b=118&amp;s=171" TargetMode="External"/><Relationship Id="rId43" Type="http://schemas.openxmlformats.org/officeDocument/2006/relationships/hyperlink" Target="https://beck-online.beck.de/?typ=reference&amp;y=300&amp;z=NJW&amp;b=2005&amp;s=3062" TargetMode="External"/><Relationship Id="rId48" Type="http://schemas.openxmlformats.org/officeDocument/2006/relationships/hyperlink" Target="https://beck-online.beck.de/?typ=reference&amp;y=100&amp;g=BGB&amp;p=271&amp;x=1" TargetMode="External"/><Relationship Id="rId64" Type="http://schemas.openxmlformats.org/officeDocument/2006/relationships/hyperlink" Target="https://beck-online.beck.de/?typ=reference&amp;y=100&amp;g=INSO&amp;p=17&amp;x=1" TargetMode="External"/><Relationship Id="rId69" Type="http://schemas.openxmlformats.org/officeDocument/2006/relationships/hyperlink" Target="https://beck-online.beck.de/?typ=reference&amp;y=100&amp;g=INSO&amp;p=17" TargetMode="External"/><Relationship Id="rId113" Type="http://schemas.openxmlformats.org/officeDocument/2006/relationships/hyperlink" Target="https://beck-online.beck.de/?typ=reference&amp;y=100&amp;g=ZPO&amp;p=570&amp;x=3" TargetMode="External"/><Relationship Id="rId118" Type="http://schemas.openxmlformats.org/officeDocument/2006/relationships/hyperlink" Target="https://beck-online.beck.de/?typ=reference&amp;y=300&amp;z=NJW&amp;b=2006&amp;s=3553" TargetMode="External"/><Relationship Id="rId134" Type="http://schemas.openxmlformats.org/officeDocument/2006/relationships/footer" Target="footer1.xml"/><Relationship Id="rId139" Type="http://schemas.openxmlformats.org/officeDocument/2006/relationships/theme" Target="theme/theme1.xml"/><Relationship Id="rId80" Type="http://schemas.openxmlformats.org/officeDocument/2006/relationships/hyperlink" Target="https://beck-online.beck.de/?typ=reference&amp;y=300&amp;z=WM&amp;b=2006&amp;s=2314" TargetMode="External"/><Relationship Id="rId85" Type="http://schemas.openxmlformats.org/officeDocument/2006/relationships/hyperlink" Target="https://beck-online.beck.de/?typ=reference&amp;y=300&amp;z=NJW&amp;b=2006&amp;s=3553" TargetMode="External"/><Relationship Id="rId12" Type="http://schemas.openxmlformats.org/officeDocument/2006/relationships/hyperlink" Target="https://beck-online.beck.de/?typ=reference&amp;y=100&amp;g=INSO&amp;p=17&amp;x=1" TargetMode="External"/><Relationship Id="rId17" Type="http://schemas.openxmlformats.org/officeDocument/2006/relationships/hyperlink" Target="https://beck-online.beck.de/?typ=reference&amp;y=300&amp;z=NZI&amp;b=2006&amp;s=693" TargetMode="External"/><Relationship Id="rId33" Type="http://schemas.openxmlformats.org/officeDocument/2006/relationships/hyperlink" Target="https://beck-online.beck.de/?typ=reference&amp;y=300&amp;z=NJW&amp;b=1998&amp;s=607" TargetMode="External"/><Relationship Id="rId38" Type="http://schemas.openxmlformats.org/officeDocument/2006/relationships/hyperlink" Target="https://beck-online.beck.de/?typ=reference&amp;y=300&amp;z=WM&amp;b=1998&amp;s=2345" TargetMode="External"/><Relationship Id="rId59" Type="http://schemas.openxmlformats.org/officeDocument/2006/relationships/hyperlink" Target="https://beck-online.beck.de/?typ=reference&amp;y=300&amp;z=WM&amp;b=1998&amp;s=2345" TargetMode="External"/><Relationship Id="rId103" Type="http://schemas.openxmlformats.org/officeDocument/2006/relationships/hyperlink" Target="https://beck-online.beck.de/?typ=reference&amp;y=100&amp;g=INSO&amp;p=5" TargetMode="External"/><Relationship Id="rId108" Type="http://schemas.openxmlformats.org/officeDocument/2006/relationships/hyperlink" Target="https://beck-online.beck.de/?typ=reference&amp;y=100&amp;g=ZPO&amp;p=577" TargetMode="External"/><Relationship Id="rId124" Type="http://schemas.openxmlformats.org/officeDocument/2006/relationships/hyperlink" Target="https://beck-online.beck.de/?typ=reference&amp;y=100&amp;g=INSO&amp;p=17&amp;x=2" TargetMode="External"/><Relationship Id="rId129" Type="http://schemas.openxmlformats.org/officeDocument/2006/relationships/hyperlink" Target="https://beck-online.beck.de/?typ=reference&amp;y=300&amp;z=NJW&amp;b=2005&amp;s=1279" TargetMode="External"/><Relationship Id="rId54" Type="http://schemas.openxmlformats.org/officeDocument/2006/relationships/hyperlink" Target="https://beck-online.beck.de/?typ=reference&amp;y=100&amp;g=INSO&amp;p=17&amp;x=2" TargetMode="External"/><Relationship Id="rId70" Type="http://schemas.openxmlformats.org/officeDocument/2006/relationships/hyperlink" Target="https://beck-online.beck.de/?typ=reference&amp;y=100&amp;g=BGB&amp;p=271" TargetMode="External"/><Relationship Id="rId75" Type="http://schemas.openxmlformats.org/officeDocument/2006/relationships/hyperlink" Target="https://beck-online.beck.de/?typ=reference&amp;y=100&amp;g=INSO&amp;p=17" TargetMode="External"/><Relationship Id="rId91" Type="http://schemas.openxmlformats.org/officeDocument/2006/relationships/hyperlink" Target="https://beck-online.beck.de/?typ=reference&amp;y=300&amp;z=NZI&amp;b=2005&amp;s=547" TargetMode="External"/><Relationship Id="rId96" Type="http://schemas.openxmlformats.org/officeDocument/2006/relationships/hyperlink" Target="https://beck-online.beck.de/?typ=reference&amp;y=300&amp;z=BGHZ&amp;b=163&amp;s=145" TargetMode="External"/><Relationship Id="rId1" Type="http://schemas.openxmlformats.org/officeDocument/2006/relationships/styles" Target="styles.xml"/><Relationship Id="rId6" Type="http://schemas.openxmlformats.org/officeDocument/2006/relationships/hyperlink" Target="https://beck-online.beck.de/?typ=reference&amp;y=100&amp;g=INSO&amp;p=17" TargetMode="External"/><Relationship Id="rId23" Type="http://schemas.openxmlformats.org/officeDocument/2006/relationships/hyperlink" Target="https://beck-online.beck.de/?typ=reference&amp;y=100&amp;g=INSO&amp;p=17&amp;x=2" TargetMode="External"/><Relationship Id="rId28" Type="http://schemas.openxmlformats.org/officeDocument/2006/relationships/hyperlink" Target="https://beck-online.beck.de/?typ=reference&amp;y=300&amp;z=BGHZ&amp;b=118&amp;s=174" TargetMode="External"/><Relationship Id="rId49" Type="http://schemas.openxmlformats.org/officeDocument/2006/relationships/hyperlink" Target="https://beck-online.beck.de/?typ=reference&amp;y=100&amp;g=INSO&amp;p=17" TargetMode="External"/><Relationship Id="rId114" Type="http://schemas.openxmlformats.org/officeDocument/2006/relationships/hyperlink" Target="https://beck-online.beck.de/?typ=reference&amp;y=300&amp;z=BGHZ&amp;b=169&amp;s=17" TargetMode="External"/><Relationship Id="rId119" Type="http://schemas.openxmlformats.org/officeDocument/2006/relationships/hyperlink" Target="https://beck-online.beck.de/?typ=reference&amp;y=300&amp;z=NZI&amp;b=2006&amp;s=693" TargetMode="External"/><Relationship Id="rId44" Type="http://schemas.openxmlformats.org/officeDocument/2006/relationships/hyperlink" Target="https://beck-online.beck.de/?typ=reference&amp;y=300&amp;z=NZI&amp;b=2005&amp;s=547" TargetMode="External"/><Relationship Id="rId60" Type="http://schemas.openxmlformats.org/officeDocument/2006/relationships/hyperlink" Target="https://beck-online.beck.de/?typ=reference&amp;y=100&amp;g=INSO&amp;p=17" TargetMode="External"/><Relationship Id="rId65" Type="http://schemas.openxmlformats.org/officeDocument/2006/relationships/hyperlink" Target="https://beck-online.beck.de/?typ=reference&amp;y=100&amp;g=INSO&amp;p=17" TargetMode="External"/><Relationship Id="rId81" Type="http://schemas.openxmlformats.org/officeDocument/2006/relationships/hyperlink" Target="https://beck-online.beck.de/?typ=reference&amp;y=100&amp;g=INSO&amp;p=26" TargetMode="External"/><Relationship Id="rId86" Type="http://schemas.openxmlformats.org/officeDocument/2006/relationships/hyperlink" Target="https://beck-online.beck.de/?typ=reference&amp;y=300&amp;z=NZI&amp;b=2006&amp;s=693" TargetMode="External"/><Relationship Id="rId130" Type="http://schemas.openxmlformats.org/officeDocument/2006/relationships/hyperlink" Target="https://beck-online.beck.de/?typ=reference&amp;y=300&amp;z=NZI&amp;b=2005&amp;s=342" TargetMode="External"/><Relationship Id="rId135" Type="http://schemas.openxmlformats.org/officeDocument/2006/relationships/footer" Target="footer2.xml"/><Relationship Id="rId13" Type="http://schemas.openxmlformats.org/officeDocument/2006/relationships/hyperlink" Target="https://beck-online.beck.de/?typ=reference&amp;y=100&amp;g=INSO&amp;p=17" TargetMode="External"/><Relationship Id="rId18" Type="http://schemas.openxmlformats.org/officeDocument/2006/relationships/hyperlink" Target="https://beck-online.beck.de/?typ=reference&amp;y=100&amp;g=INSO&amp;p=17" TargetMode="External"/><Relationship Id="rId39" Type="http://schemas.openxmlformats.org/officeDocument/2006/relationships/hyperlink" Target="https://beck-online.beck.de/?typ=reference&amp;y=300&amp;z=WM&amp;b=1998&amp;s=2346" TargetMode="External"/><Relationship Id="rId109" Type="http://schemas.openxmlformats.org/officeDocument/2006/relationships/hyperlink" Target="https://beck-online.beck.de/?typ=reference&amp;y=100&amp;g=ZPO&amp;p=577&amp;x=4" TargetMode="External"/><Relationship Id="rId34" Type="http://schemas.openxmlformats.org/officeDocument/2006/relationships/hyperlink" Target="https://beck-online.beck.de/?typ=reference&amp;y=300&amp;z=WM&amp;b=1997&amp;s=2134" TargetMode="External"/><Relationship Id="rId50" Type="http://schemas.openxmlformats.org/officeDocument/2006/relationships/hyperlink" Target="https://beck-online.beck.de/?typ=reference&amp;y=100&amp;g=BGB&amp;p=271" TargetMode="External"/><Relationship Id="rId55" Type="http://schemas.openxmlformats.org/officeDocument/2006/relationships/hyperlink" Target="https://beck-online.beck.de/?typ=reference&amp;y=100&amp;g=INSO&amp;p=5" TargetMode="External"/><Relationship Id="rId76" Type="http://schemas.openxmlformats.org/officeDocument/2006/relationships/hyperlink" Target="https://beck-online.beck.de/?typ=reference&amp;y=100&amp;g=INSO&amp;p=17&amp;x=2" TargetMode="External"/><Relationship Id="rId97" Type="http://schemas.openxmlformats.org/officeDocument/2006/relationships/hyperlink" Target="https://beck-online.beck.de/?typ=reference&amp;y=300&amp;z=NJW&amp;b=2005&amp;s=3062" TargetMode="External"/><Relationship Id="rId104" Type="http://schemas.openxmlformats.org/officeDocument/2006/relationships/hyperlink" Target="https://beck-online.beck.de/?typ=reference&amp;y=300&amp;z=BGHZ&amp;b=163&amp;s=134" TargetMode="External"/><Relationship Id="rId120" Type="http://schemas.openxmlformats.org/officeDocument/2006/relationships/hyperlink" Target="https://beck-online.beck.de/?typ=reference&amp;y=100&amp;g=GKG&amp;p=58" TargetMode="External"/><Relationship Id="rId125" Type="http://schemas.openxmlformats.org/officeDocument/2006/relationships/hyperlink" Target="https://beck-online.beck.de/?typ=reference&amp;y=300&amp;z=NJW&amp;b=2005&amp;s=3041" TargetMode="External"/><Relationship Id="rId7" Type="http://schemas.openxmlformats.org/officeDocument/2006/relationships/hyperlink" Target="https://beck-online.beck.de/?typ=reference&amp;y=100&amp;g=INSO&amp;p=17&amp;x=2" TargetMode="External"/><Relationship Id="rId71" Type="http://schemas.openxmlformats.org/officeDocument/2006/relationships/hyperlink" Target="https://beck-online.beck.de/?typ=reference&amp;y=100&amp;g=BGB&amp;p=271&amp;x=1" TargetMode="External"/><Relationship Id="rId92" Type="http://schemas.openxmlformats.org/officeDocument/2006/relationships/hyperlink" Target="https://beck-online.beck.de/?typ=reference&amp;y=300&amp;z=NZI&amp;b=2007&amp;s=36" TargetMode="External"/><Relationship Id="rId2" Type="http://schemas.openxmlformats.org/officeDocument/2006/relationships/settings" Target="settings.xml"/><Relationship Id="rId29" Type="http://schemas.openxmlformats.org/officeDocument/2006/relationships/hyperlink" Target="https://beck-online.beck.de/?typ=reference&amp;y=300&amp;z=NJW&amp;b=1992&amp;s=1960" TargetMode="External"/><Relationship Id="rId24" Type="http://schemas.openxmlformats.org/officeDocument/2006/relationships/hyperlink" Target="https://beck-online.beck.de/?typ=reference&amp;y=100&amp;g=INSO&amp;p=17" TargetMode="External"/><Relationship Id="rId40" Type="http://schemas.openxmlformats.org/officeDocument/2006/relationships/hyperlink" Target="https://beck-online.beck.de/?typ=reference&amp;y=100&amp;g=INSO&amp;p=17" TargetMode="External"/><Relationship Id="rId45" Type="http://schemas.openxmlformats.org/officeDocument/2006/relationships/hyperlink" Target="https://beck-online.beck.de/?typ=reference&amp;y=100&amp;g=BGB&amp;p=271" TargetMode="External"/><Relationship Id="rId66" Type="http://schemas.openxmlformats.org/officeDocument/2006/relationships/hyperlink" Target="https://beck-online.beck.de/?typ=reference&amp;y=100&amp;g=INSO&amp;p=17&amp;x=2" TargetMode="External"/><Relationship Id="rId87" Type="http://schemas.openxmlformats.org/officeDocument/2006/relationships/hyperlink" Target="https://beck-online.beck.de/?typ=reference&amp;y=300&amp;z=NZI&amp;b=2006&amp;s=694" TargetMode="External"/><Relationship Id="rId110" Type="http://schemas.openxmlformats.org/officeDocument/2006/relationships/hyperlink" Target="https://beck-online.beck.de/?typ=reference&amp;y=100&amp;g=ZPO&amp;p=575" TargetMode="External"/><Relationship Id="rId115" Type="http://schemas.openxmlformats.org/officeDocument/2006/relationships/hyperlink" Target="https://beck-online.beck.de/?typ=reference&amp;y=300&amp;z=NJW&amp;b=2006&amp;s=3553" TargetMode="External"/><Relationship Id="rId131" Type="http://schemas.openxmlformats.org/officeDocument/2006/relationships/hyperlink" Target="https://beck-online.beck.de/?typ=reference&amp;y=300&amp;z=NZI&amp;b=2006&amp;s=405" TargetMode="External"/><Relationship Id="rId136" Type="http://schemas.openxmlformats.org/officeDocument/2006/relationships/header" Target="header3.xml"/><Relationship Id="rId61" Type="http://schemas.openxmlformats.org/officeDocument/2006/relationships/hyperlink" Target="https://beck-online.beck.de/?typ=reference&amp;y=100&amp;g=INSO&amp;p=17&amp;x=2" TargetMode="External"/><Relationship Id="rId82" Type="http://schemas.openxmlformats.org/officeDocument/2006/relationships/hyperlink" Target="https://beck-online.beck.de/?typ=reference&amp;y=100&amp;g=INSO&amp;p=26&amp;x=1" TargetMode="External"/><Relationship Id="rId19" Type="http://schemas.openxmlformats.org/officeDocument/2006/relationships/hyperlink" Target="https://beck-online.beck.de/?typ=reference&amp;y=100&amp;g=INSO&amp;p=17&amp;x=2" TargetMode="External"/><Relationship Id="rId14" Type="http://schemas.openxmlformats.org/officeDocument/2006/relationships/hyperlink" Target="https://beck-online.beck.de/?typ=reference&amp;y=100&amp;g=INSO&amp;p=17&amp;x=2" TargetMode="External"/><Relationship Id="rId30" Type="http://schemas.openxmlformats.org/officeDocument/2006/relationships/hyperlink" Target="https://beck-online.beck.de/?typ=reference&amp;y=300&amp;z=NJW&amp;b=1995&amp;s=2103" TargetMode="External"/><Relationship Id="rId35" Type="http://schemas.openxmlformats.org/officeDocument/2006/relationships/hyperlink" Target="https://beck-online.beck.de/?typ=reference&amp;y=300&amp;z=WM&amp;b=1997&amp;s=2135" TargetMode="External"/><Relationship Id="rId56" Type="http://schemas.openxmlformats.org/officeDocument/2006/relationships/hyperlink" Target="https://beck-online.beck.de/?typ=reference&amp;y=100&amp;g=INSO&amp;p=5&amp;x=1" TargetMode="External"/><Relationship Id="rId77" Type="http://schemas.openxmlformats.org/officeDocument/2006/relationships/hyperlink" Target="https://beck-online.beck.de/?typ=reference&amp;y=100&amp;g=INSO&amp;p=17" TargetMode="External"/><Relationship Id="rId100" Type="http://schemas.openxmlformats.org/officeDocument/2006/relationships/hyperlink" Target="https://beck-online.beck.de/?typ=reference&amp;y=300&amp;z=WM&amp;b=2006&amp;s=2312" TargetMode="External"/><Relationship Id="rId105" Type="http://schemas.openxmlformats.org/officeDocument/2006/relationships/hyperlink" Target="https://beck-online.beck.de/?typ=reference&amp;y=300&amp;z=BGHZ&amp;b=163&amp;s=145" TargetMode="External"/><Relationship Id="rId126" Type="http://schemas.openxmlformats.org/officeDocument/2006/relationships/hyperlink" Target="https://beck-online.beck.de/?typ=reference&amp;y=300&amp;z=NJW-RR&amp;b=2006&amp;s=1422" TargetMode="External"/><Relationship Id="rId8" Type="http://schemas.openxmlformats.org/officeDocument/2006/relationships/hyperlink" Target="https://beck-online.beck.de/?typ=reference&amp;y=100&amp;g=INSO&amp;p=17" TargetMode="External"/><Relationship Id="rId51" Type="http://schemas.openxmlformats.org/officeDocument/2006/relationships/hyperlink" Target="https://beck-online.beck.de/?typ=reference&amp;y=100&amp;g=BGB&amp;p=271&amp;x=1" TargetMode="External"/><Relationship Id="rId72" Type="http://schemas.openxmlformats.org/officeDocument/2006/relationships/hyperlink" Target="https://beck-online.beck.de/?typ=reference&amp;y=100&amp;g=BGB&amp;p=614" TargetMode="External"/><Relationship Id="rId93" Type="http://schemas.openxmlformats.org/officeDocument/2006/relationships/hyperlink" Target="https://beck-online.beck.de/?typ=reference&amp;y=300&amp;z=WM&amp;b=2006&amp;s=2312" TargetMode="External"/><Relationship Id="rId98" Type="http://schemas.openxmlformats.org/officeDocument/2006/relationships/hyperlink" Target="https://beck-online.beck.de/?typ=reference&amp;y=300&amp;z=NZI&amp;b=2005&amp;s=547" TargetMode="External"/><Relationship Id="rId121" Type="http://schemas.openxmlformats.org/officeDocument/2006/relationships/hyperlink" Target="https://beck-online.beck.de/?typ=reference&amp;y=100&amp;g=GKG&amp;p=58&amp;x=3" TargetMode="External"/><Relationship Id="rId3" Type="http://schemas.openxmlformats.org/officeDocument/2006/relationships/webSettings" Target="webSettings.xml"/><Relationship Id="rId25" Type="http://schemas.openxmlformats.org/officeDocument/2006/relationships/hyperlink" Target="https://beck-online.beck.de/?typ=reference&amp;y=100&amp;g=INSO&amp;p=17&amp;x=2" TargetMode="External"/><Relationship Id="rId46" Type="http://schemas.openxmlformats.org/officeDocument/2006/relationships/hyperlink" Target="https://beck-online.beck.de/?typ=reference&amp;y=100&amp;g=INSO&amp;p=17" TargetMode="External"/><Relationship Id="rId67" Type="http://schemas.openxmlformats.org/officeDocument/2006/relationships/hyperlink" Target="https://beck-online.beck.de/?typ=reference&amp;y=100&amp;g=INSO&amp;p=17" TargetMode="External"/><Relationship Id="rId116" Type="http://schemas.openxmlformats.org/officeDocument/2006/relationships/hyperlink" Target="https://beck-online.beck.de/?typ=reference&amp;y=300&amp;z=NZI&amp;b=2006&amp;s=693" TargetMode="External"/><Relationship Id="rId137" Type="http://schemas.openxmlformats.org/officeDocument/2006/relationships/footer" Target="footer3.xml"/><Relationship Id="rId20" Type="http://schemas.openxmlformats.org/officeDocument/2006/relationships/hyperlink" Target="https://beck-online.beck.de/?typ=reference&amp;y=100&amp;g=INSO&amp;p=17" TargetMode="External"/><Relationship Id="rId41" Type="http://schemas.openxmlformats.org/officeDocument/2006/relationships/hyperlink" Target="https://beck-online.beck.de/?typ=reference&amp;y=300&amp;z=BGHZ&amp;b=163&amp;s=134" TargetMode="External"/><Relationship Id="rId62" Type="http://schemas.openxmlformats.org/officeDocument/2006/relationships/hyperlink" Target="https://beck-online.beck.de/?typ=reference&amp;y=100&amp;g=BGB&amp;p=271" TargetMode="External"/><Relationship Id="rId83" Type="http://schemas.openxmlformats.org/officeDocument/2006/relationships/hyperlink" Target="https://beck-online.beck.de/?typ=reference&amp;y=100&amp;g=INSO&amp;p=17" TargetMode="External"/><Relationship Id="rId88" Type="http://schemas.openxmlformats.org/officeDocument/2006/relationships/hyperlink" Target="https://beck-online.beck.de/?typ=reference&amp;y=300&amp;z=BGHZ&amp;b=163&amp;s=134" TargetMode="External"/><Relationship Id="rId111" Type="http://schemas.openxmlformats.org/officeDocument/2006/relationships/hyperlink" Target="https://beck-online.beck.de/?typ=reference&amp;y=100&amp;g=ZPO&amp;p=575&amp;x=5" TargetMode="External"/><Relationship Id="rId132" Type="http://schemas.openxmlformats.org/officeDocument/2006/relationships/header" Target="header1.xml"/><Relationship Id="rId15" Type="http://schemas.openxmlformats.org/officeDocument/2006/relationships/hyperlink" Target="https://beck-online.beck.de/?typ=reference&amp;y=300&amp;z=BGHZ&amp;b=169&amp;s=17" TargetMode="External"/><Relationship Id="rId36" Type="http://schemas.openxmlformats.org/officeDocument/2006/relationships/hyperlink" Target="https://beck-online.beck.de/?typ=reference&amp;y=300&amp;z=NJW-RR&amp;b=1999&amp;s=272" TargetMode="External"/><Relationship Id="rId57" Type="http://schemas.openxmlformats.org/officeDocument/2006/relationships/hyperlink" Target="https://beck-online.beck.de/?typ=reference&amp;y=300&amp;z=NJW-RR&amp;b=1999&amp;s=272" TargetMode="External"/><Relationship Id="rId106" Type="http://schemas.openxmlformats.org/officeDocument/2006/relationships/hyperlink" Target="https://beck-online.beck.de/?typ=reference&amp;y=300&amp;z=NJW&amp;b=2005&amp;s=3062" TargetMode="External"/><Relationship Id="rId127" Type="http://schemas.openxmlformats.org/officeDocument/2006/relationships/hyperlink" Target="https://beck-online.beck.de/?typ=reference&amp;y=300&amp;z=NZI&amp;b=2006&amp;s=591" TargetMode="External"/><Relationship Id="rId10" Type="http://schemas.openxmlformats.org/officeDocument/2006/relationships/hyperlink" Target="https://beck-online.beck.de/?typ=reference&amp;y=100&amp;g=INSO&amp;p=17&amp;x=2" TargetMode="External"/><Relationship Id="rId31" Type="http://schemas.openxmlformats.org/officeDocument/2006/relationships/hyperlink" Target="https://beck-online.beck.de/?typ=reference&amp;y=300&amp;z=WM&amp;b=1995&amp;s=1113" TargetMode="External"/><Relationship Id="rId52" Type="http://schemas.openxmlformats.org/officeDocument/2006/relationships/hyperlink" Target="https://beck-online.beck.de/?typ=reference&amp;y=100&amp;g=INSO&amp;p=17" TargetMode="External"/><Relationship Id="rId73" Type="http://schemas.openxmlformats.org/officeDocument/2006/relationships/hyperlink" Target="https://beck-online.beck.de/?typ=reference&amp;y=100&amp;g=INSO&amp;p=17" TargetMode="External"/><Relationship Id="rId78" Type="http://schemas.openxmlformats.org/officeDocument/2006/relationships/hyperlink" Target="https://beck-online.beck.de/?typ=reference&amp;y=300&amp;z=NZI&amp;b=2007&amp;s=36" TargetMode="External"/><Relationship Id="rId94" Type="http://schemas.openxmlformats.org/officeDocument/2006/relationships/hyperlink" Target="https://beck-online.beck.de/?typ=reference&amp;y=300&amp;z=WM&amp;b=2006&amp;s=2314" TargetMode="External"/><Relationship Id="rId99" Type="http://schemas.openxmlformats.org/officeDocument/2006/relationships/hyperlink" Target="https://beck-online.beck.de/?typ=reference&amp;y=300&amp;z=NZI&amp;b=2007&amp;s=36" TargetMode="External"/><Relationship Id="rId101" Type="http://schemas.openxmlformats.org/officeDocument/2006/relationships/hyperlink" Target="https://beck-online.beck.de/?typ=reference&amp;y=300&amp;z=WM&amp;b=2006&amp;s=2314" TargetMode="External"/><Relationship Id="rId122" Type="http://schemas.openxmlformats.org/officeDocument/2006/relationships/hyperlink" Target="https://beck-online.beck.de/?typ=reference&amp;y=100&amp;g=GKG&amp;p=58&amp;x=1" TargetMode="External"/><Relationship Id="rId4" Type="http://schemas.openxmlformats.org/officeDocument/2006/relationships/footnotes" Target="footnotes.xml"/><Relationship Id="rId9" Type="http://schemas.openxmlformats.org/officeDocument/2006/relationships/hyperlink" Target="https://beck-online.beck.de/?typ=reference&amp;y=100&amp;g=INSO&amp;p=17" TargetMode="External"/><Relationship Id="rId26" Type="http://schemas.openxmlformats.org/officeDocument/2006/relationships/hyperlink" Target="https://beck-online.beck.de/?typ=reference&amp;y=100&amp;g=KO&amp;p=102" TargetMode="External"/><Relationship Id="rId47" Type="http://schemas.openxmlformats.org/officeDocument/2006/relationships/hyperlink" Target="https://beck-online.beck.de/?typ=reference&amp;y=100&amp;g=BGB&amp;p=271" TargetMode="External"/><Relationship Id="rId68" Type="http://schemas.openxmlformats.org/officeDocument/2006/relationships/hyperlink" Target="https://beck-online.beck.de/?typ=reference&amp;y=100&amp;g=INSO&amp;p=17&amp;x=2" TargetMode="External"/><Relationship Id="rId89" Type="http://schemas.openxmlformats.org/officeDocument/2006/relationships/hyperlink" Target="https://beck-online.beck.de/?typ=reference&amp;y=300&amp;z=BGHZ&amp;b=163&amp;s=145" TargetMode="External"/><Relationship Id="rId112" Type="http://schemas.openxmlformats.org/officeDocument/2006/relationships/hyperlink" Target="https://beck-online.beck.de/?typ=reference&amp;y=100&amp;g=ZPO&amp;p=570" TargetMode="External"/><Relationship Id="rId13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5279</Words>
  <Characters>32046</Characters>
  <Application>Microsoft Office Word</Application>
  <DocSecurity>0</DocSecurity>
  <Lines>471</Lines>
  <Paragraphs>85</Paragraphs>
  <ScaleCrop>false</ScaleCrop>
  <Company/>
  <LinksUpToDate>false</LinksUpToDate>
  <CharactersWithSpaces>37240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Fälligkeit einer Forderung i.S. von § 17 II InsO - Steuern und Bilanzen</dc:title>
  <dc:creator>beck-online.beck.de</dc:creator>
  <cp:lastModifiedBy>Martin Otten</cp:lastModifiedBy>
  <cp:revision>2</cp:revision>
  <dcterms:created xsi:type="dcterms:W3CDTF">2026-06-28T11:51:00Z</dcterms:created>
  <dcterms:modified xsi:type="dcterms:W3CDTF">2026-06-28T11:51:00Z</dcterms:modified>
</cp:coreProperties>
</file>