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542B834" w14:textId="3FC8A00F" w:rsidR="00591C75" w:rsidRDefault="00591C75">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01"/>
        <w:gridCol w:w="8389"/>
      </w:tblGrid>
      <w:tr w:rsidR="00591C75" w14:paraId="79066ACF" w14:textId="77777777">
        <w:tc>
          <w:tcPr>
            <w:tcW w:w="0" w:type="auto"/>
            <w:shd w:val="clear" w:color="auto" w:fill="F7F7F0"/>
            <w:tcMar>
              <w:top w:w="45" w:type="dxa"/>
              <w:left w:w="45" w:type="dxa"/>
              <w:bottom w:w="105" w:type="dxa"/>
              <w:right w:w="90" w:type="dxa"/>
            </w:tcMar>
            <w:hideMark/>
          </w:tcPr>
          <w:p w14:paraId="6BA16610" w14:textId="77777777" w:rsidR="00591C75" w:rsidRDefault="00591C75"/>
        </w:tc>
        <w:tc>
          <w:tcPr>
            <w:tcW w:w="0" w:type="auto"/>
            <w:shd w:val="clear" w:color="auto" w:fill="F7F7F0"/>
            <w:noWrap/>
            <w:tcMar>
              <w:top w:w="45" w:type="dxa"/>
              <w:left w:w="45" w:type="dxa"/>
              <w:bottom w:w="105" w:type="dxa"/>
              <w:right w:w="98" w:type="dxa"/>
            </w:tcMar>
            <w:hideMark/>
          </w:tcPr>
          <w:p w14:paraId="29D55ABA" w14:textId="77777777" w:rsidR="00591C75" w:rsidRDefault="00000000">
            <w:pPr>
              <w:pStyle w:val="printcontentdivdk2tablespanfundstelle"/>
            </w:pPr>
            <w:r>
              <w:t>BeckRS 2009, 2192</w:t>
            </w:r>
          </w:p>
        </w:tc>
      </w:tr>
    </w:tbl>
    <w:p w14:paraId="063C6DDB" w14:textId="77777777" w:rsidR="00591C75" w:rsidRDefault="00000000">
      <w:pPr>
        <w:pStyle w:val="divbocontentwrapperbocenterp"/>
        <w:pBdr>
          <w:top w:val="none" w:sz="0" w:space="8" w:color="auto"/>
          <w:bottom w:val="none" w:sz="0" w:space="8" w:color="auto"/>
          <w:right w:val="none" w:sz="0" w:space="13" w:color="auto"/>
        </w:pBdr>
        <w:spacing w:after="120" w:line="311" w:lineRule="atLeast"/>
        <w:ind w:left="450" w:right="410"/>
        <w:rPr>
          <w:b/>
          <w:bCs/>
          <w:color w:val="000000"/>
          <w:sz w:val="26"/>
          <w:szCs w:val="26"/>
        </w:rPr>
      </w:pPr>
      <w:r>
        <w:rPr>
          <w:rStyle w:val="any"/>
          <w:b/>
          <w:bCs/>
          <w:color w:val="000000"/>
          <w:sz w:val="26"/>
          <w:szCs w:val="26"/>
        </w:rPr>
        <w:t>BGH</w:t>
      </w:r>
      <w:r>
        <w:rPr>
          <w:b/>
          <w:bCs/>
          <w:color w:val="000000"/>
          <w:sz w:val="26"/>
          <w:szCs w:val="26"/>
        </w:rPr>
        <w:t xml:space="preserve">, </w:t>
      </w:r>
      <w:r>
        <w:rPr>
          <w:rStyle w:val="etyp"/>
          <w:b/>
          <w:bCs/>
          <w:color w:val="000000"/>
          <w:sz w:val="26"/>
          <w:szCs w:val="26"/>
        </w:rPr>
        <w:t>Beschluss</w:t>
      </w:r>
      <w:r>
        <w:rPr>
          <w:b/>
          <w:bCs/>
          <w:color w:val="000000"/>
          <w:sz w:val="26"/>
          <w:szCs w:val="26"/>
        </w:rPr>
        <w:t xml:space="preserve"> vom </w:t>
      </w:r>
      <w:r>
        <w:rPr>
          <w:rStyle w:val="any"/>
          <w:b/>
          <w:bCs/>
          <w:color w:val="000000"/>
          <w:sz w:val="26"/>
          <w:szCs w:val="26"/>
        </w:rPr>
        <w:t>23.10.2008</w:t>
      </w:r>
      <w:r>
        <w:rPr>
          <w:b/>
          <w:bCs/>
          <w:color w:val="000000"/>
          <w:sz w:val="26"/>
          <w:szCs w:val="26"/>
        </w:rPr>
        <w:t xml:space="preserve"> - </w:t>
      </w:r>
      <w:hyperlink r:id="rId6" w:history="1">
        <w:r>
          <w:rPr>
            <w:rStyle w:val="bocontentwrapperbocenteranotbeck-btn"/>
            <w:b/>
            <w:bCs/>
            <w:color w:val="000000"/>
            <w:sz w:val="26"/>
            <w:szCs w:val="26"/>
            <w:u w:val="single" w:color="000000"/>
          </w:rPr>
          <w:t>IX ZB 7/08</w:t>
        </w:r>
      </w:hyperlink>
    </w:p>
    <w:p w14:paraId="574F1830"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Titel:</w:t>
      </w:r>
    </w:p>
    <w:p w14:paraId="105FDB08"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color w:val="000000"/>
        </w:rPr>
      </w:pPr>
      <w:r>
        <w:rPr>
          <w:color w:val="000000"/>
        </w:rPr>
        <w:t>Glaubhaftmachung der Forderung und des Insolvenzgrundes</w:t>
      </w:r>
    </w:p>
    <w:p w14:paraId="48628378"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Normenkette:</w:t>
      </w:r>
    </w:p>
    <w:p w14:paraId="065A69F7"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color w:val="000000"/>
        </w:rPr>
      </w:pPr>
      <w:r>
        <w:rPr>
          <w:rStyle w:val="any"/>
          <w:color w:val="000000"/>
        </w:rPr>
        <w:t xml:space="preserve">InsO §§ </w:t>
      </w:r>
      <w:hyperlink r:id="rId7" w:history="1">
        <w:r>
          <w:rPr>
            <w:rStyle w:val="bocontentwrapperbocenteranotbeck-btn"/>
            <w:color w:val="000000"/>
            <w:u w:val="single" w:color="000000"/>
          </w:rPr>
          <w:t>14</w:t>
        </w:r>
      </w:hyperlink>
      <w:r>
        <w:rPr>
          <w:rStyle w:val="any"/>
          <w:color w:val="000000"/>
        </w:rPr>
        <w:t xml:space="preserve"> </w:t>
      </w:r>
      <w:hyperlink r:id="rId8" w:history="1">
        <w:r>
          <w:rPr>
            <w:rStyle w:val="bocontentwrapperbocenteranotbeck-btn"/>
            <w:color w:val="000000"/>
            <w:u w:val="single" w:color="000000"/>
          </w:rPr>
          <w:t>I</w:t>
        </w:r>
      </w:hyperlink>
      <w:r>
        <w:rPr>
          <w:rStyle w:val="any"/>
          <w:color w:val="000000"/>
        </w:rPr>
        <w:t xml:space="preserve">, </w:t>
      </w:r>
      <w:hyperlink r:id="rId9" w:history="1">
        <w:r>
          <w:rPr>
            <w:rStyle w:val="bocontentwrapperbocenteranotbeck-btn"/>
            <w:color w:val="000000"/>
            <w:u w:val="single" w:color="000000"/>
          </w:rPr>
          <w:t>16</w:t>
        </w:r>
      </w:hyperlink>
    </w:p>
    <w:p w14:paraId="559FD443"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Redaktionelle Leitsätze:</w:t>
      </w:r>
    </w:p>
    <w:p w14:paraId="6F9EFCA2"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b/>
          <w:bCs/>
          <w:color w:val="000000"/>
        </w:rPr>
      </w:pPr>
      <w:r>
        <w:rPr>
          <w:b/>
          <w:bCs/>
          <w:color w:val="000000"/>
        </w:rPr>
        <w:t>1. Die Glaubhaftmachung der Forderung und des Insolvenzgrundes kann auch in anderer Weise als durch die Vorlage eines Titels erfolgen.</w:t>
      </w:r>
    </w:p>
    <w:p w14:paraId="414EBB14"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b/>
          <w:bCs/>
          <w:color w:val="000000"/>
        </w:rPr>
      </w:pPr>
      <w:r>
        <w:rPr>
          <w:b/>
          <w:bCs/>
          <w:color w:val="000000"/>
        </w:rPr>
        <w:t>2. Die Eröffnungsvoraussetzungen müssen zum Zeitpunkt der Entscheidung des Gerichts über den Insolvenzantrag gegeben sein.</w:t>
      </w:r>
    </w:p>
    <w:p w14:paraId="046BBB39"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Rechtsgebiete:</w:t>
      </w:r>
    </w:p>
    <w:p w14:paraId="33FA1BBA"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color w:val="000000"/>
        </w:rPr>
      </w:pPr>
      <w:r>
        <w:rPr>
          <w:rStyle w:val="any"/>
          <w:color w:val="000000"/>
        </w:rPr>
        <w:t>Insolvenzrecht</w:t>
      </w:r>
      <w:r>
        <w:rPr>
          <w:color w:val="000000"/>
        </w:rPr>
        <w:t xml:space="preserve">, </w:t>
      </w:r>
      <w:r>
        <w:rPr>
          <w:rStyle w:val="any"/>
          <w:color w:val="000000"/>
        </w:rPr>
        <w:t>Wohnungseigentumsrecht</w:t>
      </w:r>
    </w:p>
    <w:p w14:paraId="1D0673E2"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Schlagworte:</w:t>
      </w:r>
    </w:p>
    <w:p w14:paraId="1B985941"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color w:val="000000"/>
        </w:rPr>
      </w:pPr>
      <w:r>
        <w:rPr>
          <w:color w:val="000000"/>
        </w:rPr>
        <w:t>Gehörsrüge, Insolvenzantrag, Liquidität</w:t>
      </w:r>
    </w:p>
    <w:p w14:paraId="3EA4D646"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Fundstellen:</w:t>
      </w:r>
    </w:p>
    <w:p w14:paraId="54BD1618"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645" w:right="345"/>
        <w:rPr>
          <w:color w:val="000000"/>
        </w:rPr>
      </w:pPr>
      <w:r>
        <w:rPr>
          <w:rStyle w:val="any"/>
          <w:color w:val="000000"/>
        </w:rPr>
        <w:t xml:space="preserve">WuM 2009, </w:t>
      </w:r>
      <w:hyperlink r:id="rId10" w:history="1">
        <w:r>
          <w:rPr>
            <w:rStyle w:val="bocontentwrapperbocenteranotbeck-btn"/>
            <w:color w:val="000000"/>
            <w:u w:val="single" w:color="000000"/>
          </w:rPr>
          <w:t>144</w:t>
        </w:r>
      </w:hyperlink>
    </w:p>
    <w:p w14:paraId="75056850"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645" w:right="345"/>
        <w:outlineLvl w:val="1"/>
        <w:rPr>
          <w:b/>
          <w:bCs/>
        </w:rPr>
      </w:pPr>
      <w:r>
        <w:rPr>
          <w:b/>
          <w:bCs/>
        </w:rPr>
        <w:t>Rechtskraft:</w:t>
      </w:r>
    </w:p>
    <w:p w14:paraId="6B7FBDD8"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495" w:line="360" w:lineRule="auto"/>
        <w:ind w:left="645" w:right="345"/>
        <w:rPr>
          <w:color w:val="000000"/>
        </w:rPr>
      </w:pPr>
      <w:r>
        <w:rPr>
          <w:color w:val="000000"/>
        </w:rPr>
        <w:t>rechtskräftig</w:t>
      </w:r>
    </w:p>
    <w:bookmarkStart w:id="0" w:name="Y-300-Z-BECKRS-B-2009-N-02192-NAME-SUMMA"/>
    <w:bookmarkEnd w:id="0"/>
    <w:p w14:paraId="1EA3002E" w14:textId="77777777" w:rsidR="00591C75" w:rsidRDefault="00000000">
      <w:pPr>
        <w:pStyle w:val="printcontenth2"/>
        <w:pBdr>
          <w:top w:val="single" w:sz="6" w:space="0" w:color="000000"/>
          <w:left w:val="single" w:sz="6" w:space="0" w:color="000000"/>
          <w:bottom w:val="single" w:sz="6" w:space="0" w:color="000000"/>
          <w:right w:val="single" w:sz="6" w:space="0" w:color="000000"/>
        </w:pBdr>
        <w:spacing w:line="360" w:lineRule="auto"/>
        <w:ind w:left="1395" w:right="345"/>
        <w:outlineLvl w:val="1"/>
        <w:rPr>
          <w:b/>
          <w:bCs/>
        </w:rPr>
      </w:pPr>
      <w:r>
        <w:fldChar w:fldCharType="begin"/>
      </w:r>
      <w:r>
        <w:instrText>HYPERLINK "https://rsw.beck.de/beck-online-service/services/faq-allgemein"</w:instrText>
      </w:r>
      <w:r>
        <w:fldChar w:fldCharType="separate"/>
      </w:r>
      <w:r>
        <w:rPr>
          <w:rStyle w:val="bocontentwrapperbocenteranotbeck-btn"/>
          <w:b/>
          <w:bCs/>
          <w:color w:val="000000"/>
          <w:u w:val="single" w:color="000000"/>
        </w:rPr>
        <w:t>KI-generierte Zusammenfassung:</w:t>
      </w:r>
      <w:r>
        <w:fldChar w:fldCharType="end"/>
      </w:r>
    </w:p>
    <w:p w14:paraId="6E4AB029"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120" w:line="360" w:lineRule="auto"/>
        <w:ind w:left="1395" w:right="345"/>
        <w:rPr>
          <w:color w:val="000000"/>
        </w:rPr>
      </w:pPr>
      <w:r>
        <w:rPr>
          <w:color w:val="000000"/>
        </w:rPr>
        <w:t>Das Gericht entschied, dass die Glaubhaftmachung der Forderung und des Insolvenzgrundes auch ohne Vorlage eines Titels erfolgen kann und die Eröffnungsvoraussetzungen zum Zeitpunkt der Entscheidung vorliegen müssen.</w:t>
      </w:r>
    </w:p>
    <w:p w14:paraId="425511BA" w14:textId="77777777" w:rsidR="00591C75" w:rsidRDefault="00000000">
      <w:pPr>
        <w:pStyle w:val="divbocontentwrapperbocenterp"/>
        <w:pBdr>
          <w:top w:val="single" w:sz="6" w:space="0" w:color="000000"/>
          <w:left w:val="single" w:sz="6" w:space="0" w:color="000000"/>
          <w:bottom w:val="single" w:sz="6" w:space="0" w:color="000000"/>
          <w:right w:val="single" w:sz="6" w:space="0" w:color="000000"/>
        </w:pBdr>
        <w:spacing w:after="495" w:line="360" w:lineRule="auto"/>
        <w:ind w:left="1395" w:right="345"/>
        <w:rPr>
          <w:color w:val="000000"/>
        </w:rPr>
      </w:pPr>
      <w:r>
        <w:rPr>
          <w:color w:val="000000"/>
        </w:rPr>
        <w:t xml:space="preserve">Die Gläubigerin hatte einen zulässigen Insolvenzantrag gestellt und ihre Forderung glaubhaft gemacht. Das Beschwerdegericht erkannte, dass die Glaubhaftmachung nicht zwingend durch einen vollstreckbaren Titel und ein Protokoll eines vergeblichen Vollstreckungsversuchs erfolgen muss. Es genügt, wenn der Gläubiger den Eröffnungsgrund auf andere Weise glaubhaft macht. Die Schuldnerin konnte ihre fälligen Wohngeldansprüche nicht mehr befriedigen, was aus einem Schreiben ihres Geschäftsführers hervorging. Zum Zeitpunkt der Entscheidung des Insolvenzgerichts lagen unbestritten fällige Verbindlichkeiten in Höhe von 600.000 € vor, denen nur </w:t>
      </w:r>
      <w:r>
        <w:rPr>
          <w:color w:val="000000"/>
        </w:rPr>
        <w:lastRenderedPageBreak/>
        <w:t>55.000 € liquide Mittel gegenüberstanden, was eine Liquiditätslücke von mehr als 90 % darstellte. Die Schuldnerin konnte nicht darlegen, dass sie zukünftig über ausreichende Mittel verfügen würde, um ihre Gläubiger vollständig zu befriedigen. Eine Verletzung des Anspruchs der Schuldnerin auf rechtliches Gehör lag nicht vor, da die Voraussetzungen für die Eröffnung des Insolvenzverfahrens gegeben waren.</w:t>
      </w:r>
    </w:p>
    <w:p w14:paraId="5495D793" w14:textId="77777777" w:rsidR="00591C75" w:rsidRDefault="00000000">
      <w:pPr>
        <w:pStyle w:val="printcontentdivnotlawversion"/>
        <w:spacing w:line="360" w:lineRule="auto"/>
        <w:ind w:right="150"/>
      </w:pPr>
      <w:bookmarkStart w:id="1" w:name="dtlAdetail"/>
      <w:r>
        <w:rPr>
          <w:rStyle w:val="bocontentwrapperbocenteranotbeck-btn"/>
          <w:u w:val="single" w:color="A80030"/>
        </w:rPr>
        <w:t>Text1</w:t>
      </w:r>
      <w:bookmarkStart w:id="2" w:name="Y-300-Z-BECKRS-B-2009-N-02192-NAME-DETAI"/>
      <w:bookmarkEnd w:id="1"/>
      <w:bookmarkEnd w:id="2"/>
    </w:p>
    <w:p w14:paraId="137BF56D"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BUNDESGERICHTSHOF</w:t>
      </w:r>
    </w:p>
    <w:p w14:paraId="158313F8"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BESCHLUSS</w:t>
      </w:r>
    </w:p>
    <w:p w14:paraId="60A1BB80" w14:textId="77777777" w:rsidR="00591C75" w:rsidRDefault="00000000">
      <w:pPr>
        <w:pStyle w:val="divbocontentwrapperbocenterp"/>
        <w:spacing w:after="120" w:line="360" w:lineRule="auto"/>
        <w:ind w:left="583" w:right="344"/>
        <w:rPr>
          <w:color w:val="000000"/>
          <w:sz w:val="18"/>
          <w:szCs w:val="18"/>
        </w:rPr>
      </w:pPr>
      <w:hyperlink r:id="rId11" w:history="1">
        <w:r>
          <w:rPr>
            <w:rStyle w:val="bocontentwrapperbocenteranotbeck-btn"/>
            <w:color w:val="000000"/>
            <w:sz w:val="18"/>
            <w:szCs w:val="18"/>
            <w:u w:val="single" w:color="000000"/>
          </w:rPr>
          <w:t>IX ZB 7/08</w:t>
        </w:r>
      </w:hyperlink>
    </w:p>
    <w:p w14:paraId="37A3165C"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vom</w:t>
      </w:r>
    </w:p>
    <w:p w14:paraId="069DA0BD"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23. Oktober 2008</w:t>
      </w:r>
    </w:p>
    <w:p w14:paraId="682C39EA"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 xml:space="preserve">in dem Verfahren auf Eröffnung des Insolvenzverfahrens </w:t>
      </w:r>
    </w:p>
    <w:p w14:paraId="03B6BC40"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Der IX. Zivilsenat des Bundesgerichtshofs hat durch den Vorsitzenden Richter Dr. Ganter, die Richter Raebel und Vill, die Richterin Lohmann und den Richter Dr. Pape</w:t>
      </w:r>
    </w:p>
    <w:p w14:paraId="1460887E" w14:textId="77777777" w:rsidR="00591C75" w:rsidRDefault="00000000">
      <w:pPr>
        <w:pStyle w:val="divbocontentwrapperbocenterp"/>
        <w:spacing w:after="120" w:line="360" w:lineRule="auto"/>
        <w:ind w:left="583" w:right="344"/>
        <w:rPr>
          <w:color w:val="000000"/>
          <w:sz w:val="18"/>
          <w:szCs w:val="18"/>
        </w:rPr>
      </w:pPr>
      <w:r>
        <w:rPr>
          <w:color w:val="000000"/>
          <w:sz w:val="18"/>
          <w:szCs w:val="18"/>
        </w:rPr>
        <w:t>am 23. Oktober 2008 beschlossen:</w:t>
      </w:r>
      <w:bookmarkStart w:id="3" w:name="Y-300-Z-BECKRS-B-2009-N-02192-Gl-3"/>
      <w:bookmarkEnd w:id="3"/>
    </w:p>
    <w:p w14:paraId="566107D0" w14:textId="77777777" w:rsidR="00591C75" w:rsidRDefault="00000000">
      <w:pPr>
        <w:pStyle w:val="divbocontentwrapperbocenterp"/>
        <w:spacing w:after="120" w:line="360" w:lineRule="auto"/>
        <w:ind w:left="450" w:right="150"/>
        <w:jc w:val="both"/>
        <w:rPr>
          <w:color w:val="000000"/>
        </w:rPr>
      </w:pPr>
      <w:r>
        <w:rPr>
          <w:color w:val="000000"/>
        </w:rPr>
        <w:t xml:space="preserve">Die Rechtsbeschwerde gegen den Beschluss der 14. Zivilkammer des </w:t>
      </w:r>
      <w:r>
        <w:rPr>
          <w:rStyle w:val="any"/>
          <w:color w:val="000000"/>
        </w:rPr>
        <w:t xml:space="preserve">Landgerichts München I vom </w:t>
      </w:r>
      <w:hyperlink r:id="rId12" w:history="1">
        <w:r>
          <w:rPr>
            <w:rStyle w:val="bocontentwrapperbocenteranotbeck-btn"/>
            <w:color w:val="000000"/>
            <w:u w:val="single" w:color="000000"/>
          </w:rPr>
          <w:t>13. Dezember 2007</w:t>
        </w:r>
      </w:hyperlink>
      <w:r>
        <w:rPr>
          <w:color w:val="000000"/>
        </w:rPr>
        <w:t xml:space="preserve"> wird auf Kosten der Schuldnerin als unzulässig verworfen.</w:t>
      </w:r>
    </w:p>
    <w:p w14:paraId="63759FAF" w14:textId="77777777" w:rsidR="00591C75" w:rsidRDefault="00000000">
      <w:pPr>
        <w:pStyle w:val="divbocontentwrapperbocenterp"/>
        <w:spacing w:after="120" w:line="360" w:lineRule="auto"/>
        <w:ind w:left="450" w:right="150"/>
        <w:jc w:val="both"/>
        <w:rPr>
          <w:color w:val="000000"/>
        </w:rPr>
      </w:pPr>
      <w:r>
        <w:rPr>
          <w:color w:val="000000"/>
        </w:rPr>
        <w:t>Der Wert des Rechtsbeschwerdeverfahrens wird auf 862.191,65 € festgesetzt.</w:t>
      </w:r>
      <w:bookmarkStart w:id="4" w:name="Y-300-Z-BECKRS-B-2009-N-02192-Gl-4"/>
      <w:bookmarkEnd w:id="4"/>
    </w:p>
    <w:p w14:paraId="327BF6B5" w14:textId="77777777" w:rsidR="00591C75" w:rsidRDefault="00000000">
      <w:pPr>
        <w:pStyle w:val="bocenterh1"/>
        <w:pBdr>
          <w:top w:val="none" w:sz="0" w:space="5" w:color="auto"/>
          <w:bottom w:val="none" w:sz="0" w:space="3" w:color="auto"/>
        </w:pBdr>
        <w:spacing w:before="75" w:after="75" w:line="360" w:lineRule="auto"/>
        <w:ind w:left="450" w:right="150"/>
        <w:jc w:val="both"/>
        <w:outlineLvl w:val="0"/>
        <w:rPr>
          <w:color w:val="000000"/>
          <w:sz w:val="24"/>
          <w:szCs w:val="24"/>
        </w:rPr>
      </w:pPr>
      <w:r>
        <w:rPr>
          <w:color w:val="000000"/>
          <w:sz w:val="24"/>
          <w:szCs w:val="24"/>
        </w:rPr>
        <w:t>Gründe:</w:t>
      </w:r>
    </w:p>
    <w:p w14:paraId="58B45A70" w14:textId="77777777" w:rsidR="00591C75" w:rsidRDefault="00000000">
      <w:pPr>
        <w:pStyle w:val="divbocontentwrapperbocenterp"/>
        <w:spacing w:after="120" w:line="360" w:lineRule="auto"/>
        <w:ind w:left="450" w:right="150"/>
        <w:jc w:val="both"/>
        <w:rPr>
          <w:color w:val="000000"/>
        </w:rPr>
      </w:pPr>
      <w:r>
        <w:rPr>
          <w:color w:val="000000"/>
        </w:rPr>
        <w:t>I.</w:t>
      </w:r>
    </w:p>
    <w:p w14:paraId="19FE6EFB" w14:textId="77777777" w:rsidR="00591C75" w:rsidRDefault="00000000">
      <w:pPr>
        <w:pStyle w:val="divbocontentwrapperbocenterp"/>
        <w:spacing w:after="120" w:line="360" w:lineRule="auto"/>
        <w:ind w:left="450" w:right="150"/>
        <w:jc w:val="both"/>
        <w:rPr>
          <w:color w:val="000000"/>
        </w:rPr>
      </w:pPr>
      <w:bookmarkStart w:id="5" w:name="Y-300-Z-BECKRS-B-2009-N-02192-RN-1"/>
      <w:bookmarkEnd w:id="5"/>
      <w:r>
        <w:rPr>
          <w:rStyle w:val="printcontentemrandnr"/>
          <w:rFonts w:ascii="Verdana" w:eastAsia="Verdana" w:hAnsi="Verdana" w:cs="Verdana"/>
          <w:b/>
          <w:bCs/>
          <w:color w:val="000000"/>
          <w:sz w:val="19"/>
          <w:szCs w:val="19"/>
        </w:rPr>
        <w:t>1</w:t>
      </w:r>
      <w:r>
        <w:rPr>
          <w:color w:val="000000"/>
        </w:rPr>
        <w:t>Die weitere Beteiligte zu 1 (fortan: Gläubigerin) hat wegen rückständiger Wohngeldzahlungen die Eröffnung des Insolvenzverfahrens über das Vermögen der Schuldnerin beantragt. Die Schuldnerin hat die Forderungen sowie das Vorliegen eines Eröffnungsgrundes bestritten. Nach Anordnung der vorläufigen Insolvenzverwaltung mit Zustimmungsvorbehalt und Einholung eines Gutachtens hat das Insolvenzgericht das Verfahren mit Beschluss vom 26. Juli 2007 eröffnet. Die gegen diesen Beschluss gerichtete sofortige Beschwerde der Schuldnerin ist erfolglos geblieben. Mit ihrer Rechtsbeschwerde verfolgt die Schuldnerin ihr Ziel der Abweisung des Antrags auf Eröffnung des Insolvenzverfahrens über ihr Vermögen weiter.</w:t>
      </w:r>
    </w:p>
    <w:p w14:paraId="50F44310" w14:textId="77777777" w:rsidR="00591C75" w:rsidRDefault="00000000">
      <w:pPr>
        <w:pStyle w:val="divbocontentwrapperbocenterp"/>
        <w:spacing w:after="120" w:line="360" w:lineRule="auto"/>
        <w:ind w:left="450" w:right="150"/>
        <w:jc w:val="both"/>
        <w:rPr>
          <w:color w:val="000000"/>
        </w:rPr>
      </w:pPr>
      <w:r>
        <w:rPr>
          <w:color w:val="000000"/>
        </w:rPr>
        <w:t>II.</w:t>
      </w:r>
    </w:p>
    <w:p w14:paraId="45BD9946" w14:textId="77777777" w:rsidR="00591C75" w:rsidRDefault="00000000">
      <w:pPr>
        <w:pStyle w:val="divbocontentwrapperbocenterp"/>
        <w:spacing w:after="120" w:line="360" w:lineRule="auto"/>
        <w:ind w:left="450" w:right="150"/>
        <w:jc w:val="both"/>
        <w:rPr>
          <w:color w:val="000000"/>
        </w:rPr>
      </w:pPr>
      <w:bookmarkStart w:id="6" w:name="Y-300-Z-BECKRS-B-2009-N-02192-RN-2"/>
      <w:bookmarkEnd w:id="6"/>
      <w:r>
        <w:rPr>
          <w:rStyle w:val="printcontentemrandnr"/>
          <w:rFonts w:ascii="Verdana" w:eastAsia="Verdana" w:hAnsi="Verdana" w:cs="Verdana"/>
          <w:b/>
          <w:bCs/>
          <w:color w:val="000000"/>
          <w:sz w:val="19"/>
          <w:szCs w:val="19"/>
        </w:rPr>
        <w:lastRenderedPageBreak/>
        <w:t>2</w:t>
      </w:r>
      <w:r>
        <w:rPr>
          <w:color w:val="000000"/>
        </w:rPr>
        <w:t xml:space="preserve">Die nach </w:t>
      </w:r>
      <w:r>
        <w:rPr>
          <w:rStyle w:val="any"/>
          <w:color w:val="000000"/>
        </w:rPr>
        <w:t xml:space="preserve">§ </w:t>
      </w:r>
      <w:hyperlink r:id="rId13" w:history="1">
        <w:r>
          <w:rPr>
            <w:rStyle w:val="bocontentwrapperbocenteranotbeck-btn"/>
            <w:color w:val="000000"/>
            <w:u w:val="single" w:color="000000"/>
          </w:rPr>
          <w:t>34</w:t>
        </w:r>
      </w:hyperlink>
      <w:r>
        <w:rPr>
          <w:rStyle w:val="any"/>
          <w:color w:val="000000"/>
        </w:rPr>
        <w:t xml:space="preserve"> Abs. </w:t>
      </w:r>
      <w:hyperlink r:id="rId14" w:history="1">
        <w:r>
          <w:rPr>
            <w:rStyle w:val="bocontentwrapperbocenteranotbeck-btn"/>
            <w:color w:val="000000"/>
            <w:u w:val="single" w:color="000000"/>
          </w:rPr>
          <w:t>2</w:t>
        </w:r>
      </w:hyperlink>
      <w:r>
        <w:rPr>
          <w:rStyle w:val="any"/>
          <w:color w:val="000000"/>
        </w:rPr>
        <w:t xml:space="preserve">, §§ </w:t>
      </w:r>
      <w:hyperlink r:id="rId15" w:history="1">
        <w:r>
          <w:rPr>
            <w:rStyle w:val="bocontentwrapperbocenteranotbeck-btn"/>
            <w:color w:val="000000"/>
            <w:u w:val="single" w:color="000000"/>
          </w:rPr>
          <w:t>7</w:t>
        </w:r>
      </w:hyperlink>
      <w:r>
        <w:rPr>
          <w:rStyle w:val="any"/>
          <w:color w:val="000000"/>
        </w:rPr>
        <w:t xml:space="preserve">, </w:t>
      </w:r>
      <w:hyperlink r:id="rId16" w:history="1">
        <w:r>
          <w:rPr>
            <w:rStyle w:val="bocontentwrapperbocenteranotbeck-btn"/>
            <w:color w:val="000000"/>
            <w:u w:val="single" w:color="000000"/>
          </w:rPr>
          <w:t>6</w:t>
        </w:r>
      </w:hyperlink>
      <w:r>
        <w:rPr>
          <w:rStyle w:val="any"/>
          <w:color w:val="000000"/>
        </w:rPr>
        <w:t xml:space="preserve"> InsO</w:t>
      </w:r>
      <w:r>
        <w:rPr>
          <w:color w:val="000000"/>
        </w:rPr>
        <w:t xml:space="preserve">, </w:t>
      </w:r>
      <w:r>
        <w:rPr>
          <w:rStyle w:val="any"/>
          <w:color w:val="000000"/>
        </w:rPr>
        <w:t xml:space="preserve">§ </w:t>
      </w:r>
      <w:hyperlink r:id="rId17" w:history="1">
        <w:r>
          <w:rPr>
            <w:rStyle w:val="bocontentwrapperbocenteranotbeck-btn"/>
            <w:color w:val="000000"/>
            <w:u w:val="single" w:color="000000"/>
          </w:rPr>
          <w:t>574</w:t>
        </w:r>
      </w:hyperlink>
      <w:r>
        <w:rPr>
          <w:rStyle w:val="any"/>
          <w:color w:val="000000"/>
        </w:rPr>
        <w:t xml:space="preserve"> Abs. </w:t>
      </w:r>
      <w:hyperlink r:id="rId18" w:history="1">
        <w:r>
          <w:rPr>
            <w:rStyle w:val="bocontentwrapperbocenteranotbeck-btn"/>
            <w:color w:val="000000"/>
            <w:u w:val="single" w:color="000000"/>
          </w:rPr>
          <w:t>1</w:t>
        </w:r>
      </w:hyperlink>
      <w:r>
        <w:rPr>
          <w:rStyle w:val="any"/>
          <w:color w:val="000000"/>
        </w:rPr>
        <w:t xml:space="preserve"> Satz 1 Nr. </w:t>
      </w:r>
      <w:hyperlink r:id="rId19" w:history="1">
        <w:r>
          <w:rPr>
            <w:rStyle w:val="bocontentwrapperbocenteranotbeck-btn"/>
            <w:color w:val="000000"/>
            <w:u w:val="single" w:color="000000"/>
          </w:rPr>
          <w:t>1</w:t>
        </w:r>
      </w:hyperlink>
      <w:r>
        <w:rPr>
          <w:rStyle w:val="any"/>
          <w:color w:val="000000"/>
        </w:rPr>
        <w:t xml:space="preserve"> ZPO</w:t>
      </w:r>
      <w:r>
        <w:rPr>
          <w:color w:val="000000"/>
        </w:rPr>
        <w:t xml:space="preserve"> statthafte Rechtsbeschwerde ist unzulässig. Der geltend gemachte Zulässigkeits-grund der Sicherung einer einheitlichen Rechtsprechung (</w:t>
      </w:r>
      <w:r>
        <w:rPr>
          <w:rStyle w:val="any"/>
          <w:color w:val="000000"/>
        </w:rPr>
        <w:t xml:space="preserve">§ </w:t>
      </w:r>
      <w:hyperlink r:id="rId20" w:history="1">
        <w:r>
          <w:rPr>
            <w:rStyle w:val="bocontentwrapperbocenteranotbeck-btn"/>
            <w:color w:val="000000"/>
            <w:u w:val="single" w:color="000000"/>
          </w:rPr>
          <w:t>574</w:t>
        </w:r>
      </w:hyperlink>
      <w:r>
        <w:rPr>
          <w:rStyle w:val="any"/>
          <w:color w:val="000000"/>
        </w:rPr>
        <w:t xml:space="preserve"> Abs. </w:t>
      </w:r>
      <w:hyperlink r:id="rId21" w:history="1">
        <w:r>
          <w:rPr>
            <w:rStyle w:val="bocontentwrapperbocenteranotbeck-btn"/>
            <w:color w:val="000000"/>
            <w:u w:val="single" w:color="000000"/>
          </w:rPr>
          <w:t>2</w:t>
        </w:r>
      </w:hyperlink>
      <w:r>
        <w:rPr>
          <w:rStyle w:val="any"/>
          <w:color w:val="000000"/>
        </w:rPr>
        <w:t xml:space="preserve"> Satz 2 Nr. </w:t>
      </w:r>
      <w:hyperlink r:id="rId22" w:history="1">
        <w:r>
          <w:rPr>
            <w:rStyle w:val="bocontentwrapperbocenteranotbeck-btn"/>
            <w:color w:val="000000"/>
            <w:u w:val="single" w:color="000000"/>
          </w:rPr>
          <w:t>2</w:t>
        </w:r>
      </w:hyperlink>
      <w:r>
        <w:rPr>
          <w:rStyle w:val="any"/>
          <w:color w:val="000000"/>
        </w:rPr>
        <w:t xml:space="preserve"> Alt. 2 ZPO</w:t>
      </w:r>
      <w:r>
        <w:rPr>
          <w:color w:val="000000"/>
        </w:rPr>
        <w:t>) ist nicht gegeben. Eine Verletzung des Anspruchs der Schuldnerin auf rechtliches Gehör liegt nicht vor.</w:t>
      </w:r>
    </w:p>
    <w:p w14:paraId="15ADF1D1" w14:textId="77777777" w:rsidR="00591C75" w:rsidRDefault="00000000">
      <w:pPr>
        <w:pStyle w:val="divbocontentwrapperbocenterp"/>
        <w:spacing w:after="120" w:line="360" w:lineRule="auto"/>
        <w:ind w:left="450" w:right="150"/>
        <w:jc w:val="both"/>
        <w:rPr>
          <w:color w:val="000000"/>
        </w:rPr>
      </w:pPr>
      <w:bookmarkStart w:id="7" w:name="Y-300-Z-BECKRS-B-2009-N-02192-RN-3"/>
      <w:bookmarkEnd w:id="7"/>
      <w:r>
        <w:rPr>
          <w:rStyle w:val="printcontentemrandnr"/>
          <w:rFonts w:ascii="Verdana" w:eastAsia="Verdana" w:hAnsi="Verdana" w:cs="Verdana"/>
          <w:b/>
          <w:bCs/>
          <w:color w:val="000000"/>
          <w:sz w:val="19"/>
          <w:szCs w:val="19"/>
        </w:rPr>
        <w:t>3</w:t>
      </w:r>
      <w:r>
        <w:rPr>
          <w:color w:val="000000"/>
        </w:rPr>
        <w:t>1. Die Gläubigerin hat einen zulässigen Insolvenzantrag gestellt. Sie hat ihre Forderung glaubhaft gemacht. Die Glaubhaftmachung der Forderung und des Insolvenzgrundes muss nicht notwendig durch Vorlage eines Titels und einer Bescheinigung über einen fruchtlosen Vollstreckungsversuch erfolgen, ausreichend ist auch, dass der antragstellende Gläubiger den Eröffnungsgrund auf andere Weise glaubhaft macht (</w:t>
      </w:r>
      <w:r>
        <w:rPr>
          <w:rStyle w:val="any"/>
          <w:color w:val="000000"/>
        </w:rPr>
        <w:t xml:space="preserve">BGH, Beschl. v. 5. Februar 2004 - </w:t>
      </w:r>
      <w:hyperlink r:id="rId23" w:history="1">
        <w:r>
          <w:rPr>
            <w:rStyle w:val="bocontentwrapperbocenteranotbeck-btn"/>
            <w:color w:val="000000"/>
            <w:u w:val="single" w:color="000000"/>
          </w:rPr>
          <w:t>IX ZB 29/03</w:t>
        </w:r>
      </w:hyperlink>
      <w:r>
        <w:rPr>
          <w:color w:val="000000"/>
        </w:rPr>
        <w:t xml:space="preserve">, </w:t>
      </w:r>
      <w:r>
        <w:rPr>
          <w:rStyle w:val="any"/>
          <w:color w:val="000000"/>
        </w:rPr>
        <w:t xml:space="preserve">ZIP 2004, </w:t>
      </w:r>
      <w:hyperlink r:id="rId24" w:history="1">
        <w:r>
          <w:rPr>
            <w:rStyle w:val="bocontentwrapperbocenteranotbeck-btn"/>
            <w:color w:val="000000"/>
            <w:u w:val="single" w:color="000000"/>
          </w:rPr>
          <w:t>1466</w:t>
        </w:r>
      </w:hyperlink>
      <w:r>
        <w:rPr>
          <w:rStyle w:val="any"/>
          <w:color w:val="000000"/>
        </w:rPr>
        <w:t xml:space="preserve">, </w:t>
      </w:r>
      <w:hyperlink r:id="rId25" w:history="1">
        <w:r>
          <w:rPr>
            <w:rStyle w:val="bocontentwrapperbocenteranotbeck-btn"/>
            <w:color w:val="000000"/>
            <w:u w:val="single" w:color="000000"/>
          </w:rPr>
          <w:t>1467</w:t>
        </w:r>
      </w:hyperlink>
      <w:r>
        <w:rPr>
          <w:color w:val="000000"/>
        </w:rPr>
        <w:t xml:space="preserve"> f; </w:t>
      </w:r>
      <w:r>
        <w:rPr>
          <w:rStyle w:val="any"/>
          <w:color w:val="000000"/>
        </w:rPr>
        <w:t>HK-InsO/Kirchhof, 4. Aufl., § 14 Rn. 11 f</w:t>
      </w:r>
      <w:r>
        <w:rPr>
          <w:color w:val="000000"/>
        </w:rPr>
        <w:t xml:space="preserve">; Küb-ler/Prütting/Pape, InsO § 14 Rn. 51; </w:t>
      </w:r>
      <w:r>
        <w:rPr>
          <w:rStyle w:val="any"/>
          <w:color w:val="000000"/>
        </w:rPr>
        <w:t xml:space="preserve">Uhlenbruck, InsO 12. Aufl. § 14 Rn. </w:t>
      </w:r>
      <w:hyperlink r:id="rId26" w:history="1">
        <w:r>
          <w:rPr>
            <w:rStyle w:val="bocontentwrapperbocenteranotbeck-btn"/>
            <w:color w:val="000000"/>
            <w:u w:val="single" w:color="000000"/>
          </w:rPr>
          <w:t>52</w:t>
        </w:r>
      </w:hyperlink>
      <w:r>
        <w:rPr>
          <w:color w:val="000000"/>
        </w:rPr>
        <w:t xml:space="preserve">). Der Begriff der Glaubhaftmachung in </w:t>
      </w:r>
      <w:r>
        <w:rPr>
          <w:rStyle w:val="any"/>
          <w:color w:val="000000"/>
        </w:rPr>
        <w:t xml:space="preserve">§ </w:t>
      </w:r>
      <w:hyperlink r:id="rId27" w:history="1">
        <w:r>
          <w:rPr>
            <w:rStyle w:val="bocontentwrapperbocenteranotbeck-btn"/>
            <w:color w:val="000000"/>
            <w:u w:val="single" w:color="000000"/>
          </w:rPr>
          <w:t>14</w:t>
        </w:r>
      </w:hyperlink>
      <w:r>
        <w:rPr>
          <w:rStyle w:val="any"/>
          <w:color w:val="000000"/>
        </w:rPr>
        <w:t xml:space="preserve"> Abs. </w:t>
      </w:r>
      <w:hyperlink r:id="rId28" w:history="1">
        <w:r>
          <w:rPr>
            <w:rStyle w:val="bocontentwrapperbocenteranotbeck-btn"/>
            <w:color w:val="000000"/>
            <w:u w:val="single" w:color="000000"/>
          </w:rPr>
          <w:t>1</w:t>
        </w:r>
      </w:hyperlink>
      <w:r>
        <w:rPr>
          <w:rStyle w:val="any"/>
          <w:color w:val="000000"/>
        </w:rPr>
        <w:t xml:space="preserve"> InsO</w:t>
      </w:r>
      <w:r>
        <w:rPr>
          <w:color w:val="000000"/>
        </w:rPr>
        <w:t xml:space="preserve"> entspricht dem des </w:t>
      </w:r>
      <w:r>
        <w:rPr>
          <w:rStyle w:val="any"/>
          <w:color w:val="000000"/>
        </w:rPr>
        <w:t xml:space="preserve">§ </w:t>
      </w:r>
      <w:hyperlink r:id="rId29" w:history="1">
        <w:r>
          <w:rPr>
            <w:rStyle w:val="bocontentwrapperbocenteranotbeck-btn"/>
            <w:color w:val="000000"/>
            <w:u w:val="single" w:color="000000"/>
          </w:rPr>
          <w:t>294</w:t>
        </w:r>
      </w:hyperlink>
      <w:r>
        <w:rPr>
          <w:rStyle w:val="any"/>
          <w:color w:val="000000"/>
        </w:rPr>
        <w:t xml:space="preserve"> ZPO</w:t>
      </w:r>
      <w:r>
        <w:rPr>
          <w:color w:val="000000"/>
        </w:rPr>
        <w:t xml:space="preserve"> (</w:t>
      </w:r>
      <w:r>
        <w:rPr>
          <w:rStyle w:val="any"/>
          <w:color w:val="000000"/>
        </w:rPr>
        <w:t xml:space="preserve">BGHZ 156, </w:t>
      </w:r>
      <w:hyperlink r:id="rId30" w:history="1">
        <w:r>
          <w:rPr>
            <w:rStyle w:val="bocontentwrapperbocenteranotbeck-btn"/>
            <w:color w:val="000000"/>
            <w:u w:val="single" w:color="000000"/>
          </w:rPr>
          <w:t>139</w:t>
        </w:r>
      </w:hyperlink>
      <w:r>
        <w:rPr>
          <w:rStyle w:val="any"/>
          <w:color w:val="000000"/>
        </w:rPr>
        <w:t xml:space="preserve">, </w:t>
      </w:r>
      <w:hyperlink r:id="rId31" w:history="1">
        <w:r>
          <w:rPr>
            <w:rStyle w:val="bocontentwrapperbocenteranotbeck-btn"/>
            <w:color w:val="000000"/>
            <w:u w:val="single" w:color="000000"/>
          </w:rPr>
          <w:t>142</w:t>
        </w:r>
      </w:hyperlink>
      <w:r>
        <w:rPr>
          <w:color w:val="000000"/>
        </w:rPr>
        <w:t xml:space="preserve">; </w:t>
      </w:r>
      <w:r>
        <w:rPr>
          <w:rStyle w:val="any"/>
          <w:color w:val="000000"/>
        </w:rPr>
        <w:t xml:space="preserve">BGH, Beschl. v. 13. Juni 2006 - </w:t>
      </w:r>
      <w:hyperlink r:id="rId32" w:history="1">
        <w:r>
          <w:rPr>
            <w:rStyle w:val="bocontentwrapperbocenteranotbeck-btn"/>
            <w:color w:val="000000"/>
            <w:u w:val="single" w:color="000000"/>
          </w:rPr>
          <w:t>IX ZB 238/05</w:t>
        </w:r>
      </w:hyperlink>
      <w:r>
        <w:rPr>
          <w:color w:val="000000"/>
        </w:rPr>
        <w:t xml:space="preserve">, </w:t>
      </w:r>
      <w:r>
        <w:rPr>
          <w:rStyle w:val="any"/>
          <w:color w:val="000000"/>
        </w:rPr>
        <w:t xml:space="preserve">ZIP 2006, </w:t>
      </w:r>
      <w:hyperlink r:id="rId33" w:history="1">
        <w:r>
          <w:rPr>
            <w:rStyle w:val="bocontentwrapperbocenteranotbeck-btn"/>
            <w:color w:val="000000"/>
            <w:u w:val="single" w:color="000000"/>
          </w:rPr>
          <w:t>1457</w:t>
        </w:r>
      </w:hyperlink>
      <w:r>
        <w:rPr>
          <w:rStyle w:val="any"/>
          <w:color w:val="000000"/>
        </w:rPr>
        <w:t xml:space="preserve">, </w:t>
      </w:r>
      <w:hyperlink r:id="rId34" w:history="1">
        <w:r>
          <w:rPr>
            <w:rStyle w:val="bocontentwrapperbocenteranotbeck-btn"/>
            <w:color w:val="000000"/>
            <w:u w:val="single" w:color="000000"/>
          </w:rPr>
          <w:t>1458</w:t>
        </w:r>
      </w:hyperlink>
      <w:r>
        <w:rPr>
          <w:rStyle w:val="any"/>
          <w:color w:val="000000"/>
        </w:rPr>
        <w:t xml:space="preserve"> Rn. </w:t>
      </w:r>
      <w:hyperlink r:id="rId35" w:history="1">
        <w:r>
          <w:rPr>
            <w:rStyle w:val="bocontentwrapperbocenteranotbeck-btn"/>
            <w:color w:val="000000"/>
            <w:u w:val="single" w:color="000000"/>
          </w:rPr>
          <w:t>5</w:t>
        </w:r>
      </w:hyperlink>
      <w:r>
        <w:rPr>
          <w:color w:val="000000"/>
        </w:rPr>
        <w:t>; HmbKomm-InsO/Wehr, 2. Aufl., § 14 Rn. 6; Kübler/Prütting/Pape, aaO Rn. 38). Beides hat das Beschwerdegericht in seiner Entscheidung nicht verkannt. Der Hinweis des Insolvenzgerichts, in der Regel sei ein vollstreckbarer Titel und das Protokoll eines vergeblichen Vollstreckungsversuchs vorzulegen, schließt nicht aus, dass die Glaubhaftmachung auch auf andere Weise erfolgen kann. Eine Selbstbindung des Gerichts schei- det aus. Hier ergibt sich schon aus dem Schreiben des Geschäftsführers der Schuldnerin vom 12. Februar 2007, dass sie nicht mehr über die Mittel verfügte, um die fälligen Wohngeldansprüche zu befriedigen.</w:t>
      </w:r>
    </w:p>
    <w:p w14:paraId="4D229B2B" w14:textId="77777777" w:rsidR="00591C75" w:rsidRDefault="00000000">
      <w:pPr>
        <w:pStyle w:val="divbocontentwrapperbocenterp"/>
        <w:spacing w:after="120" w:line="360" w:lineRule="auto"/>
        <w:ind w:left="450" w:right="150"/>
        <w:jc w:val="both"/>
        <w:rPr>
          <w:color w:val="000000"/>
        </w:rPr>
      </w:pPr>
      <w:bookmarkStart w:id="8" w:name="Y-300-Z-BECKRS-B-2009-N-02192-RN-4"/>
      <w:bookmarkEnd w:id="8"/>
      <w:r>
        <w:rPr>
          <w:rStyle w:val="printcontentemrandnr"/>
          <w:rFonts w:ascii="Verdana" w:eastAsia="Verdana" w:hAnsi="Verdana" w:cs="Verdana"/>
          <w:b/>
          <w:bCs/>
          <w:color w:val="000000"/>
          <w:sz w:val="19"/>
          <w:szCs w:val="19"/>
        </w:rPr>
        <w:t>4</w:t>
      </w:r>
      <w:r>
        <w:rPr>
          <w:color w:val="000000"/>
        </w:rPr>
        <w:t>2. Wird das Verfahren über das Vermögen des Schuldners eröffnet, müssen die Eröffnungsvoraussetzungen zum Zeitpunkt der Entscheidung des Insolvenzgerichts über den Eröffnungsantrag vorliegen (</w:t>
      </w:r>
      <w:r>
        <w:rPr>
          <w:rStyle w:val="any"/>
          <w:color w:val="000000"/>
        </w:rPr>
        <w:t xml:space="preserve">BGHZ 169, </w:t>
      </w:r>
      <w:hyperlink r:id="rId36" w:history="1">
        <w:r>
          <w:rPr>
            <w:rStyle w:val="bocontentwrapperbocenteranotbeck-btn"/>
            <w:color w:val="000000"/>
            <w:u w:val="single" w:color="000000"/>
          </w:rPr>
          <w:t>17</w:t>
        </w:r>
      </w:hyperlink>
      <w:r>
        <w:rPr>
          <w:rStyle w:val="any"/>
          <w:color w:val="000000"/>
        </w:rPr>
        <w:t xml:space="preserve">, </w:t>
      </w:r>
      <w:hyperlink r:id="rId37" w:history="1">
        <w:r>
          <w:rPr>
            <w:rStyle w:val="bocontentwrapperbocenteranotbeck-btn"/>
            <w:color w:val="000000"/>
            <w:u w:val="single" w:color="000000"/>
          </w:rPr>
          <w:t>21</w:t>
        </w:r>
      </w:hyperlink>
      <w:r>
        <w:rPr>
          <w:rStyle w:val="any"/>
          <w:color w:val="000000"/>
        </w:rPr>
        <w:t xml:space="preserve"> Rn. </w:t>
      </w:r>
      <w:hyperlink r:id="rId38" w:history="1">
        <w:r>
          <w:rPr>
            <w:rStyle w:val="bocontentwrapperbocenteranotbeck-btn"/>
            <w:color w:val="000000"/>
            <w:u w:val="single" w:color="000000"/>
          </w:rPr>
          <w:t>11</w:t>
        </w:r>
      </w:hyperlink>
      <w:r>
        <w:rPr>
          <w:color w:val="000000"/>
        </w:rPr>
        <w:t>). Auch insoweit ist das Beschwerdegericht nicht von der Rechtsprechung des Senats abgewichen. Zahlungsunfähigkeit ist in der Regel gegeben, wenn eine Liquiditätslücke von 10 % oder mehr besteht, die nicht innerhalb einer Frist von zwei bis drei Wochen geschlossen werden kann (</w:t>
      </w:r>
      <w:r>
        <w:rPr>
          <w:rStyle w:val="any"/>
          <w:color w:val="000000"/>
        </w:rPr>
        <w:t xml:space="preserve">BGHZ 163, </w:t>
      </w:r>
      <w:hyperlink r:id="rId39" w:history="1">
        <w:r>
          <w:rPr>
            <w:rStyle w:val="bocontentwrapperbocenteranotbeck-btn"/>
            <w:color w:val="000000"/>
            <w:u w:val="single" w:color="000000"/>
          </w:rPr>
          <w:t>134</w:t>
        </w:r>
      </w:hyperlink>
      <w:r>
        <w:rPr>
          <w:rStyle w:val="any"/>
          <w:color w:val="000000"/>
        </w:rPr>
        <w:t xml:space="preserve">, </w:t>
      </w:r>
      <w:hyperlink r:id="rId40" w:history="1">
        <w:r>
          <w:rPr>
            <w:rStyle w:val="bocontentwrapperbocenteranotbeck-btn"/>
            <w:color w:val="000000"/>
            <w:u w:val="single" w:color="000000"/>
          </w:rPr>
          <w:t>145</w:t>
        </w:r>
      </w:hyperlink>
      <w:r>
        <w:rPr>
          <w:color w:val="000000"/>
        </w:rPr>
        <w:t xml:space="preserve">; </w:t>
      </w:r>
      <w:r>
        <w:rPr>
          <w:rStyle w:val="any"/>
          <w:color w:val="000000"/>
        </w:rPr>
        <w:t xml:space="preserve">BGH, Beschl. v. 19. Juli 2007 - </w:t>
      </w:r>
      <w:hyperlink r:id="rId41" w:history="1">
        <w:r>
          <w:rPr>
            <w:rStyle w:val="bocontentwrapperbocenteranotbeck-btn"/>
            <w:color w:val="000000"/>
            <w:u w:val="single" w:color="000000"/>
          </w:rPr>
          <w:t>IX ZB 36/07</w:t>
        </w:r>
      </w:hyperlink>
      <w:r>
        <w:rPr>
          <w:color w:val="000000"/>
        </w:rPr>
        <w:t xml:space="preserve">, </w:t>
      </w:r>
      <w:r>
        <w:rPr>
          <w:rStyle w:val="any"/>
          <w:color w:val="000000"/>
        </w:rPr>
        <w:t xml:space="preserve">ZIP 2007, </w:t>
      </w:r>
      <w:hyperlink r:id="rId42" w:history="1">
        <w:r>
          <w:rPr>
            <w:rStyle w:val="bocontentwrapperbocenteranotbeck-btn"/>
            <w:color w:val="000000"/>
            <w:u w:val="single" w:color="000000"/>
          </w:rPr>
          <w:t>1666</w:t>
        </w:r>
      </w:hyperlink>
      <w:r>
        <w:rPr>
          <w:rStyle w:val="any"/>
          <w:color w:val="000000"/>
        </w:rPr>
        <w:t xml:space="preserve">, </w:t>
      </w:r>
      <w:hyperlink r:id="rId43" w:history="1">
        <w:r>
          <w:rPr>
            <w:rStyle w:val="bocontentwrapperbocenteranotbeck-btn"/>
            <w:color w:val="000000"/>
            <w:u w:val="single" w:color="000000"/>
          </w:rPr>
          <w:t>1669</w:t>
        </w:r>
      </w:hyperlink>
      <w:r>
        <w:rPr>
          <w:rStyle w:val="any"/>
          <w:color w:val="000000"/>
        </w:rPr>
        <w:t xml:space="preserve"> Rn. </w:t>
      </w:r>
      <w:hyperlink r:id="rId44" w:history="1">
        <w:r>
          <w:rPr>
            <w:rStyle w:val="bocontentwrapperbocenteranotbeck-btn"/>
            <w:color w:val="000000"/>
            <w:u w:val="single" w:color="000000"/>
          </w:rPr>
          <w:t>31</w:t>
        </w:r>
      </w:hyperlink>
      <w:r>
        <w:rPr>
          <w:color w:val="000000"/>
        </w:rPr>
        <w:t xml:space="preserve">). Fällige Zahlungspflichten können nur mit Geld oder anderen üblichen Zahlungsmitteln erfüllt werden, nur diese sind in die zur Prüfung der Voraussetzungen des </w:t>
      </w:r>
      <w:r>
        <w:rPr>
          <w:rStyle w:val="any"/>
          <w:color w:val="000000"/>
        </w:rPr>
        <w:t xml:space="preserve">§ </w:t>
      </w:r>
      <w:hyperlink r:id="rId45" w:history="1">
        <w:r>
          <w:rPr>
            <w:rStyle w:val="bocontentwrapperbocenteranotbeck-btn"/>
            <w:color w:val="000000"/>
            <w:u w:val="single" w:color="000000"/>
          </w:rPr>
          <w:t>17</w:t>
        </w:r>
      </w:hyperlink>
      <w:r>
        <w:rPr>
          <w:rStyle w:val="any"/>
          <w:color w:val="000000"/>
        </w:rPr>
        <w:t xml:space="preserve"> InsO</w:t>
      </w:r>
      <w:r>
        <w:rPr>
          <w:color w:val="000000"/>
        </w:rPr>
        <w:t xml:space="preserve"> zu erstellende Liquiditätsbilanz aufzunehmen (</w:t>
      </w:r>
      <w:r>
        <w:rPr>
          <w:rStyle w:val="any"/>
          <w:color w:val="000000"/>
        </w:rPr>
        <w:t xml:space="preserve">BGH, Urt. v. 12. Oktober 2006 - </w:t>
      </w:r>
      <w:hyperlink r:id="rId46" w:history="1">
        <w:r>
          <w:rPr>
            <w:rStyle w:val="bocontentwrapperbocenteranotbeck-btn"/>
            <w:color w:val="000000"/>
            <w:u w:val="single" w:color="000000"/>
          </w:rPr>
          <w:t>IX ZR 228/03</w:t>
        </w:r>
      </w:hyperlink>
      <w:r>
        <w:rPr>
          <w:color w:val="000000"/>
        </w:rPr>
        <w:t xml:space="preserve">, </w:t>
      </w:r>
      <w:r>
        <w:rPr>
          <w:rStyle w:val="any"/>
          <w:color w:val="000000"/>
        </w:rPr>
        <w:t xml:space="preserve">ZIP 2006, </w:t>
      </w:r>
      <w:hyperlink r:id="rId47" w:history="1">
        <w:r>
          <w:rPr>
            <w:rStyle w:val="bocontentwrapperbocenteranotbeck-btn"/>
            <w:color w:val="000000"/>
            <w:u w:val="single" w:color="000000"/>
          </w:rPr>
          <w:t>2222</w:t>
        </w:r>
      </w:hyperlink>
      <w:r>
        <w:rPr>
          <w:rStyle w:val="any"/>
          <w:color w:val="000000"/>
        </w:rPr>
        <w:t xml:space="preserve">, </w:t>
      </w:r>
      <w:hyperlink r:id="rId48" w:history="1">
        <w:r>
          <w:rPr>
            <w:rStyle w:val="bocontentwrapperbocenteranotbeck-btn"/>
            <w:color w:val="000000"/>
            <w:u w:val="single" w:color="000000"/>
          </w:rPr>
          <w:t>2224</w:t>
        </w:r>
      </w:hyperlink>
      <w:r>
        <w:rPr>
          <w:rStyle w:val="any"/>
          <w:color w:val="000000"/>
        </w:rPr>
        <w:t xml:space="preserve"> Rn. </w:t>
      </w:r>
      <w:hyperlink r:id="rId49" w:history="1">
        <w:r>
          <w:rPr>
            <w:rStyle w:val="bocontentwrapperbocenteranotbeck-btn"/>
            <w:color w:val="000000"/>
            <w:u w:val="single" w:color="000000"/>
          </w:rPr>
          <w:t>28</w:t>
        </w:r>
      </w:hyperlink>
      <w:r>
        <w:rPr>
          <w:color w:val="000000"/>
        </w:rPr>
        <w:t>; Beschl. v. 19. Juli 2007, aaO Rn. 30).</w:t>
      </w:r>
    </w:p>
    <w:p w14:paraId="43A79BF5" w14:textId="77777777" w:rsidR="00591C75" w:rsidRDefault="00000000">
      <w:pPr>
        <w:pStyle w:val="divbocontentwrapperbocenterp"/>
        <w:spacing w:after="120" w:line="360" w:lineRule="auto"/>
        <w:ind w:left="450" w:right="150"/>
        <w:jc w:val="both"/>
        <w:rPr>
          <w:color w:val="000000"/>
        </w:rPr>
      </w:pPr>
      <w:bookmarkStart w:id="9" w:name="Y-300-Z-BECKRS-B-2009-N-02192-RN-5"/>
      <w:bookmarkEnd w:id="9"/>
      <w:r>
        <w:rPr>
          <w:rStyle w:val="printcontentemrandnr"/>
          <w:rFonts w:ascii="Verdana" w:eastAsia="Verdana" w:hAnsi="Verdana" w:cs="Verdana"/>
          <w:b/>
          <w:bCs/>
          <w:color w:val="000000"/>
          <w:sz w:val="19"/>
          <w:szCs w:val="19"/>
        </w:rPr>
        <w:t>5</w:t>
      </w:r>
      <w:r>
        <w:rPr>
          <w:color w:val="000000"/>
        </w:rPr>
        <w:t xml:space="preserve">Die Schuldnerin hatte auch nach dem Vortrag der Rechtsbeschwerdebegründung zum Zeitpunkt der Verfahrenseröffnung unbestritten fällige und ernsthaft eingeforderte Verbindlichkeiten in Höhe von 600.000 €, denen sofort verfügbare liquide Mittel in Höhe von 55.000 € gegenüberstanden. Schon bei Zugrundelegung dieser von der </w:t>
      </w:r>
      <w:r>
        <w:rPr>
          <w:color w:val="000000"/>
        </w:rPr>
        <w:lastRenderedPageBreak/>
        <w:t xml:space="preserve">Rechtsbeschwerde nicht beanstandeten Zahlen bestand eine Liquiditätslücke von mehr als 90 %, die bis zur Verfahrenseröffnung nicht geschlossen werden konnte. Auf die Frage, ob die weiteren Verbindlichkeiten der Schuldnerin in einem Umfang von mehr als 37 Mio. € ernsthaft eingefordert waren, kommt es nicht an. </w:t>
      </w:r>
    </w:p>
    <w:p w14:paraId="1016EFF5" w14:textId="77777777" w:rsidR="00591C75" w:rsidRDefault="00000000">
      <w:pPr>
        <w:pStyle w:val="divbocontentwrapperbocenterp"/>
        <w:spacing w:after="120" w:line="360" w:lineRule="auto"/>
        <w:ind w:left="450" w:right="150"/>
        <w:jc w:val="both"/>
        <w:rPr>
          <w:color w:val="000000"/>
        </w:rPr>
      </w:pPr>
      <w:bookmarkStart w:id="10" w:name="Y-300-Z-BECKRS-B-2009-N-02192-RN-6"/>
      <w:bookmarkEnd w:id="10"/>
      <w:r>
        <w:rPr>
          <w:rStyle w:val="printcontentemrandnr"/>
          <w:rFonts w:ascii="Verdana" w:eastAsia="Verdana" w:hAnsi="Verdana" w:cs="Verdana"/>
          <w:b/>
          <w:bCs/>
          <w:color w:val="000000"/>
          <w:sz w:val="19"/>
          <w:szCs w:val="19"/>
        </w:rPr>
        <w:t>6</w:t>
      </w:r>
      <w:r>
        <w:rPr>
          <w:color w:val="000000"/>
        </w:rPr>
        <w:t>Die Schuldnerin hat nicht dargelegt, die durch Tatsachen belegte Erwartung gehabt zu haben, aufgrund von sicheren Zahlungseingängen künftig die erforderlichen Mittel zu haben, um ihre Gläubiger vollständig zu befriedigen. Sie war im Gegenteil nur in der Lage, durch Zahlungen aus dem Privatvermögen ihres Geschäftsführers überhaupt noch Forderungen teilweise zu befriedigen.</w:t>
      </w:r>
    </w:p>
    <w:p w14:paraId="5B003756" w14:textId="77777777" w:rsidR="00591C75" w:rsidRDefault="00000000">
      <w:pPr>
        <w:pStyle w:val="divbocontentwrapperbocenterp"/>
        <w:spacing w:after="120" w:line="360" w:lineRule="auto"/>
        <w:ind w:left="450" w:right="150"/>
        <w:jc w:val="both"/>
        <w:rPr>
          <w:color w:val="000000"/>
        </w:rPr>
      </w:pPr>
      <w:bookmarkStart w:id="11" w:name="Y-300-Z-BECKRS-B-2009-N-02192-RN-7"/>
      <w:bookmarkEnd w:id="11"/>
      <w:r>
        <w:rPr>
          <w:rStyle w:val="printcontentemrandnr"/>
          <w:rFonts w:ascii="Verdana" w:eastAsia="Verdana" w:hAnsi="Verdana" w:cs="Verdana"/>
          <w:b/>
          <w:bCs/>
          <w:color w:val="000000"/>
          <w:sz w:val="19"/>
          <w:szCs w:val="19"/>
        </w:rPr>
        <w:t>7</w:t>
      </w:r>
      <w:r>
        <w:rPr>
          <w:color w:val="000000"/>
        </w:rPr>
        <w:t>3. Eine Verletzung des Anspruchs der Schuldnerin auf rechtliches Gehör liegt nicht vor. Selbst bei Unterstellung des Einverständnisses der drei durch Grundpfandrechte gesicherten Großgläubiger mit einer stillen Liquidation waren am 26. Juli 2007 immer noch die Voraussetzungen für die Eröffnung des Insolvenzverfahrens gegeben. Im Insolvenzverfahren liegen Forderungsanmeldungen von weit mehr als 250 Gläubigern vor. Zum Einverständnis all dieser Gläubiger mit einer stillen Liquidation wird in der Rechtsbeschwerdebegründung nichts ausgeführt. III.</w:t>
      </w:r>
    </w:p>
    <w:p w14:paraId="3257B3F6" w14:textId="77777777" w:rsidR="00591C75" w:rsidRDefault="00000000">
      <w:pPr>
        <w:pStyle w:val="divbocontentwrapperbocenterp"/>
        <w:spacing w:after="120" w:line="360" w:lineRule="auto"/>
        <w:ind w:left="450" w:right="150"/>
        <w:jc w:val="both"/>
        <w:rPr>
          <w:color w:val="000000"/>
        </w:rPr>
      </w:pPr>
      <w:bookmarkStart w:id="12" w:name="Y-300-Z-BECKRS-B-2009-N-02192-RN-8"/>
      <w:bookmarkEnd w:id="12"/>
      <w:r>
        <w:rPr>
          <w:rStyle w:val="printcontentemrandnr"/>
          <w:rFonts w:ascii="Verdana" w:eastAsia="Verdana" w:hAnsi="Verdana" w:cs="Verdana"/>
          <w:b/>
          <w:bCs/>
          <w:color w:val="000000"/>
          <w:sz w:val="19"/>
          <w:szCs w:val="19"/>
        </w:rPr>
        <w:t>8</w:t>
      </w:r>
      <w:r>
        <w:rPr>
          <w:color w:val="000000"/>
        </w:rPr>
        <w:t>Die Festsetzung des Wertes des Rechtsbeschwerdegegenstandes beruht auf der im Eröffnungsgutachten geschätzten voraussichtlichen freien Insolvenzmasse von 862.191,65 € (</w:t>
      </w:r>
      <w:r>
        <w:rPr>
          <w:rStyle w:val="any"/>
          <w:color w:val="000000"/>
        </w:rPr>
        <w:t xml:space="preserve">§ </w:t>
      </w:r>
      <w:hyperlink r:id="rId50" w:history="1">
        <w:r>
          <w:rPr>
            <w:rStyle w:val="bocontentwrapperbocenteranotbeck-btn"/>
            <w:color w:val="000000"/>
            <w:u w:val="single" w:color="000000"/>
          </w:rPr>
          <w:t>58</w:t>
        </w:r>
      </w:hyperlink>
      <w:r>
        <w:rPr>
          <w:rStyle w:val="any"/>
          <w:color w:val="000000"/>
        </w:rPr>
        <w:t xml:space="preserve"> Abs. </w:t>
      </w:r>
      <w:hyperlink r:id="rId51" w:history="1">
        <w:r>
          <w:rPr>
            <w:rStyle w:val="bocontentwrapperbocenteranotbeck-btn"/>
            <w:color w:val="000000"/>
            <w:u w:val="single" w:color="000000"/>
          </w:rPr>
          <w:t>3</w:t>
        </w:r>
      </w:hyperlink>
      <w:r>
        <w:rPr>
          <w:rStyle w:val="any"/>
          <w:color w:val="000000"/>
        </w:rPr>
        <w:t xml:space="preserve"> GKG i.V.m. § </w:t>
      </w:r>
      <w:hyperlink r:id="rId52" w:history="1">
        <w:r>
          <w:rPr>
            <w:rStyle w:val="bocontentwrapperbocenteranotbeck-btn"/>
            <w:color w:val="000000"/>
            <w:u w:val="single" w:color="000000"/>
          </w:rPr>
          <w:t>58</w:t>
        </w:r>
      </w:hyperlink>
      <w:r>
        <w:rPr>
          <w:rStyle w:val="any"/>
          <w:color w:val="000000"/>
        </w:rPr>
        <w:t xml:space="preserve"> Abs. </w:t>
      </w:r>
      <w:hyperlink r:id="rId53" w:history="1">
        <w:r>
          <w:rPr>
            <w:rStyle w:val="bocontentwrapperbocenteranotbeck-btn"/>
            <w:color w:val="000000"/>
            <w:u w:val="single" w:color="000000"/>
          </w:rPr>
          <w:t>1</w:t>
        </w:r>
      </w:hyperlink>
      <w:r>
        <w:rPr>
          <w:rStyle w:val="any"/>
          <w:color w:val="000000"/>
        </w:rPr>
        <w:t xml:space="preserve"> Satz 1 GKG</w:t>
      </w:r>
      <w:r>
        <w:rPr>
          <w:color w:val="000000"/>
        </w:rPr>
        <w:t>).</w:t>
      </w:r>
    </w:p>
    <w:p w14:paraId="699FB669" w14:textId="77777777" w:rsidR="00591C75" w:rsidRDefault="00000000">
      <w:pPr>
        <w:pStyle w:val="divbocontentwrapperbocenterp"/>
        <w:spacing w:after="120" w:line="360" w:lineRule="auto"/>
        <w:ind w:left="450" w:right="150"/>
        <w:jc w:val="both"/>
        <w:rPr>
          <w:color w:val="000000"/>
        </w:rPr>
      </w:pPr>
      <w:r>
        <w:rPr>
          <w:color w:val="000000"/>
        </w:rPr>
        <w:t>Vorinstanzen:</w:t>
      </w:r>
    </w:p>
    <w:p w14:paraId="2F25D661" w14:textId="77777777" w:rsidR="00591C75" w:rsidRDefault="00000000">
      <w:pPr>
        <w:pStyle w:val="divbocontentwrapperbocenterp"/>
        <w:spacing w:after="120" w:line="360" w:lineRule="auto"/>
        <w:ind w:left="450" w:right="150"/>
        <w:jc w:val="both"/>
        <w:rPr>
          <w:color w:val="000000"/>
        </w:rPr>
      </w:pPr>
      <w:r>
        <w:rPr>
          <w:rStyle w:val="any"/>
          <w:color w:val="000000"/>
        </w:rPr>
        <w:t xml:space="preserve">AG München, Entscheidung vom 26.07.2007 - </w:t>
      </w:r>
      <w:hyperlink r:id="rId54" w:history="1">
        <w:r>
          <w:rPr>
            <w:rStyle w:val="bocontentwrapperbocenteranotbeck-btn"/>
            <w:color w:val="000000"/>
            <w:u w:val="single" w:color="000000"/>
          </w:rPr>
          <w:t>1506 IN 1461/07</w:t>
        </w:r>
      </w:hyperlink>
      <w:r>
        <w:rPr>
          <w:color w:val="000000"/>
        </w:rPr>
        <w:t xml:space="preserve"> -</w:t>
      </w:r>
    </w:p>
    <w:p w14:paraId="599E00DB" w14:textId="77777777" w:rsidR="00591C75" w:rsidRDefault="00000000">
      <w:pPr>
        <w:pStyle w:val="divbocontentwrapperbocenterp"/>
        <w:spacing w:after="120" w:line="360" w:lineRule="auto"/>
        <w:ind w:left="450" w:right="150"/>
        <w:jc w:val="both"/>
        <w:rPr>
          <w:color w:val="000000"/>
        </w:rPr>
      </w:pPr>
      <w:r>
        <w:rPr>
          <w:rStyle w:val="any"/>
          <w:color w:val="000000"/>
        </w:rPr>
        <w:t xml:space="preserve">LG München I, Entscheidung vom 13.12.2007 - </w:t>
      </w:r>
      <w:hyperlink r:id="rId55" w:history="1">
        <w:r>
          <w:rPr>
            <w:rStyle w:val="bocontentwrapperbocenteranotbeck-btn"/>
            <w:color w:val="000000"/>
            <w:u w:val="single" w:color="000000"/>
          </w:rPr>
          <w:t>14 T 16091/07</w:t>
        </w:r>
      </w:hyperlink>
      <w:r>
        <w:rPr>
          <w:color w:val="000000"/>
        </w:rPr>
        <w:t xml:space="preserve"> -</w:t>
      </w:r>
    </w:p>
    <w:p w14:paraId="1D93C58D" w14:textId="77777777" w:rsidR="00591C75" w:rsidRDefault="00000000">
      <w:pPr>
        <w:pStyle w:val="printcontent"/>
        <w:ind w:right="150"/>
      </w:pPr>
      <w:r>
        <w:t>Zitiervorschlag:</w:t>
      </w:r>
      <w:r>
        <w:br/>
        <w:t>BGH Beschl. v. 23.10.2008 – IX ZB 7/08, BeckRS 2009, 2192</w:t>
      </w:r>
    </w:p>
    <w:p w14:paraId="490E6C97" w14:textId="77777777" w:rsidR="00591C75" w:rsidRDefault="00000000">
      <w:pPr>
        <w:pStyle w:val="printcontenth3"/>
        <w:spacing w:line="360" w:lineRule="auto"/>
        <w:ind w:left="150" w:right="150"/>
        <w:outlineLvl w:val="2"/>
        <w:rPr>
          <w:b/>
          <w:bCs/>
        </w:rPr>
      </w:pPr>
      <w:r>
        <w:rPr>
          <w:b/>
          <w:bCs/>
        </w:rPr>
        <w:t>Entscheidung zitiert in:</w:t>
      </w:r>
    </w:p>
    <w:p w14:paraId="4968C9CD" w14:textId="77777777" w:rsidR="00591C75" w:rsidRDefault="00000000">
      <w:pPr>
        <w:pStyle w:val="printcontentdivnotlawversion"/>
        <w:spacing w:line="360" w:lineRule="auto"/>
        <w:ind w:left="150" w:right="150"/>
      </w:pPr>
      <w:r>
        <w:t>Büchern | Heyd/Kautenburger-Behr/Wind, Bilanzierung und Besteuerung in Krise und Insolvenz, 1. A. 2019 | IDW Sanierung und Insolvenz, 2. A. 2022 | IDW Verlautbarungen, Werkstand: IDW Life 6 / 2026 | Sonnleitner/Witfeld, Insolvenz- und Sanierungssteuerrecht, 2. A. 2022 | Rechtsprechung | Verwaltungsvorschriften | Aufsätzen | Meldungen</w:t>
      </w:r>
    </w:p>
    <w:p w14:paraId="54129B5B" w14:textId="77777777" w:rsidR="00591C75" w:rsidRDefault="00000000">
      <w:pPr>
        <w:pStyle w:val="printcontenth3"/>
        <w:spacing w:line="360" w:lineRule="auto"/>
        <w:ind w:left="150" w:right="150"/>
        <w:outlineLvl w:val="2"/>
        <w:rPr>
          <w:b/>
          <w:bCs/>
        </w:rPr>
      </w:pPr>
      <w:r>
        <w:rPr>
          <w:b/>
          <w:bCs/>
        </w:rPr>
        <w:t>Parallelfundstellen:</w:t>
      </w:r>
    </w:p>
    <w:p w14:paraId="68DEE2C0" w14:textId="77777777" w:rsidR="00591C75" w:rsidRDefault="00000000">
      <w:pPr>
        <w:pStyle w:val="printcontentdivnotlawversion"/>
        <w:spacing w:line="360" w:lineRule="auto"/>
        <w:ind w:left="150" w:right="150"/>
      </w:pPr>
      <w:r>
        <w:t>Entscheidung | IBRRS 2009, 0293 | Weitere Fundstelle | WuM 2009, 144</w:t>
      </w:r>
    </w:p>
    <w:p w14:paraId="49ADC0C8" w14:textId="1FD289BB" w:rsidR="00591C75" w:rsidRDefault="00591C75">
      <w:pPr>
        <w:pStyle w:val="tdm-long"/>
        <w:spacing w:before="225" w:after="2"/>
        <w:ind w:right="150"/>
        <w:rPr>
          <w:sz w:val="16"/>
          <w:szCs w:val="16"/>
        </w:rPr>
      </w:pPr>
    </w:p>
    <w:sectPr w:rsidR="00591C75">
      <w:headerReference w:type="even" r:id="rId56"/>
      <w:headerReference w:type="default" r:id="rId57"/>
      <w:footerReference w:type="default" r:id="rId58"/>
      <w:headerReference w:type="first" r:id="rId59"/>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E3AFA" w14:textId="77777777" w:rsidR="00B86352" w:rsidRDefault="00B86352">
      <w:r>
        <w:separator/>
      </w:r>
    </w:p>
  </w:endnote>
  <w:endnote w:type="continuationSeparator" w:id="0">
    <w:p w14:paraId="6927374E" w14:textId="77777777" w:rsidR="00B86352" w:rsidRDefault="00B86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917D2" w14:textId="77777777" w:rsidR="00591C75" w:rsidRDefault="00B86352">
    <w:r>
      <w:pict w14:anchorId="160F4375">
        <v:shapetype id="_x0000_t202" coordsize="21600,21600" o:spt="202" path="m,l,21600r21600,l21600,xe">
          <v:stroke joinstyle="miter"/>
          <v:path gradientshapeok="t" o:connecttype="rect"/>
        </v:shapetype>
        <v:shape id="_x0000_s1025" type="#_x0000_t202" alt="" style="position:absolute;margin-left:0;margin-top:0;width:454.9pt;height:9.4pt;z-index:251658240;mso-wrap-style:none;mso-wrap-edited:f;mso-width-percent:0;mso-height-percent:0;mso-position-horizontal:center;mso-position-horizontal-relative:page;mso-position-vertical:bottom;mso-position-vertical-relative:page;mso-width-percent:0;mso-height-percent:0;v-text-anchor:top" stroked="f">
          <v:path strokeok="f" textboxrect="0,0,21600,21600"/>
          <v:textbox style="mso-fit-shape-to-text:t" inset="0,0,0,0">
            <w:txbxContent>
              <w:p w14:paraId="5CDA427C" w14:textId="77777777" w:rsidR="00591C75" w:rsidRDefault="00000000">
                <w:pPr>
                  <w:tabs>
                    <w:tab w:val="right" w:pos="9098"/>
                  </w:tabs>
                </w:pPr>
                <w:r>
                  <w:fldChar w:fldCharType="begin"/>
                </w:r>
                <w:r>
                  <w:rPr>
                    <w:sz w:val="16"/>
                  </w:rPr>
                  <w:instrText xml:space="preserve"> PAGE </w:instrText>
                </w:r>
                <w:r>
                  <w:fldChar w:fldCharType="separate"/>
                </w:r>
                <w:r w:rsidR="00A5587E">
                  <w:rPr>
                    <w:noProof/>
                    <w:sz w:val="16"/>
                  </w:rPr>
                  <w:t>1</w:t>
                </w:r>
                <w:r>
                  <w:fldChar w:fldCharType="end"/>
                </w:r>
                <w:r>
                  <w:rPr>
                    <w:sz w:val="16"/>
                  </w:rPr>
                  <w:t xml:space="preserve"> von </w:t>
                </w:r>
                <w:r>
                  <w:fldChar w:fldCharType="begin"/>
                </w:r>
                <w:r>
                  <w:rPr>
                    <w:sz w:val="16"/>
                  </w:rPr>
                  <w:instrText xml:space="preserve"> NUMPAGES </w:instrText>
                </w:r>
                <w:r>
                  <w:fldChar w:fldCharType="separate"/>
                </w:r>
                <w:r w:rsidR="00A5587E">
                  <w:rPr>
                    <w:noProof/>
                    <w:sz w:val="16"/>
                  </w:rPr>
                  <w:t>2</w:t>
                </w:r>
                <w:r>
                  <w:fldChar w:fldCharType="end"/>
                </w:r>
                <w:r>
                  <w:rPr>
                    <w:sz w:val="16"/>
                  </w:rPr>
                  <w:tab/>
                  <w:t>06/28/2026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DD98C" w14:textId="77777777" w:rsidR="00B86352" w:rsidRDefault="00B86352">
      <w:r>
        <w:separator/>
      </w:r>
    </w:p>
  </w:footnote>
  <w:footnote w:type="continuationSeparator" w:id="0">
    <w:p w14:paraId="3D331097" w14:textId="77777777" w:rsidR="00B86352" w:rsidRDefault="00B86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81F5C" w14:textId="77777777" w:rsidR="00A5587E" w:rsidRDefault="00A5587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AC432" w14:textId="0F252A40" w:rsidR="00591C75" w:rsidRDefault="00591C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62372" w14:textId="77777777" w:rsidR="00A5587E" w:rsidRDefault="00A5587E">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75"/>
    <w:rsid w:val="00054B42"/>
    <w:rsid w:val="00591C75"/>
    <w:rsid w:val="00A5587E"/>
    <w:rsid w:val="00B86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FBD3C"/>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dokcontentnth-of-type1divdk2">
    <w:name w:val="printcontent_dokcontent_nth-of-type(1)_div_dk2"/>
    <w:basedOn w:val="Standard"/>
  </w:style>
  <w:style w:type="character" w:customStyle="1" w:styleId="printcontentdivdk2tablespanentscheidung">
    <w:name w:val="printcontent_div_dk2_table_span_entscheidung"/>
    <w:basedOn w:val="Absatz-Standardschriftart"/>
  </w:style>
  <w:style w:type="paragraph" w:customStyle="1" w:styleId="printcontentdivdk2tablespanfundstelle">
    <w:name w:val="printcontent_div_dk2_table_span_fundstelle"/>
    <w:basedOn w:val="Standard"/>
    <w:pPr>
      <w:jc w:val="right"/>
    </w:pPr>
    <w:rPr>
      <w:sz w:val="18"/>
      <w:szCs w:val="18"/>
    </w:rPr>
  </w:style>
  <w:style w:type="table" w:customStyle="1" w:styleId="printcontentdivdk2table">
    <w:name w:val="printcontent_div_dk2_table"/>
    <w:basedOn w:val="NormaleTabelle"/>
    <w:tblPr/>
  </w:style>
  <w:style w:type="character" w:customStyle="1" w:styleId="bocontentwrapperbocenteranotbeck-btn">
    <w:name w:val="bo_contentwrapper_bo_center_a_not(.beck-btn)"/>
    <w:basedOn w:val="Absatz-Standardschriftart"/>
    <w:rPr>
      <w:color w:val="A80030"/>
    </w:rPr>
  </w:style>
  <w:style w:type="paragraph" w:customStyle="1" w:styleId="bocenterh1">
    <w:name w:val="bo_center_h1"/>
    <w:basedOn w:val="Standard"/>
    <w:rPr>
      <w:b/>
      <w:bCs/>
      <w:color w:val="A80030"/>
      <w:sz w:val="31"/>
      <w:szCs w:val="31"/>
    </w:rPr>
  </w:style>
  <w:style w:type="paragraph" w:customStyle="1" w:styleId="divbocontentwrapperbocenterp">
    <w:name w:val="div_bo_contentwrapper_bo_center_p"/>
    <w:basedOn w:val="Standard"/>
  </w:style>
  <w:style w:type="character" w:customStyle="1" w:styleId="any">
    <w:name w:val="any"/>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sbin1spansidebar-inside">
    <w:name w:val="sbin1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A5587E"/>
    <w:pPr>
      <w:tabs>
        <w:tab w:val="center" w:pos="4536"/>
        <w:tab w:val="right" w:pos="9072"/>
      </w:tabs>
    </w:pPr>
  </w:style>
  <w:style w:type="character" w:customStyle="1" w:styleId="KopfzeileZchn">
    <w:name w:val="Kopfzeile Zchn"/>
    <w:basedOn w:val="Absatz-Standardschriftart"/>
    <w:link w:val="Kopfzeile"/>
    <w:uiPriority w:val="99"/>
    <w:rsid w:val="00A5587E"/>
    <w:rPr>
      <w:color w:val="141414"/>
      <w:sz w:val="22"/>
      <w:szCs w:val="22"/>
    </w:rPr>
  </w:style>
  <w:style w:type="paragraph" w:styleId="Fuzeile">
    <w:name w:val="footer"/>
    <w:basedOn w:val="Standard"/>
    <w:link w:val="FuzeileZchn"/>
    <w:uiPriority w:val="99"/>
    <w:unhideWhenUsed/>
    <w:rsid w:val="00A5587E"/>
    <w:pPr>
      <w:tabs>
        <w:tab w:val="center" w:pos="4536"/>
        <w:tab w:val="right" w:pos="9072"/>
      </w:tabs>
    </w:pPr>
  </w:style>
  <w:style w:type="character" w:customStyle="1" w:styleId="FuzeileZchn">
    <w:name w:val="Fußzeile Zchn"/>
    <w:basedOn w:val="Absatz-Standardschriftart"/>
    <w:link w:val="Fuzeile"/>
    <w:uiPriority w:val="99"/>
    <w:rsid w:val="00A5587E"/>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eck-online.beck.de/?typ=reference&amp;y=100&amp;g=INSO&amp;p=34" TargetMode="External"/><Relationship Id="rId18" Type="http://schemas.openxmlformats.org/officeDocument/2006/relationships/hyperlink" Target="https://beck-online.beck.de/?typ=reference&amp;y=100&amp;g=ZPO&amp;p=574&amp;x=1" TargetMode="External"/><Relationship Id="rId26" Type="http://schemas.openxmlformats.org/officeDocument/2006/relationships/hyperlink" Target="https://beck-online.beck.de/?typ=reference&amp;y=400&amp;w=UHLENBRUCKKOINSO&amp;aufl=12&amp;g=EWG_VO_2015_848&amp;p=14&amp;rn=52" TargetMode="External"/><Relationship Id="rId39" Type="http://schemas.openxmlformats.org/officeDocument/2006/relationships/hyperlink" Target="https://beck-online.beck.de/?typ=reference&amp;y=300&amp;z=BGHZ&amp;b=163&amp;s=134" TargetMode="External"/><Relationship Id="rId21" Type="http://schemas.openxmlformats.org/officeDocument/2006/relationships/hyperlink" Target="https://beck-online.beck.de/?typ=reference&amp;y=100&amp;g=ZPO&amp;p=574&amp;x=2" TargetMode="External"/><Relationship Id="rId34" Type="http://schemas.openxmlformats.org/officeDocument/2006/relationships/hyperlink" Target="https://beck-online.beck.de/?typ=reference&amp;y=300&amp;z=ZIP&amp;b=2006&amp;sx=1458" TargetMode="External"/><Relationship Id="rId42" Type="http://schemas.openxmlformats.org/officeDocument/2006/relationships/hyperlink" Target="https://beck-online.beck.de/?typ=reference&amp;y=300&amp;z=ZIP&amp;b=2007&amp;s=1666" TargetMode="External"/><Relationship Id="rId47" Type="http://schemas.openxmlformats.org/officeDocument/2006/relationships/hyperlink" Target="https://beck-online.beck.de/?typ=reference&amp;y=300&amp;z=ZIP&amp;b=2006&amp;s=2222" TargetMode="External"/><Relationship Id="rId50" Type="http://schemas.openxmlformats.org/officeDocument/2006/relationships/hyperlink" Target="https://beck-online.beck.de/?typ=reference&amp;y=100&amp;g=GKG&amp;p=58" TargetMode="External"/><Relationship Id="rId55" Type="http://schemas.openxmlformats.org/officeDocument/2006/relationships/hyperlink" Target="https://beck-online.beck.de/?typ=reference&amp;y=200&amp;ge=LGMUENCHENI&amp;az=14T1609107&amp;d=2007-12-13" TargetMode="External"/><Relationship Id="rId7" Type="http://schemas.openxmlformats.org/officeDocument/2006/relationships/hyperlink" Target="https://beck-online.beck.de/?typ=reference&amp;y=100&amp;g=INSO&amp;p=14" TargetMode="External"/><Relationship Id="rId2" Type="http://schemas.openxmlformats.org/officeDocument/2006/relationships/settings" Target="settings.xml"/><Relationship Id="rId16" Type="http://schemas.openxmlformats.org/officeDocument/2006/relationships/hyperlink" Target="https://beck-online.beck.de/?typ=reference&amp;y=100&amp;g=INSO&amp;p=6" TargetMode="External"/><Relationship Id="rId29" Type="http://schemas.openxmlformats.org/officeDocument/2006/relationships/hyperlink" Target="https://beck-online.beck.de/?typ=reference&amp;y=100&amp;g=ZPO&amp;p=294" TargetMode="External"/><Relationship Id="rId11" Type="http://schemas.openxmlformats.org/officeDocument/2006/relationships/hyperlink" Target="https://beck-online.beck.de/?typ=reference&amp;y=200&amp;ge=BGH&amp;az=IXZB708" TargetMode="External"/><Relationship Id="rId24" Type="http://schemas.openxmlformats.org/officeDocument/2006/relationships/hyperlink" Target="https://beck-online.beck.de/?typ=reference&amp;y=300&amp;z=ZIP&amp;b=2004&amp;s=1466" TargetMode="External"/><Relationship Id="rId32" Type="http://schemas.openxmlformats.org/officeDocument/2006/relationships/hyperlink" Target="https://beck-online.beck.de/?typ=reference&amp;y=200&amp;ge=BGH&amp;az=IXZB23805&amp;d=2006-06-13" TargetMode="External"/><Relationship Id="rId37" Type="http://schemas.openxmlformats.org/officeDocument/2006/relationships/hyperlink" Target="https://beck-online.beck.de/?typ=reference&amp;y=300&amp;z=BGHZ&amp;b=169&amp;sx=21" TargetMode="External"/><Relationship Id="rId40" Type="http://schemas.openxmlformats.org/officeDocument/2006/relationships/hyperlink" Target="https://beck-online.beck.de/?typ=reference&amp;y=300&amp;z=BGHZ&amp;b=163&amp;sx=145" TargetMode="External"/><Relationship Id="rId45" Type="http://schemas.openxmlformats.org/officeDocument/2006/relationships/hyperlink" Target="https://beck-online.beck.de/?typ=reference&amp;y=100&amp;g=INSO&amp;p=17" TargetMode="External"/><Relationship Id="rId53" Type="http://schemas.openxmlformats.org/officeDocument/2006/relationships/hyperlink" Target="https://beck-online.beck.de/?typ=reference&amp;y=100&amp;g=GKG&amp;p=58&amp;x=1" TargetMode="External"/><Relationship Id="rId58"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hyperlink" Target="https://beck-online.beck.de/?typ=reference&amp;y=100&amp;g=ZPO&amp;p=574&amp;x=1&amp;sz=1&amp;n=1" TargetMode="External"/><Relationship Id="rId14" Type="http://schemas.openxmlformats.org/officeDocument/2006/relationships/hyperlink" Target="https://beck-online.beck.de/?typ=reference&amp;y=100&amp;g=INSO&amp;p=34&amp;x=2" TargetMode="External"/><Relationship Id="rId22" Type="http://schemas.openxmlformats.org/officeDocument/2006/relationships/hyperlink" Target="https://beck-online.beck.de/?typ=reference&amp;y=100&amp;g=ZPO&amp;p=574&amp;x=2&amp;sz=2&amp;n=2" TargetMode="External"/><Relationship Id="rId27" Type="http://schemas.openxmlformats.org/officeDocument/2006/relationships/hyperlink" Target="https://beck-online.beck.de/?typ=reference&amp;y=100&amp;g=INSO&amp;p=14" TargetMode="External"/><Relationship Id="rId30" Type="http://schemas.openxmlformats.org/officeDocument/2006/relationships/hyperlink" Target="https://beck-online.beck.de/?typ=reference&amp;y=300&amp;z=BGHZ&amp;b=156&amp;s=139" TargetMode="External"/><Relationship Id="rId35" Type="http://schemas.openxmlformats.org/officeDocument/2006/relationships/hyperlink" Target="https://beck-online.beck.de/?typ=reference&amp;y=300&amp;z=ZIP&amp;b=2006&amp;s=1457&amp;rn=5" TargetMode="External"/><Relationship Id="rId43" Type="http://schemas.openxmlformats.org/officeDocument/2006/relationships/hyperlink" Target="https://beck-online.beck.de/?typ=reference&amp;y=300&amp;z=ZIP&amp;b=2007&amp;sx=1669" TargetMode="External"/><Relationship Id="rId48" Type="http://schemas.openxmlformats.org/officeDocument/2006/relationships/hyperlink" Target="https://beck-online.beck.de/?typ=reference&amp;y=300&amp;z=ZIP&amp;b=2006&amp;sx=2224" TargetMode="External"/><Relationship Id="rId56" Type="http://schemas.openxmlformats.org/officeDocument/2006/relationships/header" Target="header1.xml"/><Relationship Id="rId8" Type="http://schemas.openxmlformats.org/officeDocument/2006/relationships/hyperlink" Target="https://beck-online.beck.de/?typ=reference&amp;y=100&amp;g=INSO&amp;p=14&amp;x=1" TargetMode="External"/><Relationship Id="rId51" Type="http://schemas.openxmlformats.org/officeDocument/2006/relationships/hyperlink" Target="https://beck-online.beck.de/?typ=reference&amp;y=100&amp;g=GKG&amp;p=58&amp;x=3" TargetMode="External"/><Relationship Id="rId3" Type="http://schemas.openxmlformats.org/officeDocument/2006/relationships/webSettings" Target="webSettings.xml"/><Relationship Id="rId12" Type="http://schemas.openxmlformats.org/officeDocument/2006/relationships/hyperlink" Target="https://beck-online.beck.de/?typ=reference&amp;y=200&amp;ge=LGMUENCHENI&amp;d=2007-12-13" TargetMode="External"/><Relationship Id="rId17" Type="http://schemas.openxmlformats.org/officeDocument/2006/relationships/hyperlink" Target="https://beck-online.beck.de/?typ=reference&amp;y=100&amp;g=ZPO&amp;p=574" TargetMode="External"/><Relationship Id="rId25" Type="http://schemas.openxmlformats.org/officeDocument/2006/relationships/hyperlink" Target="https://beck-online.beck.de/?typ=reference&amp;y=300&amp;z=ZIP&amp;b=2004&amp;sx=1467" TargetMode="External"/><Relationship Id="rId33" Type="http://schemas.openxmlformats.org/officeDocument/2006/relationships/hyperlink" Target="https://beck-online.beck.de/?typ=reference&amp;y=300&amp;z=ZIP&amp;b=2006&amp;s=1457" TargetMode="External"/><Relationship Id="rId38" Type="http://schemas.openxmlformats.org/officeDocument/2006/relationships/hyperlink" Target="https://beck-online.beck.de/?typ=reference&amp;y=300&amp;z=BGHZ&amp;b=169&amp;s=17&amp;rn=11" TargetMode="External"/><Relationship Id="rId46" Type="http://schemas.openxmlformats.org/officeDocument/2006/relationships/hyperlink" Target="https://beck-online.beck.de/?typ=reference&amp;y=200&amp;ge=BGH&amp;az=IXZR22803&amp;d=2006-10-12" TargetMode="External"/><Relationship Id="rId59" Type="http://schemas.openxmlformats.org/officeDocument/2006/relationships/header" Target="header3.xml"/><Relationship Id="rId20" Type="http://schemas.openxmlformats.org/officeDocument/2006/relationships/hyperlink" Target="https://beck-online.beck.de/?typ=reference&amp;y=100&amp;g=ZPO&amp;p=574" TargetMode="External"/><Relationship Id="rId41" Type="http://schemas.openxmlformats.org/officeDocument/2006/relationships/hyperlink" Target="https://beck-online.beck.de/?typ=reference&amp;y=200&amp;ge=BGH&amp;az=IXZB3607&amp;d=2007-07-19" TargetMode="External"/><Relationship Id="rId54" Type="http://schemas.openxmlformats.org/officeDocument/2006/relationships/hyperlink" Target="https://beck-online.beck.de/?typ=reference&amp;y=200&amp;ge=AGMUENCHEN&amp;az=1506IN146107&amp;d=2007-07-26" TargetMode="External"/><Relationship Id="rId1" Type="http://schemas.openxmlformats.org/officeDocument/2006/relationships/styles" Target="styles.xml"/><Relationship Id="rId6" Type="http://schemas.openxmlformats.org/officeDocument/2006/relationships/hyperlink" Target="https://beck-online.beck.de/?typ=reference&amp;y=200&amp;ge=BGH&amp;az=IXZB708" TargetMode="External"/><Relationship Id="rId15" Type="http://schemas.openxmlformats.org/officeDocument/2006/relationships/hyperlink" Target="https://beck-online.beck.de/?typ=reference&amp;y=100&amp;g=INSO&amp;p=7" TargetMode="External"/><Relationship Id="rId23" Type="http://schemas.openxmlformats.org/officeDocument/2006/relationships/hyperlink" Target="https://beck-online.beck.de/?typ=reference&amp;y=200&amp;ge=BGH&amp;az=IXZB2903&amp;d=2004-02-05" TargetMode="External"/><Relationship Id="rId28" Type="http://schemas.openxmlformats.org/officeDocument/2006/relationships/hyperlink" Target="https://beck-online.beck.de/?typ=reference&amp;y=100&amp;g=INSO&amp;p=14&amp;x=1" TargetMode="External"/><Relationship Id="rId36" Type="http://schemas.openxmlformats.org/officeDocument/2006/relationships/hyperlink" Target="https://beck-online.beck.de/?typ=reference&amp;y=300&amp;z=BGHZ&amp;b=169&amp;s=17" TargetMode="External"/><Relationship Id="rId49" Type="http://schemas.openxmlformats.org/officeDocument/2006/relationships/hyperlink" Target="https://beck-online.beck.de/?typ=reference&amp;y=300&amp;z=ZIP&amp;b=2006&amp;s=2222&amp;rn=28" TargetMode="External"/><Relationship Id="rId57" Type="http://schemas.openxmlformats.org/officeDocument/2006/relationships/header" Target="header2.xml"/><Relationship Id="rId10" Type="http://schemas.openxmlformats.org/officeDocument/2006/relationships/hyperlink" Target="https://beck-online.beck.de/?typ=reference&amp;y=300&amp;z=WUM&amp;b=2009&amp;s=144" TargetMode="External"/><Relationship Id="rId31" Type="http://schemas.openxmlformats.org/officeDocument/2006/relationships/hyperlink" Target="https://beck-online.beck.de/?typ=reference&amp;y=300&amp;z=BGHZ&amp;b=156&amp;sx=142" TargetMode="External"/><Relationship Id="rId44" Type="http://schemas.openxmlformats.org/officeDocument/2006/relationships/hyperlink" Target="https://beck-online.beck.de/?typ=reference&amp;y=300&amp;z=ZIP&amp;b=2007&amp;s=1666&amp;rn=31" TargetMode="External"/><Relationship Id="rId52" Type="http://schemas.openxmlformats.org/officeDocument/2006/relationships/hyperlink" Target="https://beck-online.beck.de/?typ=reference&amp;y=100&amp;g=GKG&amp;p=58" TargetMode="External"/><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eck-online.beck.de/?typ=reference&amp;y=100&amp;g=INSO&amp;p=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1739</Words>
  <Characters>10858</Characters>
  <Application>Microsoft Office Word</Application>
  <DocSecurity>0</DocSecurity>
  <Lines>201</Lines>
  <Paragraphs>82</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Glaubhaftmachung der Forderung und des Insolvenzgrundes - Steuern und Bilanzen</dc:title>
  <dc:creator>beck-online.beck.de</dc:creator>
  <cp:lastModifiedBy>Martin Otten</cp:lastModifiedBy>
  <cp:revision>2</cp:revision>
  <dcterms:created xsi:type="dcterms:W3CDTF">2026-06-28T11:54:00Z</dcterms:created>
  <dcterms:modified xsi:type="dcterms:W3CDTF">2026-06-28T11:54:00Z</dcterms:modified>
</cp:coreProperties>
</file>