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F2A81F1" w14:textId="1A87C630" w:rsidR="00CF061C" w:rsidRDefault="00CF061C">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554"/>
        <w:gridCol w:w="1536"/>
      </w:tblGrid>
      <w:tr w:rsidR="00CF061C" w14:paraId="73468641" w14:textId="77777777">
        <w:tc>
          <w:tcPr>
            <w:tcW w:w="0" w:type="auto"/>
            <w:shd w:val="clear" w:color="auto" w:fill="F7F7F0"/>
            <w:tcMar>
              <w:top w:w="45" w:type="dxa"/>
              <w:left w:w="45" w:type="dxa"/>
              <w:bottom w:w="105" w:type="dxa"/>
              <w:right w:w="90" w:type="dxa"/>
            </w:tcMar>
            <w:hideMark/>
          </w:tcPr>
          <w:p w14:paraId="4CC7E180" w14:textId="77777777" w:rsidR="00CF061C" w:rsidRDefault="00000000">
            <w:r>
              <w:rPr>
                <w:rStyle w:val="any"/>
                <w:sz w:val="20"/>
              </w:rPr>
              <w:t>BGH: Haftung des ausgeschiedenen Geschäftsführers für Insolvenzverschleppungsschäden von Neugläubigern – vorsätzliche sittenwidrige Schädigung durch Schneeballsystem</w:t>
            </w:r>
          </w:p>
        </w:tc>
        <w:tc>
          <w:tcPr>
            <w:tcW w:w="0" w:type="auto"/>
            <w:shd w:val="clear" w:color="auto" w:fill="F7F7F0"/>
            <w:noWrap/>
            <w:tcMar>
              <w:top w:w="45" w:type="dxa"/>
              <w:left w:w="45" w:type="dxa"/>
              <w:bottom w:w="105" w:type="dxa"/>
              <w:right w:w="98" w:type="dxa"/>
            </w:tcMar>
            <w:hideMark/>
          </w:tcPr>
          <w:p w14:paraId="2B22DB5F" w14:textId="77777777" w:rsidR="00CF061C" w:rsidRDefault="00000000">
            <w:pPr>
              <w:pStyle w:val="printcontentdivdk2spancitation"/>
              <w:ind w:left="150"/>
              <w:jc w:val="right"/>
            </w:pPr>
            <w:r>
              <w:rPr>
                <w:sz w:val="20"/>
              </w:rPr>
              <w:t>NZI 2025, 885</w:t>
            </w:r>
          </w:p>
        </w:tc>
      </w:tr>
    </w:tbl>
    <w:p w14:paraId="73995509" w14:textId="77777777" w:rsidR="00CF061C"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Haftung des ausgeschiedenen Geschäftsführers für Insolvenzverschleppungsschäden von Neugläubigern – vorsätzliche sittenwidrige Schädigung durch Schneeballsystem</w:t>
      </w:r>
    </w:p>
    <w:p w14:paraId="5C6029FC" w14:textId="77777777" w:rsidR="00CF061C" w:rsidRDefault="00000000">
      <w:pPr>
        <w:pStyle w:val="printcontentdivnotlawversion"/>
        <w:spacing w:line="360" w:lineRule="auto"/>
        <w:ind w:left="600" w:right="150"/>
      </w:pPr>
      <w:r>
        <w:rPr>
          <w:rStyle w:val="any"/>
          <w:color w:val="000000"/>
        </w:rPr>
        <w:t xml:space="preserve">InsO §§ </w:t>
      </w:r>
      <w:hyperlink r:id="rId6" w:history="1">
        <w:r>
          <w:rPr>
            <w:rStyle w:val="bocontentwrapperbocenteranotbeck-btn"/>
            <w:color w:val="000000"/>
            <w:u w:val="single" w:color="000000"/>
          </w:rPr>
          <w:t>15a</w:t>
        </w:r>
      </w:hyperlink>
      <w:r>
        <w:rPr>
          <w:rStyle w:val="any"/>
          <w:color w:val="000000"/>
        </w:rPr>
        <w:t xml:space="preserve">, </w:t>
      </w:r>
      <w:hyperlink r:id="rId7" w:history="1">
        <w:r>
          <w:rPr>
            <w:rStyle w:val="bocontentwrapperbocenteranotbeck-btn"/>
            <w:color w:val="000000"/>
            <w:u w:val="single" w:color="000000"/>
          </w:rPr>
          <w:t>17</w:t>
        </w:r>
      </w:hyperlink>
      <w:r>
        <w:rPr>
          <w:rStyle w:val="any"/>
          <w:color w:val="000000"/>
        </w:rPr>
        <w:t xml:space="preserve">, </w:t>
      </w:r>
      <w:hyperlink r:id="rId8" w:history="1">
        <w:r>
          <w:rPr>
            <w:rStyle w:val="bocontentwrapperbocenteranotbeck-btn"/>
            <w:color w:val="000000"/>
            <w:u w:val="single" w:color="000000"/>
          </w:rPr>
          <w:t>174</w:t>
        </w:r>
      </w:hyperlink>
      <w:r>
        <w:rPr>
          <w:rStyle w:val="any"/>
          <w:color w:val="000000"/>
        </w:rPr>
        <w:t xml:space="preserve">, </w:t>
      </w:r>
      <w:hyperlink r:id="rId9" w:history="1">
        <w:r>
          <w:rPr>
            <w:rStyle w:val="bocontentwrapperbocenteranotbeck-btn"/>
            <w:color w:val="000000"/>
            <w:u w:val="single" w:color="000000"/>
          </w:rPr>
          <w:t>184</w:t>
        </w:r>
      </w:hyperlink>
      <w:r>
        <w:rPr>
          <w:rStyle w:val="divbocontentwrapperbocenterp"/>
          <w:color w:val="000000"/>
        </w:rPr>
        <w:t xml:space="preserve">; </w:t>
      </w:r>
      <w:r>
        <w:rPr>
          <w:rStyle w:val="any"/>
          <w:color w:val="000000"/>
        </w:rPr>
        <w:t xml:space="preserve">BGB §§ </w:t>
      </w:r>
      <w:hyperlink r:id="rId10" w:history="1">
        <w:r>
          <w:rPr>
            <w:rStyle w:val="bocontentwrapperbocenteranotbeck-btn"/>
            <w:color w:val="000000"/>
            <w:u w:val="single" w:color="000000"/>
          </w:rPr>
          <w:t>823</w:t>
        </w:r>
      </w:hyperlink>
      <w:r>
        <w:rPr>
          <w:rStyle w:val="any"/>
          <w:color w:val="000000"/>
        </w:rPr>
        <w:t xml:space="preserve">, </w:t>
      </w:r>
      <w:hyperlink r:id="rId11" w:history="1">
        <w:r>
          <w:rPr>
            <w:rStyle w:val="bocontentwrapperbocenteranotbeck-btn"/>
            <w:color w:val="000000"/>
            <w:u w:val="single" w:color="000000"/>
          </w:rPr>
          <w:t>826</w:t>
        </w:r>
      </w:hyperlink>
      <w:r>
        <w:rPr>
          <w:rStyle w:val="divbocontentwrapperbocenterp"/>
          <w:color w:val="000000"/>
        </w:rPr>
        <w:t xml:space="preserve">; GmbHG aF </w:t>
      </w:r>
      <w:r>
        <w:rPr>
          <w:rStyle w:val="any"/>
          <w:color w:val="000000"/>
        </w:rPr>
        <w:t>§ 64</w:t>
      </w:r>
      <w:r>
        <w:rPr>
          <w:rStyle w:val="divbocontentwrapperbocenterp"/>
          <w:color w:val="000000"/>
        </w:rPr>
        <w:t xml:space="preserve">; </w:t>
      </w:r>
      <w:r>
        <w:rPr>
          <w:rStyle w:val="any"/>
          <w:color w:val="000000"/>
        </w:rPr>
        <w:t xml:space="preserve">ZPO §§ </w:t>
      </w:r>
      <w:hyperlink r:id="rId12" w:history="1">
        <w:r>
          <w:rPr>
            <w:rStyle w:val="bocontentwrapperbocenteranotbeck-btn"/>
            <w:color w:val="000000"/>
            <w:u w:val="single" w:color="000000"/>
          </w:rPr>
          <w:t>240</w:t>
        </w:r>
      </w:hyperlink>
      <w:r>
        <w:rPr>
          <w:rStyle w:val="any"/>
          <w:color w:val="000000"/>
        </w:rPr>
        <w:t xml:space="preserve">, </w:t>
      </w:r>
      <w:hyperlink r:id="rId13" w:history="1">
        <w:r>
          <w:rPr>
            <w:rStyle w:val="bocontentwrapperbocenteranotbeck-btn"/>
            <w:color w:val="000000"/>
            <w:u w:val="single" w:color="000000"/>
          </w:rPr>
          <w:t>250</w:t>
        </w:r>
      </w:hyperlink>
      <w:bookmarkStart w:id="0" w:name="Y-300-Z-NZI-B-2025-S-885-N-1-Gl-1"/>
      <w:bookmarkEnd w:id="0"/>
    </w:p>
    <w:p w14:paraId="7037A227" w14:textId="77777777" w:rsidR="00CF061C" w:rsidRDefault="00000000">
      <w:pPr>
        <w:pStyle w:val="divbocontentwrapperbocenterpParagraph"/>
        <w:spacing w:after="120" w:line="360" w:lineRule="auto"/>
        <w:ind w:left="600" w:right="150"/>
        <w:rPr>
          <w:b/>
          <w:bCs/>
          <w:color w:val="000000"/>
        </w:rPr>
      </w:pPr>
      <w:r>
        <w:rPr>
          <w:rStyle w:val="aufz"/>
          <w:b/>
          <w:bCs/>
          <w:color w:val="000000"/>
        </w:rPr>
        <w:t xml:space="preserve">1. </w:t>
      </w:r>
      <w:r>
        <w:rPr>
          <w:b/>
          <w:bCs/>
          <w:color w:val="000000"/>
        </w:rPr>
        <w:t xml:space="preserve">Ein ausgeschiedener Geschäftsführer haftet gem. </w:t>
      </w:r>
      <w:r>
        <w:rPr>
          <w:rStyle w:val="any"/>
          <w:b/>
          <w:bCs/>
          <w:color w:val="000000"/>
        </w:rPr>
        <w:t xml:space="preserve">§ </w:t>
      </w:r>
      <w:hyperlink r:id="rId14" w:history="1">
        <w:r>
          <w:rPr>
            <w:rStyle w:val="bocontentwrapperbocenteranotbeck-btn"/>
            <w:b/>
            <w:bCs/>
            <w:color w:val="000000"/>
            <w:u w:val="single" w:color="000000"/>
          </w:rPr>
          <w:t>823</w:t>
        </w:r>
      </w:hyperlink>
      <w:r>
        <w:rPr>
          <w:rStyle w:val="any"/>
          <w:b/>
          <w:bCs/>
          <w:color w:val="000000"/>
        </w:rPr>
        <w:t xml:space="preserve"> </w:t>
      </w:r>
      <w:hyperlink r:id="rId15" w:history="1">
        <w:r>
          <w:rPr>
            <w:rStyle w:val="bocontentwrapperbocenteranotbeck-btn"/>
            <w:b/>
            <w:bCs/>
            <w:color w:val="000000"/>
            <w:u w:val="single" w:color="000000"/>
          </w:rPr>
          <w:t>II</w:t>
        </w:r>
      </w:hyperlink>
      <w:r>
        <w:rPr>
          <w:rStyle w:val="any"/>
          <w:b/>
          <w:bCs/>
          <w:color w:val="000000"/>
        </w:rPr>
        <w:t xml:space="preserve"> BGB</w:t>
      </w:r>
      <w:r>
        <w:rPr>
          <w:b/>
          <w:bCs/>
          <w:color w:val="000000"/>
        </w:rPr>
        <w:t xml:space="preserve"> iVm </w:t>
      </w:r>
      <w:r>
        <w:rPr>
          <w:rStyle w:val="any"/>
          <w:b/>
          <w:bCs/>
          <w:color w:val="000000"/>
        </w:rPr>
        <w:t xml:space="preserve">§ </w:t>
      </w:r>
      <w:hyperlink r:id="rId16" w:history="1">
        <w:r>
          <w:rPr>
            <w:rStyle w:val="bocontentwrapperbocenteranotbeck-btn"/>
            <w:b/>
            <w:bCs/>
            <w:color w:val="000000"/>
            <w:u w:val="single" w:color="000000"/>
          </w:rPr>
          <w:t>15a</w:t>
        </w:r>
      </w:hyperlink>
      <w:r>
        <w:rPr>
          <w:rStyle w:val="any"/>
          <w:b/>
          <w:bCs/>
          <w:color w:val="000000"/>
        </w:rPr>
        <w:t xml:space="preserve"> InsO</w:t>
      </w:r>
      <w:r>
        <w:rPr>
          <w:b/>
          <w:bCs/>
          <w:color w:val="000000"/>
        </w:rPr>
        <w:t xml:space="preserve"> auch für Schäden von Neugläubigern, die nach seinem Ausscheiden in vertragliche Beziehungen zur Gesellschaft getreten sind, wenn die durch seine Antragspflichtverletzung geschaffene Gefahrenlage im Zeitpunkt der Schadensentstehung noch fortbesteht. </w:t>
      </w:r>
    </w:p>
    <w:p w14:paraId="2154AACE" w14:textId="77777777" w:rsidR="00CF061C" w:rsidRDefault="00000000">
      <w:pPr>
        <w:pStyle w:val="divbocontentwrapperbocenterpParagraph"/>
        <w:spacing w:after="120" w:line="360" w:lineRule="auto"/>
        <w:ind w:left="600" w:right="150"/>
        <w:rPr>
          <w:b/>
          <w:bCs/>
          <w:color w:val="000000"/>
        </w:rPr>
      </w:pPr>
      <w:r>
        <w:rPr>
          <w:rStyle w:val="aufz"/>
          <w:b/>
          <w:bCs/>
          <w:color w:val="000000"/>
        </w:rPr>
        <w:t xml:space="preserve">2. </w:t>
      </w:r>
      <w:r>
        <w:rPr>
          <w:b/>
          <w:bCs/>
          <w:color w:val="000000"/>
        </w:rPr>
        <w:t xml:space="preserve">Eine Unterbrechung des Zurechnungszusammenhangs der Haftung des ausgeschiedenen Geschäftsführers für Schäden von Neugläubigern kommt nur in Betracht, wenn das durch seine Pflichtverletzung geschaffene Risiko sich bei wertender Betrachtung bei Abschluss des zum Schaden des Neugläubigers führenden Vertrags nicht mehr auswirkt, so etwa, wenn die Gesellschaft sich nach der Antragspflichtverletzung des ausgeschiedenen Geschäftsführers zunächst wieder nachhaltig erholt hatte und erst nach seinem Ausscheiden wieder insolvenzreif geworden war. </w:t>
      </w:r>
    </w:p>
    <w:p w14:paraId="4829653F" w14:textId="77777777" w:rsidR="00CF061C" w:rsidRDefault="00000000">
      <w:pPr>
        <w:pStyle w:val="divbocontentwrapperbocenterpParagraph"/>
        <w:spacing w:after="120" w:line="360" w:lineRule="auto"/>
        <w:ind w:left="600" w:right="150"/>
        <w:rPr>
          <w:b/>
          <w:bCs/>
          <w:color w:val="000000"/>
        </w:rPr>
      </w:pPr>
      <w:r>
        <w:rPr>
          <w:rStyle w:val="aufz"/>
          <w:b/>
          <w:bCs/>
          <w:color w:val="000000"/>
        </w:rPr>
        <w:t xml:space="preserve">3. </w:t>
      </w:r>
      <w:r>
        <w:rPr>
          <w:b/>
          <w:bCs/>
          <w:color w:val="000000"/>
        </w:rPr>
        <w:t xml:space="preserve">Allein der zeitliche Abstand zwischen der Beendigung der Organstellung des Geschäftsführers und dem schädigenden Vertragsschluss des Neugläubigers mit der Gesellschaft reicht jedenfalls bei Fortbestehen der ursprünglich geschaffenen Gefahrenlage für eine Unterbrechung des Zurechnungszusammenhangs in der Regel nicht aus. </w:t>
      </w:r>
    </w:p>
    <w:p w14:paraId="771DF581" w14:textId="77777777" w:rsidR="00CF061C" w:rsidRDefault="00000000">
      <w:pPr>
        <w:pStyle w:val="divbocontentwrapperbocenterpParagraph"/>
        <w:spacing w:after="120" w:line="360" w:lineRule="auto"/>
        <w:ind w:left="600" w:right="150"/>
        <w:rPr>
          <w:b/>
          <w:bCs/>
          <w:color w:val="000000"/>
        </w:rPr>
      </w:pPr>
      <w:r>
        <w:rPr>
          <w:rStyle w:val="aufz"/>
          <w:b/>
          <w:bCs/>
          <w:color w:val="000000"/>
        </w:rPr>
        <w:t xml:space="preserve">4. </w:t>
      </w:r>
      <w:r>
        <w:rPr>
          <w:b/>
          <w:bCs/>
          <w:color w:val="000000"/>
        </w:rPr>
        <w:t xml:space="preserve">Die Haftung wegen sittenwidrigen vorsätzlichen Betreibens eines Schneeballsystems gem. </w:t>
      </w:r>
      <w:r>
        <w:rPr>
          <w:rStyle w:val="any"/>
          <w:b/>
          <w:bCs/>
          <w:color w:val="000000"/>
        </w:rPr>
        <w:t xml:space="preserve">§ </w:t>
      </w:r>
      <w:hyperlink r:id="rId17" w:history="1">
        <w:r>
          <w:rPr>
            <w:rStyle w:val="bocontentwrapperbocenteranotbeck-btn"/>
            <w:b/>
            <w:bCs/>
            <w:color w:val="000000"/>
            <w:u w:val="single" w:color="000000"/>
          </w:rPr>
          <w:t>826</w:t>
        </w:r>
      </w:hyperlink>
      <w:r>
        <w:rPr>
          <w:rStyle w:val="any"/>
          <w:b/>
          <w:bCs/>
          <w:color w:val="000000"/>
        </w:rPr>
        <w:t xml:space="preserve"> BGB</w:t>
      </w:r>
      <w:r>
        <w:rPr>
          <w:b/>
          <w:bCs/>
          <w:color w:val="000000"/>
        </w:rPr>
        <w:t xml:space="preserve"> knüpft an eine Tätigkeit in der Eigenschaft als Funktionsträger des Vertriebssystems an. Diese besteht nach der Abberufung als Geschäftsführer der das Schneeballsystem betreibenden Gesellschaft nicht mehr. (Leitsätze der Redaktion)</w:t>
      </w:r>
    </w:p>
    <w:p w14:paraId="53604AFA" w14:textId="77777777" w:rsidR="00CF061C"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Teilversäumnisurteil</w:t>
      </w:r>
      <w:r>
        <w:rPr>
          <w:color w:val="000000"/>
        </w:rPr>
        <w:t xml:space="preserve"> vom </w:t>
      </w:r>
      <w:r>
        <w:rPr>
          <w:rStyle w:val="any"/>
          <w:color w:val="000000"/>
        </w:rPr>
        <w:t>8.7.2025</w:t>
      </w:r>
      <w:r>
        <w:rPr>
          <w:color w:val="000000"/>
        </w:rPr>
        <w:t xml:space="preserve"> – </w:t>
      </w:r>
      <w:r>
        <w:rPr>
          <w:rStyle w:val="any"/>
          <w:color w:val="000000"/>
        </w:rPr>
        <w:t>II ZR 165/23</w:t>
      </w:r>
      <w:bookmarkStart w:id="1" w:name="Y-300-Z-NZI-B-2025-S-885-N-1-Gl-2"/>
      <w:bookmarkEnd w:id="1"/>
    </w:p>
    <w:p w14:paraId="30292F10" w14:textId="77777777" w:rsidR="00CF061C"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36FF5546" w14:textId="77777777" w:rsidR="00CF061C" w:rsidRDefault="00000000">
      <w:pPr>
        <w:pStyle w:val="divbocontentwrapperbocenterpParagraph"/>
        <w:spacing w:after="120" w:line="360" w:lineRule="auto"/>
        <w:ind w:left="600" w:right="150"/>
        <w:jc w:val="both"/>
        <w:rPr>
          <w:color w:val="000000"/>
        </w:rPr>
      </w:pPr>
      <w:r>
        <w:rPr>
          <w:color w:val="000000"/>
        </w:rPr>
        <w:t xml:space="preserve">Der Kl. nimmt die Bekl. als Alleinerbin des früheren Geschäftsführers mehrerer Vertriebsgesellschaften der sog. „P Gruppe“ (im Folgenden: Erblasser) wegen neun </w:t>
      </w:r>
      <w:r>
        <w:rPr>
          <w:color w:val="000000"/>
        </w:rPr>
        <w:lastRenderedPageBreak/>
        <w:t>Seefrachtcontainer-Anlagen auf Schadensersatz in Anspruch. Zu der im Jahr 1975 von R gegründeten „P Gruppe“ gehörten in Deutschland vier Vertriebsgesellschaften in der Rechtsform der GmbH, die P-AG und die in der Schweiz ansässige P. Unternehmensgegenstand der deutschen Vertriebsgesellschaften waren der Vertrieb und die Verwaltung von Containern. Dazu schlossen sie mit einer Vielzahl von Anlegern Kauf- und Verwaltungsverträge über neue oder gebrauchte Seefrachtcontainer, mit denen die Anleger von der jeweiligen Vertriebsgesellschaft eine bestimmte Anzahl von Containern kauften, das Eigentum an diesen erwerben sollten und zugleich einen Verwaltungsvertrag mit der Gesellschaft über die erworbenen Container über eine Laufzeit von regelmäßig drei bzw. fünf Jahren schlossen, während der sie einen garantierten Mietzins erhalten sollten. Zum Ende der Laufzeit war in den Verträgen teils vereinbart, dass die jeweilige Gesellschaft zum Rückkauf der Container bereit sei und ein Kaufangebot unterbreiten werde, teils behielt die Vertriebsgesellschaft sich die Unterbreitung eines Rückkaufangebots vor. Die Vertriebsgesellschaften erwarben die Container ihrerseits von der P., die auch die Vermietung der Container an Leasinggesellschaften oder Reedereien übernahm.</w:t>
      </w:r>
    </w:p>
    <w:p w14:paraId="7C773DCF" w14:textId="77777777" w:rsidR="00CF061C" w:rsidRDefault="00000000">
      <w:pPr>
        <w:pStyle w:val="divbocontentwrapperbocenterpParagraph"/>
        <w:spacing w:after="120" w:line="360" w:lineRule="auto"/>
        <w:ind w:left="600" w:right="150"/>
        <w:jc w:val="both"/>
        <w:rPr>
          <w:color w:val="000000"/>
        </w:rPr>
      </w:pPr>
      <w:r>
        <w:rPr>
          <w:color w:val="000000"/>
        </w:rPr>
        <w:t>Ab dem Jahr 2007 geriet das Geschäftsmodell in eine Schieflage. Die P. verwendete die vereinnahmten Kaufpreise teilweise nicht zur Beschaffung der von den Vertriebsgesellschaften an die Anleger verkauften Container, sondern zur Erfüllung der Ansprüche von Altanlegern, wodurch ein sogenanntes Schneeballsystem entstand. Zu Beginn des Jahres 2018 brach das System zusammen, weil nicht mehr ausreichend neue Anlegergelder zur Befriedigung der Altanleger eingeworben werden konnten. Auf Eigenanträge der Vertriebsgesellschaften von März/April 2018 wurde am 24.7.2018 das Insolvenzverfahren über ihr Vermögen wegen Zahlungsunfähigkeit und Überschuldung eröffnet.</w:t>
      </w:r>
    </w:p>
    <w:p w14:paraId="058B372C" w14:textId="77777777" w:rsidR="00CF061C" w:rsidRDefault="00000000">
      <w:pPr>
        <w:pStyle w:val="divbocontentwrapperbocenterpParagraph"/>
        <w:spacing w:after="120" w:line="360" w:lineRule="auto"/>
        <w:ind w:left="600" w:right="150"/>
        <w:jc w:val="both"/>
        <w:rPr>
          <w:color w:val="000000"/>
        </w:rPr>
      </w:pPr>
      <w:r>
        <w:rPr>
          <w:color w:val="000000"/>
        </w:rPr>
        <w:t>Der Erblasser war v. 20.2.2013–27.6.2016 Geschäftsführer von drei Vertriebsgesellschaften – der P Container GmbH, der P Gebrauchtcontainer GmbH und der P Container Leasing GmbH – sowie v. 3.4.2013–8.7.2016 Geschäftsführer der vierten Vertriebsgesellschaft, der P Transport-Container GmbH. Nach seiner Abberufung übernahm R. jeweils wieder die alleinige Geschäftsführung. Am 13.6.2018 verstarb der Erblasser.</w:t>
      </w:r>
    </w:p>
    <w:p w14:paraId="48D047F5" w14:textId="77777777" w:rsidR="00CF061C" w:rsidRDefault="00000000">
      <w:pPr>
        <w:pStyle w:val="divbocontentwrapperbocenterpParagraph"/>
        <w:spacing w:after="120" w:line="360" w:lineRule="auto"/>
        <w:ind w:left="600" w:right="150"/>
        <w:jc w:val="both"/>
        <w:rPr>
          <w:color w:val="000000"/>
        </w:rPr>
      </w:pPr>
      <w:r>
        <w:rPr>
          <w:color w:val="000000"/>
        </w:rPr>
        <w:t xml:space="preserve">Der Kl. schloss insgesamt neun Anlageverträge mit verschiedenen Vertriebsgesellschaften, sechs davon in der Zeit von Mai 2013 bis November 2015, dh vor der Abberufung des Erblassers als Geschäftsführer, mit der P Container GmbH bzw. der P Gebrauchtcontainer GmbH, sowie drei weitere nach dessen Abberufung. Hierbei handelte es sich um einen weiteren Vertrag mit der P Gebrauchtcontainer </w:t>
      </w:r>
      <w:r>
        <w:rPr>
          <w:color w:val="000000"/>
        </w:rPr>
        <w:lastRenderedPageBreak/>
        <w:t xml:space="preserve">GmbH am 24.11.2016/3.1.2017 und zwei Verträge mit der P Transport-Container GmbH am 24.3.2017 und am 6.12.2017, die erst seit dem 2.2.2017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56831009" w14:textId="77777777">
        <w:tc>
          <w:tcPr>
            <w:tcW w:w="4000" w:type="pct"/>
            <w:shd w:val="clear" w:color="auto" w:fill="F0F0F0"/>
            <w:tcMar>
              <w:top w:w="0" w:type="dxa"/>
              <w:left w:w="0" w:type="dxa"/>
              <w:bottom w:w="0" w:type="dxa"/>
              <w:right w:w="0" w:type="dxa"/>
            </w:tcMar>
            <w:vAlign w:val="center"/>
            <w:hideMark/>
          </w:tcPr>
          <w:p w14:paraId="79656BF3"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42EB4356"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886</w:t>
            </w:r>
          </w:p>
        </w:tc>
      </w:tr>
    </w:tbl>
    <w:p w14:paraId="7D0B0248" w14:textId="77777777" w:rsidR="00CF061C" w:rsidRDefault="00000000">
      <w:pPr>
        <w:pStyle w:val="divbocontentwrapperbocenterpParagraph"/>
        <w:spacing w:after="120" w:line="360" w:lineRule="auto"/>
        <w:ind w:left="600" w:right="150"/>
        <w:jc w:val="both"/>
        <w:rPr>
          <w:color w:val="000000"/>
        </w:rPr>
      </w:pPr>
      <w:r>
        <w:rPr>
          <w:color w:val="000000"/>
        </w:rPr>
        <w:t>öffentlich Vermögensanlagen anbot. Der Kl. zahlte für diese Anlagen einen Kaufpreis iHv insgesamt 298.799 EUR und erhielt aus den Verträgen Mietzahlungen in Höhe von insgesamt 66.177,74 EUR.</w:t>
      </w:r>
    </w:p>
    <w:p w14:paraId="2A637C45" w14:textId="77777777" w:rsidR="00CF061C" w:rsidRDefault="00000000">
      <w:pPr>
        <w:pStyle w:val="divbocontentwrapperbocenterpParagraph"/>
        <w:spacing w:after="120" w:line="360" w:lineRule="auto"/>
        <w:ind w:left="600" w:right="150"/>
        <w:jc w:val="both"/>
        <w:rPr>
          <w:color w:val="000000"/>
        </w:rPr>
      </w:pPr>
      <w:r>
        <w:rPr>
          <w:color w:val="000000"/>
        </w:rPr>
        <w:t>Der Kl. hat die Bekl. als Alleinerbin des Erblassers wegen Insolvenzverschleppung (</w:t>
      </w:r>
      <w:r>
        <w:rPr>
          <w:rStyle w:val="any"/>
          <w:color w:val="000000"/>
        </w:rPr>
        <w:t xml:space="preserve">§ </w:t>
      </w:r>
      <w:hyperlink r:id="rId18" w:history="1">
        <w:r>
          <w:rPr>
            <w:rStyle w:val="bocontentwrapperbocenteranotbeck-btn"/>
            <w:color w:val="000000"/>
            <w:u w:val="single" w:color="000000"/>
          </w:rPr>
          <w:t>823</w:t>
        </w:r>
      </w:hyperlink>
      <w:r>
        <w:rPr>
          <w:rStyle w:val="any"/>
          <w:color w:val="000000"/>
        </w:rPr>
        <w:t xml:space="preserve"> </w:t>
      </w:r>
      <w:hyperlink r:id="rId19"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20" w:history="1">
        <w:r>
          <w:rPr>
            <w:rStyle w:val="bocontentwrapperbocenteranotbeck-btn"/>
            <w:color w:val="000000"/>
            <w:u w:val="single" w:color="000000"/>
          </w:rPr>
          <w:t>15a</w:t>
        </w:r>
      </w:hyperlink>
      <w:r>
        <w:rPr>
          <w:rStyle w:val="any"/>
          <w:color w:val="000000"/>
        </w:rPr>
        <w:t xml:space="preserve"> InsO</w:t>
      </w:r>
      <w:r>
        <w:rPr>
          <w:color w:val="000000"/>
        </w:rPr>
        <w:t>), wegen sittenwidriger Schädigung (</w:t>
      </w:r>
      <w:r>
        <w:rPr>
          <w:rStyle w:val="any"/>
          <w:color w:val="000000"/>
        </w:rPr>
        <w:t xml:space="preserve">§ </w:t>
      </w:r>
      <w:hyperlink r:id="rId21" w:history="1">
        <w:r>
          <w:rPr>
            <w:rStyle w:val="bocontentwrapperbocenteranotbeck-btn"/>
            <w:color w:val="000000"/>
            <w:u w:val="single" w:color="000000"/>
          </w:rPr>
          <w:t>826</w:t>
        </w:r>
      </w:hyperlink>
      <w:r>
        <w:rPr>
          <w:rStyle w:val="any"/>
          <w:color w:val="000000"/>
        </w:rPr>
        <w:t xml:space="preserve"> BGB</w:t>
      </w:r>
      <w:r>
        <w:rPr>
          <w:color w:val="000000"/>
        </w:rPr>
        <w:t>) und aus Delikt wegen Betrugs (</w:t>
      </w:r>
      <w:r>
        <w:rPr>
          <w:rStyle w:val="any"/>
          <w:color w:val="000000"/>
        </w:rPr>
        <w:t xml:space="preserve">§ </w:t>
      </w:r>
      <w:hyperlink r:id="rId22" w:history="1">
        <w:r>
          <w:rPr>
            <w:rStyle w:val="bocontentwrapperbocenteranotbeck-btn"/>
            <w:color w:val="000000"/>
            <w:u w:val="single" w:color="000000"/>
          </w:rPr>
          <w:t>823</w:t>
        </w:r>
      </w:hyperlink>
      <w:r>
        <w:rPr>
          <w:rStyle w:val="any"/>
          <w:color w:val="000000"/>
        </w:rPr>
        <w:t xml:space="preserve"> </w:t>
      </w:r>
      <w:hyperlink r:id="rId23"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24" w:history="1">
        <w:r>
          <w:rPr>
            <w:rStyle w:val="bocontentwrapperbocenteranotbeck-btn"/>
            <w:color w:val="000000"/>
            <w:u w:val="single" w:color="000000"/>
          </w:rPr>
          <w:t>263</w:t>
        </w:r>
      </w:hyperlink>
      <w:r>
        <w:rPr>
          <w:rStyle w:val="any"/>
          <w:color w:val="000000"/>
        </w:rPr>
        <w:t xml:space="preserve"> StGB</w:t>
      </w:r>
      <w:r>
        <w:rPr>
          <w:color w:val="000000"/>
        </w:rPr>
        <w:t>) auf Schadensersatz iHv 232.621,26 EUR (sämtliche Investitionsbeträge abzüglich erhaltener Mietzahlungen) nebst Zinsen Zug-um-Zug gegen Abtretung seiner Rechte aus den neun Anlageverträgen und auf Erstattung vorgerichtlicher Anwaltsgebühren in Anspruch genommen. Außerdem hat er die Feststellung begehrt, dass die Bekl. verpflichtet ist, ihn von jeglichen Zahlungen im Zusammenhang mit den Anlageverträgen, insbesondere von Zahlungsansprüchen des Insolvenzverwalters, freizustellen und sich mit der Annahme der angebotenen Zug-um-Zug-Leistung in Verzug befindet.</w:t>
      </w:r>
    </w:p>
    <w:p w14:paraId="45A31D23" w14:textId="77777777" w:rsidR="00CF061C" w:rsidRDefault="00000000">
      <w:pPr>
        <w:pStyle w:val="divbocontentwrapperbocenterpParagraph"/>
        <w:spacing w:after="120" w:line="360" w:lineRule="auto"/>
        <w:ind w:left="600" w:right="150"/>
        <w:jc w:val="both"/>
        <w:rPr>
          <w:color w:val="000000"/>
        </w:rPr>
      </w:pPr>
      <w:r>
        <w:rPr>
          <w:color w:val="000000"/>
        </w:rPr>
        <w:t xml:space="preserve">Das </w:t>
      </w:r>
      <w:r>
        <w:rPr>
          <w:rStyle w:val="any"/>
          <w:color w:val="000000"/>
        </w:rPr>
        <w:t xml:space="preserve">LG München I (12.3.2020 – </w:t>
      </w:r>
      <w:hyperlink r:id="rId25" w:history="1">
        <w:r>
          <w:rPr>
            <w:rStyle w:val="bocontentwrapperbocenteranotbeck-btn"/>
            <w:color w:val="000000"/>
            <w:u w:val="single" w:color="000000"/>
          </w:rPr>
          <w:t>27 O 11121/19</w:t>
        </w:r>
      </w:hyperlink>
      <w:r>
        <w:rPr>
          <w:color w:val="000000"/>
        </w:rPr>
        <w:t xml:space="preserve">, </w:t>
      </w:r>
      <w:r>
        <w:rPr>
          <w:rStyle w:val="any"/>
          <w:color w:val="000000"/>
        </w:rPr>
        <w:t xml:space="preserve">BeckRS 2020, </w:t>
      </w:r>
      <w:hyperlink r:id="rId26" w:history="1">
        <w:r>
          <w:rPr>
            <w:rStyle w:val="bocontentwrapperbocenteranotbeck-btn"/>
            <w:color w:val="000000"/>
            <w:u w:val="single" w:color="000000"/>
          </w:rPr>
          <w:t>065182</w:t>
        </w:r>
      </w:hyperlink>
      <w:r>
        <w:rPr>
          <w:color w:val="000000"/>
        </w:rPr>
        <w:t>) hat der Klage hinsichtlich der sechs vor der Abberufung des Erblassers als Geschäftsführer geschlossenen Anlageverträge stattgegeben und der Bekl. insoweit die Geltendmachung der Beschränkung auf den Nachlass vorbehalten; hinsichtlich der nach der Abberufung des Erblassers geschlossenen drei Verträge hat es die Klage abgewiesen.</w:t>
      </w:r>
    </w:p>
    <w:p w14:paraId="1DA198CA" w14:textId="77777777" w:rsidR="00CF061C" w:rsidRDefault="00000000">
      <w:pPr>
        <w:pStyle w:val="divbocontentwrapperbocenterpParagraph"/>
        <w:spacing w:after="120" w:line="360" w:lineRule="auto"/>
        <w:ind w:left="600" w:right="150"/>
        <w:jc w:val="both"/>
        <w:rPr>
          <w:color w:val="000000"/>
        </w:rPr>
      </w:pPr>
      <w:r>
        <w:rPr>
          <w:color w:val="000000"/>
        </w:rPr>
        <w:t>Nach Berufungseinlegung beider Parteien hat das Insolvenzgericht im Insolvenzverfahren über den Nachlass des Erblassers am 17.6.2020 einen vorläufigen Insolvenzverwalter bestellt und der Bekl. ein allgemeines Verfügungsverbot auferlegt. In dem am 20.10.2020 eröffneten Nachlassinsolvenzverfahren hat der Kl. eine Forderung iHv 298.799 EUR angemeldet, die unter Nr. 347 als „Forderung aus Schadensersatzanspruch“ in die Tabelle eingetragen worden ist. Der Insolvenzverwalter hat die Forderung bestritten und die Bekl. hat ihr im Prüfungstermin widersprochen.</w:t>
      </w:r>
    </w:p>
    <w:p w14:paraId="5B6F4563" w14:textId="77777777" w:rsidR="00CF061C" w:rsidRDefault="00000000">
      <w:pPr>
        <w:pStyle w:val="divbocontentwrapperbocenterpParagraph"/>
        <w:spacing w:after="120" w:line="360" w:lineRule="auto"/>
        <w:ind w:left="600" w:right="150"/>
        <w:jc w:val="both"/>
        <w:rPr>
          <w:color w:val="000000"/>
        </w:rPr>
      </w:pPr>
      <w:r>
        <w:rPr>
          <w:color w:val="000000"/>
        </w:rPr>
        <w:t xml:space="preserve">Mit Schriftsatz vom 6.4.2021 hat die Bekl. unter Verweis auf </w:t>
      </w:r>
      <w:r>
        <w:rPr>
          <w:rStyle w:val="any"/>
          <w:color w:val="000000"/>
        </w:rPr>
        <w:t xml:space="preserve">§ </w:t>
      </w:r>
      <w:hyperlink r:id="rId27" w:history="1">
        <w:r>
          <w:rPr>
            <w:rStyle w:val="bocontentwrapperbocenteranotbeck-btn"/>
            <w:color w:val="000000"/>
            <w:u w:val="single" w:color="000000"/>
          </w:rPr>
          <w:t>184</w:t>
        </w:r>
      </w:hyperlink>
      <w:r>
        <w:rPr>
          <w:rStyle w:val="any"/>
          <w:color w:val="000000"/>
        </w:rPr>
        <w:t xml:space="preserve"> </w:t>
      </w:r>
      <w:hyperlink r:id="rId28" w:history="1">
        <w:r>
          <w:rPr>
            <w:rStyle w:val="bocontentwrapperbocenteranotbeck-btn"/>
            <w:color w:val="000000"/>
            <w:u w:val="single" w:color="000000"/>
          </w:rPr>
          <w:t>II</w:t>
        </w:r>
      </w:hyperlink>
      <w:r>
        <w:rPr>
          <w:rStyle w:val="any"/>
          <w:color w:val="000000"/>
        </w:rPr>
        <w:t xml:space="preserve"> InsO</w:t>
      </w:r>
      <w:r>
        <w:rPr>
          <w:color w:val="000000"/>
        </w:rPr>
        <w:t xml:space="preserve"> die Aufnahme des unterbrochenen Verfahrens erklärt. Das BerGer. hat das Verfahren fortgesetzt und die Berufungen beider Parteien zurückgewiesen (</w:t>
      </w:r>
      <w:r>
        <w:rPr>
          <w:rStyle w:val="any"/>
          <w:color w:val="000000"/>
        </w:rPr>
        <w:t xml:space="preserve">OLG München 19.4.2023 – </w:t>
      </w:r>
      <w:hyperlink r:id="rId29" w:history="1">
        <w:r>
          <w:rPr>
            <w:rStyle w:val="bocontentwrapperbocenteranotbeck-btn"/>
            <w:color w:val="000000"/>
            <w:u w:val="single" w:color="000000"/>
          </w:rPr>
          <w:t>13 U 1950/20</w:t>
        </w:r>
      </w:hyperlink>
      <w:r>
        <w:rPr>
          <w:color w:val="000000"/>
        </w:rPr>
        <w:t xml:space="preserve">, </w:t>
      </w:r>
      <w:r>
        <w:rPr>
          <w:rStyle w:val="any"/>
          <w:color w:val="000000"/>
        </w:rPr>
        <w:t xml:space="preserve">BeckRS 2023, </w:t>
      </w:r>
      <w:hyperlink r:id="rId30" w:history="1">
        <w:r>
          <w:rPr>
            <w:rStyle w:val="bocontentwrapperbocenteranotbeck-btn"/>
            <w:color w:val="000000"/>
            <w:u w:val="single" w:color="000000"/>
          </w:rPr>
          <w:t>054049</w:t>
        </w:r>
      </w:hyperlink>
      <w:r>
        <w:rPr>
          <w:color w:val="000000"/>
        </w:rPr>
        <w:t>). Mit ihren Revisionen verfolgen die Parteien ihre vom BerGer. zurückgewiesenen Berufungsanträge weiter.</w:t>
      </w:r>
    </w:p>
    <w:p w14:paraId="56C5D628" w14:textId="77777777" w:rsidR="00CF061C" w:rsidRDefault="00000000">
      <w:pPr>
        <w:pStyle w:val="divbocontentwrapperbocenterpParagraph"/>
        <w:spacing w:after="120" w:line="360" w:lineRule="auto"/>
        <w:ind w:left="600" w:right="150"/>
        <w:jc w:val="both"/>
        <w:rPr>
          <w:color w:val="000000"/>
        </w:rPr>
      </w:pPr>
      <w:r>
        <w:rPr>
          <w:color w:val="000000"/>
        </w:rPr>
        <w:lastRenderedPageBreak/>
        <w:t>Die Revision hatte Erfolg.</w:t>
      </w:r>
      <w:bookmarkStart w:id="2" w:name="Y-300-Z-NZI-B-2025-S-885-N-1-Gl-3"/>
      <w:bookmarkEnd w:id="2"/>
    </w:p>
    <w:p w14:paraId="7EB5ABA5" w14:textId="77777777" w:rsidR="00CF061C"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1A86E775" w14:textId="77777777" w:rsidR="00CF061C" w:rsidRDefault="00000000">
      <w:pPr>
        <w:pStyle w:val="divbocontentwrapperbocenterpParagraph"/>
        <w:spacing w:after="120" w:line="360" w:lineRule="auto"/>
        <w:ind w:left="600" w:right="150"/>
        <w:jc w:val="both"/>
        <w:rPr>
          <w:color w:val="000000"/>
        </w:rPr>
      </w:pPr>
      <w:bookmarkStart w:id="3" w:name="Y-300-Z-NZI-B-2025-S-885-RN-11"/>
      <w:bookmarkEnd w:id="3"/>
      <w:r>
        <w:rPr>
          <w:rStyle w:val="printcontentemrandnr"/>
          <w:rFonts w:ascii="Verdana" w:eastAsia="Verdana" w:hAnsi="Verdana" w:cs="Verdana"/>
          <w:b/>
          <w:bCs/>
          <w:color w:val="000000"/>
          <w:sz w:val="19"/>
          <w:szCs w:val="19"/>
        </w:rPr>
        <w:t>11</w:t>
      </w:r>
      <w:r>
        <w:rPr>
          <w:color w:val="000000"/>
        </w:rPr>
        <w:t>Die vom BerGer. zugelassene Revision des Kl. und die vom Senat zugelassene Revision der Bekl. sind zulässig und begründet.</w:t>
      </w:r>
    </w:p>
    <w:p w14:paraId="446A3969" w14:textId="77777777" w:rsidR="00CF061C" w:rsidRDefault="00000000">
      <w:pPr>
        <w:pStyle w:val="divbocontentwrapperbocenterpParagraph"/>
        <w:spacing w:after="120" w:line="360" w:lineRule="auto"/>
        <w:ind w:left="600" w:right="150"/>
        <w:jc w:val="both"/>
        <w:rPr>
          <w:color w:val="000000"/>
        </w:rPr>
      </w:pPr>
      <w:bookmarkStart w:id="4" w:name="Y-300-Z-NZI-B-2025-S-885-RN-12"/>
      <w:bookmarkEnd w:id="4"/>
      <w:r>
        <w:rPr>
          <w:rStyle w:val="printcontentemrandnr"/>
          <w:rFonts w:ascii="Verdana" w:eastAsia="Verdana" w:hAnsi="Verdana" w:cs="Verdana"/>
          <w:b/>
          <w:bCs/>
          <w:color w:val="000000"/>
          <w:sz w:val="19"/>
          <w:szCs w:val="19"/>
        </w:rPr>
        <w:t>12</w:t>
      </w:r>
      <w:r>
        <w:rPr>
          <w:color w:val="000000"/>
        </w:rPr>
        <w:t xml:space="preserve">Über die Revision des Kl. ist, weil die rechtzeitig zum Termin geladene Bekl. in der mündlichen Verhandlung hierzu nicht verhandelt hat, auf Antrag des Kl. durch Teilversäumnisurteil zu entscheiden. Auch insoweit beruht die Entscheidung jedoch nicht auf der Säumnis, sondern auf einer Sachprüfung (vgl. </w:t>
      </w:r>
      <w:r>
        <w:rPr>
          <w:rStyle w:val="any"/>
          <w:color w:val="000000"/>
        </w:rPr>
        <w:t xml:space="preserve">BGHZ 37, </w:t>
      </w:r>
      <w:hyperlink r:id="rId31" w:history="1">
        <w:r>
          <w:rPr>
            <w:rStyle w:val="bocontentwrapperbocenteranotbeck-btn"/>
            <w:color w:val="000000"/>
            <w:u w:val="single" w:color="000000"/>
          </w:rPr>
          <w:t>79</w:t>
        </w:r>
      </w:hyperlink>
      <w:r>
        <w:rPr>
          <w:rStyle w:val="any"/>
          <w:color w:val="000000"/>
        </w:rPr>
        <w:t xml:space="preserve"> (</w:t>
      </w:r>
      <w:hyperlink r:id="rId32" w:history="1">
        <w:r>
          <w:rPr>
            <w:rStyle w:val="bocontentwrapperbocenteranotbeck-btn"/>
            <w:color w:val="000000"/>
            <w:u w:val="single" w:color="000000"/>
          </w:rPr>
          <w:t>81</w:t>
        </w:r>
      </w:hyperlink>
      <w:r>
        <w:rPr>
          <w:rStyle w:val="any"/>
          <w:color w:val="000000"/>
        </w:rPr>
        <w:t> f.)</w:t>
      </w:r>
      <w:r>
        <w:rPr>
          <w:color w:val="000000"/>
        </w:rPr>
        <w:t xml:space="preserve"> = </w:t>
      </w:r>
      <w:r>
        <w:rPr>
          <w:rStyle w:val="any"/>
          <w:color w:val="000000"/>
        </w:rPr>
        <w:t xml:space="preserve">NJW 1962, </w:t>
      </w:r>
      <w:hyperlink r:id="rId33" w:history="1">
        <w:r>
          <w:rPr>
            <w:rStyle w:val="bocontentwrapperbocenteranotbeck-btn"/>
            <w:color w:val="000000"/>
            <w:u w:val="single" w:color="000000"/>
          </w:rPr>
          <w:t>1149</w:t>
        </w:r>
      </w:hyperlink>
      <w:r>
        <w:rPr>
          <w:color w:val="000000"/>
        </w:rPr>
        <w:t xml:space="preserve">; </w:t>
      </w:r>
      <w:r>
        <w:rPr>
          <w:rStyle w:val="any"/>
          <w:color w:val="000000"/>
        </w:rPr>
        <w:t xml:space="preserve">NZG 2024, </w:t>
      </w:r>
      <w:hyperlink r:id="rId34" w:history="1">
        <w:r>
          <w:rPr>
            <w:rStyle w:val="bocontentwrapperbocenteranotbeck-btn"/>
            <w:color w:val="000000"/>
            <w:u w:val="single" w:color="000000"/>
          </w:rPr>
          <w:t>345</w:t>
        </w:r>
      </w:hyperlink>
      <w:r>
        <w:rPr>
          <w:rStyle w:val="any"/>
          <w:color w:val="000000"/>
        </w:rPr>
        <w:t xml:space="preserve"> Rn. </w:t>
      </w:r>
      <w:hyperlink r:id="rId35" w:history="1">
        <w:r>
          <w:rPr>
            <w:rStyle w:val="bocontentwrapperbocenteranotbeck-btn"/>
            <w:color w:val="000000"/>
            <w:u w:val="single" w:color="000000"/>
          </w:rPr>
          <w:t>3</w:t>
        </w:r>
      </w:hyperlink>
      <w:r>
        <w:rPr>
          <w:color w:val="000000"/>
        </w:rPr>
        <w:t>).</w:t>
      </w:r>
    </w:p>
    <w:p w14:paraId="3A295D0B" w14:textId="77777777" w:rsidR="00CF061C" w:rsidRDefault="00000000">
      <w:pPr>
        <w:pStyle w:val="divbocontentwrapperbocenterpParagraph"/>
        <w:spacing w:after="120" w:line="360" w:lineRule="auto"/>
        <w:ind w:left="600" w:right="150"/>
        <w:jc w:val="both"/>
        <w:rPr>
          <w:color w:val="000000"/>
        </w:rPr>
      </w:pPr>
      <w:bookmarkStart w:id="5" w:name="Y-300-Z-NZI-B-2025-S-885-RN-13"/>
      <w:bookmarkEnd w:id="5"/>
      <w:r>
        <w:rPr>
          <w:rStyle w:val="printcontentemrandnr"/>
          <w:rFonts w:ascii="Verdana" w:eastAsia="Verdana" w:hAnsi="Verdana" w:cs="Verdana"/>
          <w:b/>
          <w:bCs/>
          <w:color w:val="000000"/>
          <w:sz w:val="19"/>
          <w:szCs w:val="19"/>
        </w:rPr>
        <w:t>13</w:t>
      </w:r>
      <w:r>
        <w:rPr>
          <w:color w:val="000000"/>
        </w:rPr>
        <w:t>I. Das BerGer. hat seine Entscheidung im Wesentlichen wie folgt begründet:</w:t>
      </w:r>
    </w:p>
    <w:p w14:paraId="5FE3380D" w14:textId="77777777" w:rsidR="00CF061C" w:rsidRDefault="00000000">
      <w:pPr>
        <w:pStyle w:val="divbocontentwrapperbocenterpParagraph"/>
        <w:spacing w:after="120" w:line="360" w:lineRule="auto"/>
        <w:ind w:left="600" w:right="150"/>
        <w:jc w:val="both"/>
        <w:rPr>
          <w:color w:val="000000"/>
        </w:rPr>
      </w:pPr>
      <w:bookmarkStart w:id="6" w:name="Y-300-Z-NZI-B-2025-S-885-RN-14"/>
      <w:bookmarkEnd w:id="6"/>
      <w:r>
        <w:rPr>
          <w:rStyle w:val="printcontentemrandnr"/>
          <w:rFonts w:ascii="Verdana" w:eastAsia="Verdana" w:hAnsi="Verdana" w:cs="Verdana"/>
          <w:b/>
          <w:bCs/>
          <w:color w:val="000000"/>
          <w:sz w:val="19"/>
          <w:szCs w:val="19"/>
        </w:rPr>
        <w:t>14</w:t>
      </w:r>
      <w:r>
        <w:rPr>
          <w:color w:val="000000"/>
        </w:rPr>
        <w:t xml:space="preserve">Das Verfahren sei ordnungsgemäß durch die Bekl. als Insolvenzschuldnerin aufgenommen worden. Dabei sei trotz des Insolvenzverfahrens über das Vermögen des Erblassers eine Umstellung der Klageanträge nicht erforderlich gewesen, weil die Bekl. nur Erbin des Insolvenzschuldners und bezüglich ihres Vermögens kein Insolvenzverfahren eröffnet sei. In der Sache stünden dem Kl. gegen die Bekl. die von ihm geltend gemachten Schadensersatzansprüche hinsichtlich der sechs vor der Abberufung des Erblassers als Geschäftsführer geschlossenen Anlageverträge wegen Insolvenzverschleppung gem. </w:t>
      </w:r>
      <w:r>
        <w:rPr>
          <w:rStyle w:val="any"/>
          <w:color w:val="000000"/>
        </w:rPr>
        <w:t xml:space="preserve">§ </w:t>
      </w:r>
      <w:hyperlink r:id="rId36" w:history="1">
        <w:r>
          <w:rPr>
            <w:rStyle w:val="bocontentwrapperbocenteranotbeck-btn"/>
            <w:color w:val="000000"/>
            <w:u w:val="single" w:color="000000"/>
          </w:rPr>
          <w:t>823</w:t>
        </w:r>
      </w:hyperlink>
      <w:r>
        <w:rPr>
          <w:rStyle w:val="any"/>
          <w:color w:val="000000"/>
        </w:rPr>
        <w:t xml:space="preserve"> </w:t>
      </w:r>
      <w:hyperlink r:id="rId37"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38" w:history="1">
        <w:r>
          <w:rPr>
            <w:rStyle w:val="bocontentwrapperbocenteranotbeck-btn"/>
            <w:color w:val="000000"/>
            <w:u w:val="single" w:color="000000"/>
          </w:rPr>
          <w:t>15a</w:t>
        </w:r>
      </w:hyperlink>
      <w:r>
        <w:rPr>
          <w:rStyle w:val="any"/>
          <w:color w:val="000000"/>
        </w:rPr>
        <w:t xml:space="preserve"> </w:t>
      </w:r>
      <w:hyperlink r:id="rId39" w:history="1">
        <w:r>
          <w:rPr>
            <w:rStyle w:val="bocontentwrapperbocenteranotbeck-btn"/>
            <w:color w:val="000000"/>
            <w:u w:val="single" w:color="000000"/>
          </w:rPr>
          <w:t>I</w:t>
        </w:r>
      </w:hyperlink>
      <w:r>
        <w:rPr>
          <w:rStyle w:val="any"/>
          <w:color w:val="000000"/>
        </w:rPr>
        <w:t xml:space="preserve"> 1 InsO</w:t>
      </w:r>
      <w:r>
        <w:rPr>
          <w:color w:val="000000"/>
        </w:rPr>
        <w:t xml:space="preserve">, </w:t>
      </w:r>
      <w:r>
        <w:rPr>
          <w:rStyle w:val="any"/>
          <w:color w:val="000000"/>
        </w:rPr>
        <w:t xml:space="preserve">§ </w:t>
      </w:r>
      <w:hyperlink r:id="rId40" w:history="1">
        <w:r>
          <w:rPr>
            <w:rStyle w:val="bocontentwrapperbocenteranotbeck-btn"/>
            <w:color w:val="000000"/>
            <w:u w:val="single" w:color="000000"/>
          </w:rPr>
          <w:t>1967</w:t>
        </w:r>
      </w:hyperlink>
      <w:r>
        <w:rPr>
          <w:rStyle w:val="any"/>
          <w:color w:val="000000"/>
        </w:rPr>
        <w:t xml:space="preserve"> </w:t>
      </w:r>
      <w:hyperlink r:id="rId41" w:history="1">
        <w:r>
          <w:rPr>
            <w:rStyle w:val="bocontentwrapperbocenteranotbeck-btn"/>
            <w:color w:val="000000"/>
            <w:u w:val="single" w:color="000000"/>
          </w:rPr>
          <w:t>I</w:t>
        </w:r>
      </w:hyperlink>
      <w:r>
        <w:rPr>
          <w:rStyle w:val="any"/>
          <w:color w:val="000000"/>
        </w:rPr>
        <w:t xml:space="preserve"> BGB</w:t>
      </w:r>
      <w:r>
        <w:rPr>
          <w:color w:val="000000"/>
        </w:rPr>
        <w:t xml:space="preserve"> zu. Ob die Bekl. insoweit auch wegen sittenwidriger Schädigung gem. </w:t>
      </w:r>
      <w:r>
        <w:rPr>
          <w:rStyle w:val="any"/>
          <w:color w:val="000000"/>
        </w:rPr>
        <w:t xml:space="preserve">§§ </w:t>
      </w:r>
      <w:hyperlink r:id="rId42" w:history="1">
        <w:r>
          <w:rPr>
            <w:rStyle w:val="bocontentwrapperbocenteranotbeck-btn"/>
            <w:color w:val="000000"/>
            <w:u w:val="single" w:color="000000"/>
          </w:rPr>
          <w:t>826</w:t>
        </w:r>
      </w:hyperlink>
      <w:r>
        <w:rPr>
          <w:rStyle w:val="any"/>
          <w:color w:val="000000"/>
        </w:rPr>
        <w:t xml:space="preserve">, </w:t>
      </w:r>
      <w:hyperlink r:id="rId43" w:history="1">
        <w:r>
          <w:rPr>
            <w:rStyle w:val="bocontentwrapperbocenteranotbeck-btn"/>
            <w:color w:val="000000"/>
            <w:u w:val="single" w:color="000000"/>
          </w:rPr>
          <w:t>1967</w:t>
        </w:r>
      </w:hyperlink>
      <w:r>
        <w:rPr>
          <w:rStyle w:val="any"/>
          <w:color w:val="000000"/>
        </w:rPr>
        <w:t xml:space="preserve"> </w:t>
      </w:r>
      <w:hyperlink r:id="rId44" w:history="1">
        <w:r>
          <w:rPr>
            <w:rStyle w:val="bocontentwrapperbocenteranotbeck-btn"/>
            <w:color w:val="000000"/>
            <w:u w:val="single" w:color="000000"/>
          </w:rPr>
          <w:t>I</w:t>
        </w:r>
      </w:hyperlink>
      <w:r>
        <w:rPr>
          <w:rStyle w:val="any"/>
          <w:color w:val="000000"/>
        </w:rPr>
        <w:t xml:space="preserve"> BGB</w:t>
      </w:r>
      <w:r>
        <w:rPr>
          <w:color w:val="000000"/>
        </w:rPr>
        <w:t xml:space="preserve"> hafte, könne daher dahinstehen. Hinsichtlich der nach der Abberufung des Erblassers geschlossenen Verträge hafte die Bekl. dagegen nicht. Eine Haftung wegen Insolvenzverschleppung gem. </w:t>
      </w:r>
      <w:r>
        <w:rPr>
          <w:rStyle w:val="any"/>
          <w:color w:val="000000"/>
        </w:rPr>
        <w:t xml:space="preserve">§ </w:t>
      </w:r>
      <w:hyperlink r:id="rId45" w:history="1">
        <w:r>
          <w:rPr>
            <w:rStyle w:val="bocontentwrapperbocenteranotbeck-btn"/>
            <w:color w:val="000000"/>
            <w:u w:val="single" w:color="000000"/>
          </w:rPr>
          <w:t>823</w:t>
        </w:r>
      </w:hyperlink>
      <w:r>
        <w:rPr>
          <w:rStyle w:val="any"/>
          <w:color w:val="000000"/>
        </w:rPr>
        <w:t xml:space="preserve"> </w:t>
      </w:r>
      <w:hyperlink r:id="rId46"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47" w:history="1">
        <w:r>
          <w:rPr>
            <w:rStyle w:val="bocontentwrapperbocenteranotbeck-btn"/>
            <w:color w:val="000000"/>
            <w:u w:val="single" w:color="000000"/>
          </w:rPr>
          <w:t>15a</w:t>
        </w:r>
      </w:hyperlink>
      <w:r>
        <w:rPr>
          <w:rStyle w:val="any"/>
          <w:color w:val="000000"/>
        </w:rPr>
        <w:t xml:space="preserve"> </w:t>
      </w:r>
      <w:hyperlink r:id="rId48" w:history="1">
        <w:r>
          <w:rPr>
            <w:rStyle w:val="bocontentwrapperbocenteranotbeck-btn"/>
            <w:color w:val="000000"/>
            <w:u w:val="single" w:color="000000"/>
          </w:rPr>
          <w:t>I</w:t>
        </w:r>
      </w:hyperlink>
      <w:r>
        <w:rPr>
          <w:rStyle w:val="any"/>
          <w:color w:val="000000"/>
        </w:rPr>
        <w:t xml:space="preserve"> 1 InsO</w:t>
      </w:r>
      <w:r>
        <w:rPr>
          <w:color w:val="000000"/>
        </w:rPr>
        <w:t xml:space="preserve">, </w:t>
      </w:r>
      <w:r>
        <w:rPr>
          <w:rStyle w:val="any"/>
          <w:color w:val="000000"/>
        </w:rPr>
        <w:t xml:space="preserve">§ </w:t>
      </w:r>
      <w:hyperlink r:id="rId49" w:history="1">
        <w:r>
          <w:rPr>
            <w:rStyle w:val="bocontentwrapperbocenteranotbeck-btn"/>
            <w:color w:val="000000"/>
            <w:u w:val="single" w:color="000000"/>
          </w:rPr>
          <w:t>1967</w:t>
        </w:r>
      </w:hyperlink>
      <w:r>
        <w:rPr>
          <w:rStyle w:val="any"/>
          <w:color w:val="000000"/>
        </w:rPr>
        <w:t xml:space="preserve"> </w:t>
      </w:r>
      <w:hyperlink r:id="rId50" w:history="1">
        <w:r>
          <w:rPr>
            <w:rStyle w:val="bocontentwrapperbocenteranotbeck-btn"/>
            <w:color w:val="000000"/>
            <w:u w:val="single" w:color="000000"/>
          </w:rPr>
          <w:t>I</w:t>
        </w:r>
      </w:hyperlink>
      <w:r>
        <w:rPr>
          <w:rStyle w:val="any"/>
          <w:color w:val="000000"/>
        </w:rPr>
        <w:t xml:space="preserve"> BGB</w:t>
      </w:r>
      <w:r>
        <w:rPr>
          <w:color w:val="000000"/>
        </w:rPr>
        <w:t xml:space="preserve"> komme nicht in Betracht, weil die Insolvenzantragspflicht des Erblassers mit der Beendigung seiner Organstellung geendet und mit dem nachfolgenden Geschäftsführer eine antragspflichtige und haftende Person zur Verfügung gestanden habe. Die Haftung und Verantwortlichkeit eines Geschäftsführers im Außenverhältnis beschränke sich auf die vor seiner Amtsbeendigung entstandenen Verschleppungsschäden. Für einen Anspruch aus </w:t>
      </w:r>
      <w:r>
        <w:rPr>
          <w:rStyle w:val="any"/>
          <w:color w:val="000000"/>
        </w:rPr>
        <w:t xml:space="preserve">§§ </w:t>
      </w:r>
      <w:hyperlink r:id="rId51" w:history="1">
        <w:r>
          <w:rPr>
            <w:rStyle w:val="bocontentwrapperbocenteranotbeck-btn"/>
            <w:color w:val="000000"/>
            <w:u w:val="single" w:color="000000"/>
          </w:rPr>
          <w:t>826</w:t>
        </w:r>
      </w:hyperlink>
      <w:r>
        <w:rPr>
          <w:rStyle w:val="any"/>
          <w:color w:val="000000"/>
        </w:rPr>
        <w:t xml:space="preserve">, </w:t>
      </w:r>
      <w:hyperlink r:id="rId52" w:history="1">
        <w:r>
          <w:rPr>
            <w:rStyle w:val="bocontentwrapperbocenteranotbeck-btn"/>
            <w:color w:val="000000"/>
            <w:u w:val="single" w:color="000000"/>
          </w:rPr>
          <w:t>1967</w:t>
        </w:r>
      </w:hyperlink>
      <w:r>
        <w:rPr>
          <w:rStyle w:val="any"/>
          <w:color w:val="000000"/>
        </w:rPr>
        <w:t xml:space="preserve"> </w:t>
      </w:r>
      <w:hyperlink r:id="rId53" w:history="1">
        <w:r>
          <w:rPr>
            <w:rStyle w:val="bocontentwrapperbocenteranotbeck-btn"/>
            <w:color w:val="000000"/>
            <w:u w:val="single" w:color="000000"/>
          </w:rPr>
          <w:t>I</w:t>
        </w:r>
      </w:hyperlink>
      <w:r>
        <w:rPr>
          <w:rStyle w:val="any"/>
          <w:color w:val="000000"/>
        </w:rPr>
        <w:t xml:space="preserve"> BGB</w:t>
      </w:r>
      <w:r>
        <w:rPr>
          <w:color w:val="000000"/>
        </w:rPr>
        <w:t xml:space="preserve"> wegen sittenwidriger Schädigung durch Betreiben eines Schneeballsystems fehle es hinsichtlich der Verträge mit der P Transport-Container GmbH bereits an schlüssigem Vortrag zu einem sittenwidrigen Verhalten des Erblassers; im Übrigen seien aber auch sämtliche Schäden des Kl., die durch die erst nach der Abberufung des Erblassers geschlossenen Verträge entstanden seien, nicht mehr vom Schutzzweck des </w:t>
      </w:r>
      <w:r>
        <w:rPr>
          <w:rStyle w:val="any"/>
          <w:color w:val="000000"/>
        </w:rPr>
        <w:t xml:space="preserve">§ </w:t>
      </w:r>
      <w:hyperlink r:id="rId54" w:history="1">
        <w:r>
          <w:rPr>
            <w:rStyle w:val="bocontentwrapperbocenteranotbeck-btn"/>
            <w:color w:val="000000"/>
            <w:u w:val="single" w:color="000000"/>
          </w:rPr>
          <w:t>826</w:t>
        </w:r>
      </w:hyperlink>
      <w:r>
        <w:rPr>
          <w:rStyle w:val="any"/>
          <w:color w:val="000000"/>
        </w:rPr>
        <w:t xml:space="preserve"> BGB</w:t>
      </w:r>
      <w:r>
        <w:rPr>
          <w:color w:val="000000"/>
        </w:rPr>
        <w:t xml:space="preserve"> umfasst.</w:t>
      </w:r>
    </w:p>
    <w:p w14:paraId="2AEA2862" w14:textId="77777777" w:rsidR="00CF061C" w:rsidRDefault="00000000">
      <w:pPr>
        <w:pStyle w:val="divbocontentwrapperbocenterpParagraph"/>
        <w:spacing w:after="120" w:line="360" w:lineRule="auto"/>
        <w:ind w:left="600" w:right="150"/>
        <w:jc w:val="both"/>
        <w:rPr>
          <w:color w:val="000000"/>
        </w:rPr>
      </w:pPr>
      <w:bookmarkStart w:id="7" w:name="Y-300-Z-NZI-B-2025-S-885-RN-15"/>
      <w:bookmarkEnd w:id="7"/>
      <w:r>
        <w:rPr>
          <w:rStyle w:val="printcontentemrandnr"/>
          <w:rFonts w:ascii="Verdana" w:eastAsia="Verdana" w:hAnsi="Verdana" w:cs="Verdana"/>
          <w:b/>
          <w:bCs/>
          <w:color w:val="000000"/>
          <w:sz w:val="19"/>
          <w:szCs w:val="19"/>
        </w:rPr>
        <w:t>15</w:t>
      </w:r>
      <w:r>
        <w:rPr>
          <w:color w:val="000000"/>
        </w:rPr>
        <w:t>II. Das hält rechtlicher Nachprüfung überwiegend nicht stand.</w:t>
      </w:r>
    </w:p>
    <w:p w14:paraId="741C1363" w14:textId="77777777" w:rsidR="00CF061C" w:rsidRDefault="00000000">
      <w:pPr>
        <w:pStyle w:val="divbocontentwrapperbocenterpParagraph"/>
        <w:spacing w:after="120" w:line="360" w:lineRule="auto"/>
        <w:ind w:left="600" w:right="150"/>
        <w:jc w:val="both"/>
        <w:rPr>
          <w:color w:val="000000"/>
        </w:rPr>
      </w:pPr>
      <w:bookmarkStart w:id="8" w:name="Y-300-Z-NZI-B-2025-S-885-RN-16"/>
      <w:bookmarkEnd w:id="8"/>
      <w:r>
        <w:rPr>
          <w:rStyle w:val="printcontentemrandnr"/>
          <w:rFonts w:ascii="Verdana" w:eastAsia="Verdana" w:hAnsi="Verdana" w:cs="Verdana"/>
          <w:b/>
          <w:bCs/>
          <w:color w:val="000000"/>
          <w:sz w:val="19"/>
          <w:szCs w:val="19"/>
        </w:rPr>
        <w:lastRenderedPageBreak/>
        <w:t>16</w:t>
      </w:r>
      <w:r>
        <w:rPr>
          <w:color w:val="000000"/>
        </w:rPr>
        <w:t>1. Das BerGer. hat verkannt, dass das Verfahren hinsichtlich der Nebenforderungen des Kl. (Verzugszinsen und vorgerichtliche Rechtsanwaltsgebühren) aus sämtlichen Anlageverträgen weiter unterbrochen ist. Diesbezüglich fehlt es an einer wirksamen Aufnahme des Rechtsstreits.</w:t>
      </w:r>
    </w:p>
    <w:p w14:paraId="7420AA5B" w14:textId="77777777" w:rsidR="00CF061C" w:rsidRDefault="00000000">
      <w:pPr>
        <w:pStyle w:val="divbocontentwrapperbocenterpParagraph"/>
        <w:spacing w:after="120" w:line="360" w:lineRule="auto"/>
        <w:ind w:left="600" w:right="150"/>
        <w:jc w:val="both"/>
        <w:rPr>
          <w:color w:val="000000"/>
        </w:rPr>
      </w:pPr>
      <w:bookmarkStart w:id="9" w:name="Y-300-Z-NZI-B-2025-S-885-RN-17"/>
      <w:bookmarkEnd w:id="9"/>
      <w:r>
        <w:rPr>
          <w:rStyle w:val="printcontentemrandnr"/>
          <w:rFonts w:ascii="Verdana" w:eastAsia="Verdana" w:hAnsi="Verdana" w:cs="Verdana"/>
          <w:b/>
          <w:bCs/>
          <w:color w:val="000000"/>
          <w:sz w:val="19"/>
          <w:szCs w:val="19"/>
        </w:rPr>
        <w:t>17</w:t>
      </w:r>
      <w:r>
        <w:rPr>
          <w:color w:val="000000"/>
        </w:rPr>
        <w:t xml:space="preserve">a) Das BerGer. ist zutreffend davon ausgegangen, dass der gesamte Rechtsstreit durch die Bestellung eines vorläufigen Insolvenzverwalters für den Nachlass des Erblassers und die Verhängung eines allgemeinen Verfügungsverbots gegen die Bekl. am 17.6.2020 gem. § 240 S. 1 und 2ZPO iVm </w:t>
      </w:r>
      <w:r>
        <w:rPr>
          <w:rStyle w:val="any"/>
          <w:color w:val="000000"/>
        </w:rPr>
        <w:t xml:space="preserve">§ </w:t>
      </w:r>
      <w:hyperlink r:id="rId55" w:history="1">
        <w:r>
          <w:rPr>
            <w:rStyle w:val="bocontentwrapperbocenteranotbeck-btn"/>
            <w:color w:val="000000"/>
            <w:u w:val="single" w:color="000000"/>
          </w:rPr>
          <w:t>22</w:t>
        </w:r>
      </w:hyperlink>
      <w:r>
        <w:rPr>
          <w:rStyle w:val="any"/>
          <w:color w:val="000000"/>
        </w:rPr>
        <w:t xml:space="preserve"> </w:t>
      </w:r>
      <w:hyperlink r:id="rId56" w:history="1">
        <w:r>
          <w:rPr>
            <w:rStyle w:val="bocontentwrapperbocenteranotbeck-btn"/>
            <w:color w:val="000000"/>
            <w:u w:val="single" w:color="000000"/>
          </w:rPr>
          <w:t>I</w:t>
        </w:r>
      </w:hyperlink>
      <w:r>
        <w:rPr>
          <w:rStyle w:val="any"/>
          <w:color w:val="000000"/>
        </w:rPr>
        <w:t xml:space="preserve"> 1 InsO</w:t>
      </w:r>
      <w:r>
        <w:rPr>
          <w:color w:val="000000"/>
        </w:rPr>
        <w:t xml:space="preserve"> unterbrochen worden ist, da es sich bei sämtlichen Forderungen des Kl. (einschließlich der Verzugszinsen und geltend gemachten Rechtsverfolgungskosten) um Nachlassverbindlichkeiten im Sinn von </w:t>
      </w:r>
      <w:r>
        <w:rPr>
          <w:rStyle w:val="any"/>
          <w:color w:val="000000"/>
        </w:rPr>
        <w:t xml:space="preserve">§ </w:t>
      </w:r>
      <w:hyperlink r:id="rId57" w:history="1">
        <w:r>
          <w:rPr>
            <w:rStyle w:val="bocontentwrapperbocenteranotbeck-btn"/>
            <w:color w:val="000000"/>
            <w:u w:val="single" w:color="000000"/>
          </w:rPr>
          <w:t>1967</w:t>
        </w:r>
      </w:hyperlink>
      <w:r>
        <w:rPr>
          <w:rStyle w:val="any"/>
          <w:color w:val="000000"/>
        </w:rPr>
        <w:t xml:space="preserve"> BGB</w:t>
      </w:r>
      <w:r>
        <w:rPr>
          <w:color w:val="000000"/>
        </w:rPr>
        <w:t xml:space="preserve"> handelt (vgl. </w:t>
      </w:r>
      <w:r>
        <w:rPr>
          <w:rStyle w:val="any"/>
          <w:color w:val="000000"/>
        </w:rPr>
        <w:t xml:space="preserve">BGHZ 241, </w:t>
      </w:r>
      <w:hyperlink r:id="rId58"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59" w:history="1">
        <w:r>
          <w:rPr>
            <w:rStyle w:val="bocontentwrapperbocenteranotbeck-btn"/>
            <w:color w:val="000000"/>
            <w:u w:val="single" w:color="000000"/>
          </w:rPr>
          <w:t>840</w:t>
        </w:r>
      </w:hyperlink>
      <w:r>
        <w:rPr>
          <w:rStyle w:val="any"/>
          <w:color w:val="000000"/>
        </w:rPr>
        <w:t xml:space="preserve"> Rn. </w:t>
      </w:r>
      <w:hyperlink r:id="rId60" w:history="1">
        <w:r>
          <w:rPr>
            <w:rStyle w:val="bocontentwrapperbocenteranotbeck-btn"/>
            <w:color w:val="000000"/>
            <w:u w:val="single" w:color="000000"/>
          </w:rPr>
          <w:t>18</w:t>
        </w:r>
      </w:hyperlink>
      <w:r>
        <w:rPr>
          <w:color w:val="000000"/>
        </w:rPr>
        <w:t xml:space="preserve"> mwN).</w:t>
      </w:r>
    </w:p>
    <w:p w14:paraId="24346CC1" w14:textId="77777777" w:rsidR="00CF061C" w:rsidRDefault="00000000">
      <w:pPr>
        <w:pStyle w:val="divbocontentwrapperbocenterpParagraph"/>
        <w:spacing w:after="120" w:line="360" w:lineRule="auto"/>
        <w:ind w:left="600" w:right="150"/>
        <w:jc w:val="both"/>
        <w:rPr>
          <w:color w:val="000000"/>
        </w:rPr>
      </w:pPr>
      <w:bookmarkStart w:id="10" w:name="Y-300-Z-NZI-B-2025-S-885-RN-18"/>
      <w:bookmarkEnd w:id="10"/>
      <w:r>
        <w:rPr>
          <w:rStyle w:val="printcontentemrandnr"/>
          <w:rFonts w:ascii="Verdana" w:eastAsia="Verdana" w:hAnsi="Verdana" w:cs="Verdana"/>
          <w:b/>
          <w:bCs/>
          <w:color w:val="000000"/>
          <w:sz w:val="19"/>
          <w:szCs w:val="19"/>
        </w:rPr>
        <w:t>18</w:t>
      </w:r>
      <w:r>
        <w:rPr>
          <w:color w:val="000000"/>
        </w:rPr>
        <w:t xml:space="preserve">b) Im Ergebnis ebenfalls zutreffend ist die Annahme des BerGer., dass hinsichtlich beider Berufungen eine formal wirksame Aufnahmeerklärung gem. </w:t>
      </w:r>
      <w:r>
        <w:rPr>
          <w:rStyle w:val="any"/>
          <w:color w:val="000000"/>
        </w:rPr>
        <w:t xml:space="preserve">§ </w:t>
      </w:r>
      <w:hyperlink r:id="rId61" w:history="1">
        <w:r>
          <w:rPr>
            <w:rStyle w:val="bocontentwrapperbocenteranotbeck-btn"/>
            <w:color w:val="000000"/>
            <w:u w:val="single" w:color="000000"/>
          </w:rPr>
          <w:t>250</w:t>
        </w:r>
      </w:hyperlink>
      <w:r>
        <w:rPr>
          <w:rStyle w:val="any"/>
          <w:color w:val="000000"/>
        </w:rPr>
        <w:t xml:space="preserve"> ZPO</w:t>
      </w:r>
      <w:r>
        <w:rPr>
          <w:color w:val="000000"/>
        </w:rPr>
        <w:t xml:space="preserve"> vorliegt.</w:t>
      </w:r>
    </w:p>
    <w:p w14:paraId="0A3D0028" w14:textId="77777777" w:rsidR="00CF061C" w:rsidRDefault="00000000">
      <w:pPr>
        <w:pStyle w:val="divbocontentwrapperbocenterpParagraph"/>
        <w:spacing w:after="120" w:line="360" w:lineRule="auto"/>
        <w:ind w:left="600" w:right="150"/>
        <w:jc w:val="both"/>
        <w:rPr>
          <w:color w:val="000000"/>
        </w:rPr>
      </w:pPr>
      <w:bookmarkStart w:id="11" w:name="Y-300-Z-NZI-B-2025-S-885-RN-19"/>
      <w:bookmarkEnd w:id="11"/>
      <w:r>
        <w:rPr>
          <w:rStyle w:val="printcontentemrandnr"/>
          <w:rFonts w:ascii="Verdana" w:eastAsia="Verdana" w:hAnsi="Verdana" w:cs="Verdana"/>
          <w:b/>
          <w:bCs/>
          <w:color w:val="000000"/>
          <w:sz w:val="19"/>
          <w:szCs w:val="19"/>
        </w:rPr>
        <w:t>19</w:t>
      </w:r>
      <w:r>
        <w:rPr>
          <w:color w:val="000000"/>
        </w:rPr>
        <w:t xml:space="preserve">Dabei hat das BerGer. allerdings fehlerhaft allein auf die Aufnahmeerklärung der Bekl. abgestellt, obwohl diese ausweislich ihres Verweises auf </w:t>
      </w:r>
      <w:r>
        <w:rPr>
          <w:rStyle w:val="any"/>
          <w:color w:val="000000"/>
        </w:rPr>
        <w:t xml:space="preserve">§ </w:t>
      </w:r>
      <w:hyperlink r:id="rId62" w:history="1">
        <w:r>
          <w:rPr>
            <w:rStyle w:val="bocontentwrapperbocenteranotbeck-btn"/>
            <w:color w:val="000000"/>
            <w:u w:val="single" w:color="000000"/>
          </w:rPr>
          <w:t>184</w:t>
        </w:r>
      </w:hyperlink>
      <w:r>
        <w:rPr>
          <w:rStyle w:val="any"/>
          <w:color w:val="000000"/>
        </w:rPr>
        <w:t xml:space="preserve"> </w:t>
      </w:r>
      <w:hyperlink r:id="rId63" w:history="1">
        <w:r>
          <w:rPr>
            <w:rStyle w:val="bocontentwrapperbocenteranotbeck-btn"/>
            <w:color w:val="000000"/>
            <w:u w:val="single" w:color="000000"/>
          </w:rPr>
          <w:t>II</w:t>
        </w:r>
      </w:hyperlink>
      <w:r>
        <w:rPr>
          <w:rStyle w:val="any"/>
          <w:color w:val="000000"/>
        </w:rPr>
        <w:t xml:space="preserve"> InsO</w:t>
      </w:r>
      <w:r>
        <w:rPr>
          <w:color w:val="000000"/>
        </w:rPr>
        <w:t xml:space="preserve"> auf ihre eigene Berufung beschränkt war. Von Seiten des Kl. liegt aber jedenfalls eine den Anforderungen des </w:t>
      </w:r>
      <w:r>
        <w:rPr>
          <w:rStyle w:val="any"/>
          <w:color w:val="000000"/>
        </w:rPr>
        <w:t xml:space="preserve">§ </w:t>
      </w:r>
      <w:hyperlink r:id="rId64" w:history="1">
        <w:r>
          <w:rPr>
            <w:rStyle w:val="bocontentwrapperbocenteranotbeck-btn"/>
            <w:color w:val="000000"/>
            <w:u w:val="single" w:color="000000"/>
          </w:rPr>
          <w:t>250</w:t>
        </w:r>
      </w:hyperlink>
      <w:r>
        <w:rPr>
          <w:rStyle w:val="any"/>
          <w:color w:val="000000"/>
        </w:rPr>
        <w:t xml:space="preserve"> ZPO</w:t>
      </w:r>
      <w:r>
        <w:rPr>
          <w:color w:val="000000"/>
        </w:rPr>
        <w:t xml:space="preserve"> genügende konkludente Aufnahmeerklärung (vgl. dazu BGH </w:t>
      </w:r>
      <w:r>
        <w:rPr>
          <w:rStyle w:val="any"/>
          <w:color w:val="000000"/>
        </w:rPr>
        <w:t xml:space="preserve">NJOZ 2018, </w:t>
      </w:r>
      <w:hyperlink r:id="rId65" w:history="1">
        <w:r>
          <w:rPr>
            <w:rStyle w:val="bocontentwrapperbocenteranotbeck-btn"/>
            <w:color w:val="000000"/>
            <w:u w:val="single" w:color="000000"/>
          </w:rPr>
          <w:t>1924</w:t>
        </w:r>
      </w:hyperlink>
      <w:r>
        <w:rPr>
          <w:rStyle w:val="any"/>
          <w:color w:val="000000"/>
        </w:rPr>
        <w:t xml:space="preserve"> Rn. </w:t>
      </w:r>
      <w:hyperlink r:id="rId66" w:history="1">
        <w:r>
          <w:rPr>
            <w:rStyle w:val="bocontentwrapperbocenteranotbeck-btn"/>
            <w:color w:val="000000"/>
            <w:u w:val="single" w:color="000000"/>
          </w:rPr>
          <w:t>41</w:t>
        </w:r>
      </w:hyperlink>
      <w:r>
        <w:rPr>
          <w:color w:val="000000"/>
        </w:rPr>
        <w:t xml:space="preserve"> mwN) bezüglich seiner eigenen Berufung vor, da er mit Schriftsatz vom 12.5.2021 seinerseits gebeten hat, dem Verfahren Fortgang zu geben, und mit seiner Stellungnahme vom 28.2.2023 zum Hinweis des BerGer. deutlich gemacht hat, dass er seine Forderungen hinsichtlich der Anlageverträge nach dem Ausscheiden des Erblassers als Geschäftsführer weiterverfolgen will. Dass diese Schriftsätze des Kl. der Bekl. nicht förmlich zugestellt worden sind, ist durch das anschließende rügelose Verhandeln der Bekl. mit Antragstellung in der Berufungsverhandlung geheilt (</w:t>
      </w:r>
      <w:r>
        <w:rPr>
          <w:rStyle w:val="any"/>
          <w:color w:val="000000"/>
        </w:rPr>
        <w:t xml:space="preserve">§§ </w:t>
      </w:r>
      <w:hyperlink r:id="rId67" w:history="1">
        <w:r>
          <w:rPr>
            <w:rStyle w:val="bocontentwrapperbocenteranotbeck-btn"/>
            <w:color w:val="000000"/>
            <w:u w:val="single" w:color="000000"/>
          </w:rPr>
          <w:t>525</w:t>
        </w:r>
      </w:hyperlink>
      <w:r>
        <w:rPr>
          <w:rStyle w:val="any"/>
          <w:color w:val="000000"/>
        </w:rPr>
        <w:t xml:space="preserve"> S. 1, </w:t>
      </w:r>
      <w:hyperlink r:id="rId68" w:history="1">
        <w:r>
          <w:rPr>
            <w:rStyle w:val="bocontentwrapperbocenteranotbeck-btn"/>
            <w:color w:val="000000"/>
            <w:u w:val="single" w:color="000000"/>
          </w:rPr>
          <w:t>295</w:t>
        </w:r>
      </w:hyperlink>
      <w:r>
        <w:rPr>
          <w:rStyle w:val="any"/>
          <w:color w:val="000000"/>
        </w:rPr>
        <w:t xml:space="preserve"> ZPO</w:t>
      </w:r>
      <w:r>
        <w:rPr>
          <w:color w:val="000000"/>
        </w:rPr>
        <w:t>).</w:t>
      </w:r>
    </w:p>
    <w:p w14:paraId="613BC26A" w14:textId="77777777" w:rsidR="00CF061C" w:rsidRDefault="00000000">
      <w:pPr>
        <w:pStyle w:val="divbocontentwrapperbocenterpParagraph"/>
        <w:spacing w:after="120" w:line="360" w:lineRule="auto"/>
        <w:ind w:left="600" w:right="150"/>
        <w:jc w:val="both"/>
        <w:rPr>
          <w:color w:val="000000"/>
        </w:rPr>
      </w:pPr>
      <w:bookmarkStart w:id="12" w:name="Y-300-Z-NZI-B-2025-S-885-RN-20"/>
      <w:bookmarkEnd w:id="12"/>
      <w:r>
        <w:rPr>
          <w:rStyle w:val="printcontentemrandnr"/>
          <w:rFonts w:ascii="Verdana" w:eastAsia="Verdana" w:hAnsi="Verdana" w:cs="Verdana"/>
          <w:b/>
          <w:bCs/>
          <w:color w:val="000000"/>
          <w:sz w:val="19"/>
          <w:szCs w:val="19"/>
        </w:rPr>
        <w:t>20</w:t>
      </w:r>
      <w:r>
        <w:rPr>
          <w:color w:val="000000"/>
        </w:rPr>
        <w:t xml:space="preserve">c) Das BerGer. hat aber verkannt, dass die Voraussetzungen des </w:t>
      </w:r>
      <w:r>
        <w:rPr>
          <w:rStyle w:val="any"/>
          <w:color w:val="000000"/>
        </w:rPr>
        <w:t xml:space="preserve">§ </w:t>
      </w:r>
      <w:hyperlink r:id="rId69" w:history="1">
        <w:r>
          <w:rPr>
            <w:rStyle w:val="bocontentwrapperbocenteranotbeck-btn"/>
            <w:color w:val="000000"/>
            <w:u w:val="single" w:color="000000"/>
          </w:rPr>
          <w:t>240</w:t>
        </w:r>
      </w:hyperlink>
      <w:r>
        <w:rPr>
          <w:rStyle w:val="any"/>
          <w:color w:val="000000"/>
        </w:rPr>
        <w:t xml:space="preserve"> S. 1 ZPO</w:t>
      </w:r>
      <w:r>
        <w:rPr>
          <w:color w:val="000000"/>
        </w:rPr>
        <w:t xml:space="preserve"> für eine wirksame Aufnahme nur für die vom Kl. geltend gemachten Hauptforderungen erfüllt sind, weil es für seine Nebenforderungen an einer wirksamen Forderungsanmeldung gem. </w:t>
      </w:r>
      <w:r>
        <w:rPr>
          <w:rStyle w:val="any"/>
          <w:color w:val="000000"/>
        </w:rPr>
        <w:t xml:space="preserve">§§ </w:t>
      </w:r>
      <w:hyperlink r:id="rId70" w:history="1">
        <w:r>
          <w:rPr>
            <w:rStyle w:val="bocontentwrapperbocenteranotbeck-btn"/>
            <w:color w:val="000000"/>
            <w:u w:val="single" w:color="000000"/>
          </w:rPr>
          <w:t>174</w:t>
        </w:r>
      </w:hyperlink>
      <w:r>
        <w:rPr>
          <w:rStyle w:val="any"/>
          <w:color w:val="000000"/>
        </w:rPr>
        <w:t> ff. InsO</w:t>
      </w:r>
      <w:r>
        <w:rPr>
          <w:color w:val="000000"/>
        </w:rPr>
        <w:t xml:space="preserve"> fehlt.</w:t>
      </w:r>
    </w:p>
    <w:p w14:paraId="4C9E4C13" w14:textId="77777777" w:rsidR="00CF061C" w:rsidRDefault="00000000">
      <w:pPr>
        <w:pStyle w:val="divbocontentwrapperbocenterpParagraph"/>
        <w:spacing w:after="120" w:line="360" w:lineRule="auto"/>
        <w:ind w:left="600" w:right="150"/>
        <w:jc w:val="both"/>
        <w:rPr>
          <w:color w:val="000000"/>
        </w:rPr>
      </w:pPr>
      <w:bookmarkStart w:id="13" w:name="Y-300-Z-NZI-B-2025-S-885-RN-21"/>
      <w:bookmarkEnd w:id="13"/>
      <w:r>
        <w:rPr>
          <w:rStyle w:val="printcontentemrandnr"/>
          <w:rFonts w:ascii="Verdana" w:eastAsia="Verdana" w:hAnsi="Verdana" w:cs="Verdana"/>
          <w:b/>
          <w:bCs/>
          <w:color w:val="000000"/>
          <w:sz w:val="19"/>
          <w:szCs w:val="19"/>
        </w:rPr>
        <w:t>21</w:t>
      </w:r>
      <w:r>
        <w:rPr>
          <w:color w:val="000000"/>
        </w:rPr>
        <w:t>aa) Wie der Senat mit Urteil v. 23.7.2024 (</w:t>
      </w:r>
      <w:r>
        <w:rPr>
          <w:rStyle w:val="any"/>
          <w:color w:val="000000"/>
        </w:rPr>
        <w:t xml:space="preserve">NZI 2024, </w:t>
      </w:r>
      <w:hyperlink r:id="rId71" w:history="1">
        <w:r>
          <w:rPr>
            <w:rStyle w:val="bocontentwrapperbocenteranotbeck-btn"/>
            <w:color w:val="000000"/>
            <w:u w:val="single" w:color="000000"/>
          </w:rPr>
          <w:t>760</w:t>
        </w:r>
      </w:hyperlink>
      <w:r>
        <w:rPr>
          <w:rStyle w:val="any"/>
          <w:color w:val="000000"/>
        </w:rPr>
        <w:t xml:space="preserve"> Rn. </w:t>
      </w:r>
      <w:hyperlink r:id="rId72" w:history="1">
        <w:r>
          <w:rPr>
            <w:rStyle w:val="bocontentwrapperbocenteranotbeck-btn"/>
            <w:color w:val="000000"/>
            <w:u w:val="single" w:color="000000"/>
          </w:rPr>
          <w:t>20</w:t>
        </w:r>
      </w:hyperlink>
      <w:r>
        <w:rPr>
          <w:rStyle w:val="any"/>
          <w:color w:val="000000"/>
        </w:rPr>
        <w:t> ff.</w:t>
      </w:r>
      <w:r>
        <w:rPr>
          <w:color w:val="000000"/>
        </w:rPr>
        <w:t>) entschieden und näher begründet hat, setzt die wirksame Aufnahme eines zur Zeit der Eröffnung des Insolvenzverfahrens anhängigen Rechtsstreits (auch) zur Beseitigung eines Schuldnerwiderspruchs (</w:t>
      </w:r>
      <w:r>
        <w:rPr>
          <w:rStyle w:val="any"/>
          <w:color w:val="000000"/>
        </w:rPr>
        <w:t xml:space="preserve">§ </w:t>
      </w:r>
      <w:hyperlink r:id="rId73" w:history="1">
        <w:r>
          <w:rPr>
            <w:rStyle w:val="bocontentwrapperbocenteranotbeck-btn"/>
            <w:color w:val="000000"/>
            <w:u w:val="single" w:color="000000"/>
          </w:rPr>
          <w:t>184</w:t>
        </w:r>
      </w:hyperlink>
      <w:r>
        <w:rPr>
          <w:rStyle w:val="any"/>
          <w:color w:val="000000"/>
        </w:rPr>
        <w:t xml:space="preserve"> </w:t>
      </w:r>
      <w:hyperlink r:id="rId74" w:history="1">
        <w:r>
          <w:rPr>
            <w:rStyle w:val="bocontentwrapperbocenteranotbeck-btn"/>
            <w:color w:val="000000"/>
            <w:u w:val="single" w:color="000000"/>
          </w:rPr>
          <w:t>I</w:t>
        </w:r>
      </w:hyperlink>
      <w:r>
        <w:rPr>
          <w:rStyle w:val="any"/>
          <w:color w:val="000000"/>
        </w:rPr>
        <w:t xml:space="preserve"> 2 InsO</w:t>
      </w:r>
      <w:r>
        <w:rPr>
          <w:color w:val="000000"/>
        </w:rPr>
        <w:t>) oder zu dessen Verfolgung (</w:t>
      </w:r>
      <w:r>
        <w:rPr>
          <w:rStyle w:val="any"/>
          <w:color w:val="000000"/>
        </w:rPr>
        <w:t xml:space="preserve">§ </w:t>
      </w:r>
      <w:hyperlink r:id="rId75" w:history="1">
        <w:r>
          <w:rPr>
            <w:rStyle w:val="bocontentwrapperbocenteranotbeck-btn"/>
            <w:color w:val="000000"/>
            <w:u w:val="single" w:color="000000"/>
          </w:rPr>
          <w:t>184</w:t>
        </w:r>
      </w:hyperlink>
      <w:r>
        <w:rPr>
          <w:rStyle w:val="any"/>
          <w:color w:val="000000"/>
        </w:rPr>
        <w:t xml:space="preserve"> </w:t>
      </w:r>
      <w:hyperlink r:id="rId76" w:history="1">
        <w:r>
          <w:rPr>
            <w:rStyle w:val="bocontentwrapperbocenteranotbeck-btn"/>
            <w:color w:val="000000"/>
            <w:u w:val="single" w:color="000000"/>
          </w:rPr>
          <w:t>II</w:t>
        </w:r>
      </w:hyperlink>
      <w:r>
        <w:rPr>
          <w:rStyle w:val="any"/>
          <w:color w:val="000000"/>
        </w:rPr>
        <w:t xml:space="preserve"> 1 InsO</w:t>
      </w:r>
      <w:r>
        <w:rPr>
          <w:color w:val="000000"/>
        </w:rPr>
        <w:t xml:space="preserve">) eine wirksame Forderungsanmeldung gem. </w:t>
      </w:r>
      <w:r>
        <w:rPr>
          <w:rStyle w:val="any"/>
          <w:color w:val="000000"/>
        </w:rPr>
        <w:t xml:space="preserve">§§ </w:t>
      </w:r>
      <w:hyperlink r:id="rId77" w:history="1">
        <w:r>
          <w:rPr>
            <w:rStyle w:val="bocontentwrapperbocenteranotbeck-btn"/>
            <w:color w:val="000000"/>
            <w:u w:val="single" w:color="000000"/>
          </w:rPr>
          <w:t>174</w:t>
        </w:r>
      </w:hyperlink>
      <w:r>
        <w:rPr>
          <w:rStyle w:val="any"/>
          <w:color w:val="000000"/>
        </w:rPr>
        <w:t> ff. InsO</w:t>
      </w:r>
      <w:r>
        <w:rPr>
          <w:color w:val="000000"/>
        </w:rPr>
        <w:t xml:space="preserve"> voraus.</w:t>
      </w:r>
    </w:p>
    <w:p w14:paraId="6FD9607F" w14:textId="77777777" w:rsidR="00CF061C" w:rsidRDefault="00000000">
      <w:pPr>
        <w:pStyle w:val="divbocontentwrapperbocenterpParagraph"/>
        <w:spacing w:after="120" w:line="360" w:lineRule="auto"/>
        <w:ind w:left="600" w:right="150"/>
        <w:jc w:val="both"/>
        <w:rPr>
          <w:color w:val="000000"/>
        </w:rPr>
      </w:pPr>
      <w:bookmarkStart w:id="14" w:name="Y-300-Z-NZI-B-2025-S-885-RN-22"/>
      <w:bookmarkEnd w:id="14"/>
      <w:r>
        <w:rPr>
          <w:rStyle w:val="printcontentemrandnr"/>
          <w:rFonts w:ascii="Verdana" w:eastAsia="Verdana" w:hAnsi="Verdana" w:cs="Verdana"/>
          <w:b/>
          <w:bCs/>
          <w:color w:val="000000"/>
          <w:sz w:val="19"/>
          <w:szCs w:val="19"/>
        </w:rPr>
        <w:t>22</w:t>
      </w:r>
      <w:r>
        <w:rPr>
          <w:color w:val="000000"/>
        </w:rPr>
        <w:t xml:space="preserve">bb) Eine wirksame Forderungsanmeldung gem. </w:t>
      </w:r>
      <w:r>
        <w:rPr>
          <w:rStyle w:val="any"/>
          <w:color w:val="000000"/>
        </w:rPr>
        <w:t xml:space="preserve">§§ </w:t>
      </w:r>
      <w:hyperlink r:id="rId78" w:history="1">
        <w:r>
          <w:rPr>
            <w:rStyle w:val="bocontentwrapperbocenteranotbeck-btn"/>
            <w:color w:val="000000"/>
            <w:u w:val="single" w:color="000000"/>
          </w:rPr>
          <w:t>174</w:t>
        </w:r>
      </w:hyperlink>
      <w:r>
        <w:rPr>
          <w:rStyle w:val="any"/>
          <w:color w:val="000000"/>
        </w:rPr>
        <w:t> ff. InsO</w:t>
      </w:r>
      <w:r>
        <w:rPr>
          <w:color w:val="000000"/>
        </w:rPr>
        <w:t xml:space="preserve"> liegt hier (nur) hinsichtlich der eingeklagten Hauptforderungen des Kl. aus seinen Anlageverträgen </w:t>
      </w:r>
      <w:r>
        <w:rPr>
          <w:color w:val="000000"/>
        </w:rPr>
        <w:lastRenderedPageBreak/>
        <w:t>(bezifferter Zahlungsanspruch und Feststellung der Freistellungsverpflichtung) vor, nicht aber hinsichtlich der von ihm geltend gemachten Nebenforderungen.</w:t>
      </w:r>
    </w:p>
    <w:p w14:paraId="0157E20D" w14:textId="77777777" w:rsidR="00CF061C" w:rsidRDefault="00000000">
      <w:pPr>
        <w:pStyle w:val="divbocontentwrapperbocenterpParagraph"/>
        <w:spacing w:after="120" w:line="360" w:lineRule="auto"/>
        <w:ind w:left="600" w:right="150"/>
        <w:jc w:val="both"/>
        <w:rPr>
          <w:color w:val="000000"/>
        </w:rPr>
      </w:pPr>
      <w:bookmarkStart w:id="15" w:name="Y-300-Z-NZI-B-2025-S-885-RN-23"/>
      <w:bookmarkEnd w:id="15"/>
      <w:r>
        <w:rPr>
          <w:rStyle w:val="printcontentemrandnr"/>
          <w:rFonts w:ascii="Verdana" w:eastAsia="Verdana" w:hAnsi="Verdana" w:cs="Verdana"/>
          <w:b/>
          <w:bCs/>
          <w:color w:val="000000"/>
          <w:sz w:val="19"/>
          <w:szCs w:val="19"/>
        </w:rPr>
        <w:t>23</w:t>
      </w:r>
      <w:r>
        <w:rPr>
          <w:color w:val="000000"/>
        </w:rPr>
        <w:t xml:space="preserve">(1) Die vom Kl. im Revisionsverfahren vorgelegte Forderungsanmeldung vom 3.12.2020, die von der Bekl. als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7759E1A8" w14:textId="77777777">
        <w:tc>
          <w:tcPr>
            <w:tcW w:w="4000" w:type="pct"/>
            <w:shd w:val="clear" w:color="auto" w:fill="F0F0F0"/>
            <w:tcMar>
              <w:top w:w="0" w:type="dxa"/>
              <w:left w:w="0" w:type="dxa"/>
              <w:bottom w:w="0" w:type="dxa"/>
              <w:right w:w="0" w:type="dxa"/>
            </w:tcMar>
            <w:vAlign w:val="center"/>
            <w:hideMark/>
          </w:tcPr>
          <w:p w14:paraId="2387AE38"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2733553E"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887</w:t>
            </w:r>
          </w:p>
        </w:tc>
      </w:tr>
    </w:tbl>
    <w:p w14:paraId="4E32E015" w14:textId="77777777" w:rsidR="00CF061C" w:rsidRDefault="00000000">
      <w:pPr>
        <w:pStyle w:val="divbocontentwrapperbocenterpParagraph"/>
        <w:spacing w:after="120" w:line="360" w:lineRule="auto"/>
        <w:ind w:left="600" w:right="150"/>
        <w:jc w:val="both"/>
        <w:rPr>
          <w:color w:val="000000"/>
        </w:rPr>
      </w:pPr>
      <w:r>
        <w:rPr>
          <w:color w:val="000000"/>
        </w:rPr>
        <w:t>solche nicht bestritten worden bzw. als von ihr zugestanden anzunehmen ist (</w:t>
      </w:r>
      <w:r>
        <w:rPr>
          <w:rStyle w:val="any"/>
          <w:color w:val="000000"/>
        </w:rPr>
        <w:t xml:space="preserve">§ </w:t>
      </w:r>
      <w:hyperlink r:id="rId79" w:history="1">
        <w:r>
          <w:rPr>
            <w:rStyle w:val="bocontentwrapperbocenteranotbeck-btn"/>
            <w:color w:val="000000"/>
            <w:u w:val="single" w:color="000000"/>
          </w:rPr>
          <w:t>555</w:t>
        </w:r>
      </w:hyperlink>
      <w:r>
        <w:rPr>
          <w:rStyle w:val="any"/>
          <w:color w:val="000000"/>
        </w:rPr>
        <w:t xml:space="preserve"> iVm § </w:t>
      </w:r>
      <w:hyperlink r:id="rId80" w:history="1">
        <w:r>
          <w:rPr>
            <w:rStyle w:val="bocontentwrapperbocenteranotbeck-btn"/>
            <w:color w:val="000000"/>
            <w:u w:val="single" w:color="000000"/>
          </w:rPr>
          <w:t>331</w:t>
        </w:r>
      </w:hyperlink>
      <w:r>
        <w:rPr>
          <w:rStyle w:val="any"/>
          <w:color w:val="000000"/>
        </w:rPr>
        <w:t xml:space="preserve"> </w:t>
      </w:r>
      <w:hyperlink r:id="rId81" w:history="1">
        <w:r>
          <w:rPr>
            <w:rStyle w:val="bocontentwrapperbocenteranotbeck-btn"/>
            <w:color w:val="000000"/>
            <w:u w:val="single" w:color="000000"/>
          </w:rPr>
          <w:t>I</w:t>
        </w:r>
      </w:hyperlink>
      <w:r>
        <w:rPr>
          <w:rStyle w:val="any"/>
          <w:color w:val="000000"/>
        </w:rPr>
        <w:t xml:space="preserve"> 1 ZPO</w:t>
      </w:r>
      <w:r>
        <w:rPr>
          <w:color w:val="000000"/>
        </w:rPr>
        <w:t xml:space="preserve">) und die der Senat ungeachtet der Beschränkungen des </w:t>
      </w:r>
      <w:r>
        <w:rPr>
          <w:rStyle w:val="any"/>
          <w:color w:val="000000"/>
        </w:rPr>
        <w:t xml:space="preserve">§ </w:t>
      </w:r>
      <w:hyperlink r:id="rId82" w:history="1">
        <w:r>
          <w:rPr>
            <w:rStyle w:val="bocontentwrapperbocenteranotbeck-btn"/>
            <w:color w:val="000000"/>
            <w:u w:val="single" w:color="000000"/>
          </w:rPr>
          <w:t>559</w:t>
        </w:r>
      </w:hyperlink>
      <w:r>
        <w:rPr>
          <w:rStyle w:val="any"/>
          <w:color w:val="000000"/>
        </w:rPr>
        <w:t xml:space="preserve"> ZPO</w:t>
      </w:r>
      <w:r>
        <w:rPr>
          <w:color w:val="000000"/>
        </w:rPr>
        <w:t xml:space="preserve"> bei seiner amtswegigen Prüfung der Aufnahmevoraussetzungen berücksichtigen kann (vgl. Musielak/Voit/Ball ZPO, 20. Aufl., ZPO § 559 Rn. 8 mwN), ist entgegen der Ansicht der Bekl. keine insgesamt unzulässige Sammelanmeldung. Hierüber kann der Senat selbst entscheiden, da weitere Feststellungen hierzu nicht erforderlich sind (vgl. </w:t>
      </w:r>
      <w:r>
        <w:rPr>
          <w:rStyle w:val="any"/>
          <w:color w:val="000000"/>
        </w:rPr>
        <w:t xml:space="preserve">BGHZ 213, </w:t>
      </w:r>
      <w:hyperlink r:id="rId83" w:history="1">
        <w:r>
          <w:rPr>
            <w:rStyle w:val="bocontentwrapperbocenteranotbeck-btn"/>
            <w:color w:val="000000"/>
            <w:u w:val="single" w:color="000000"/>
          </w:rPr>
          <w:t>362</w:t>
        </w:r>
      </w:hyperlink>
      <w:r>
        <w:rPr>
          <w:rStyle w:val="any"/>
          <w:color w:val="000000"/>
        </w:rPr>
        <w:t xml:space="preserve"> Rn. </w:t>
      </w:r>
      <w:hyperlink r:id="rId84" w:history="1">
        <w:r>
          <w:rPr>
            <w:rStyle w:val="bocontentwrapperbocenteranotbeck-btn"/>
            <w:color w:val="000000"/>
            <w:u w:val="single" w:color="000000"/>
          </w:rPr>
          <w:t>33</w:t>
        </w:r>
      </w:hyperlink>
      <w:r>
        <w:rPr>
          <w:color w:val="000000"/>
        </w:rPr>
        <w:t xml:space="preserve"> = </w:t>
      </w:r>
      <w:r>
        <w:rPr>
          <w:rStyle w:val="any"/>
          <w:color w:val="000000"/>
        </w:rPr>
        <w:t xml:space="preserve">NZI 2017, </w:t>
      </w:r>
      <w:hyperlink r:id="rId85" w:history="1">
        <w:r>
          <w:rPr>
            <w:rStyle w:val="bocontentwrapperbocenteranotbeck-btn"/>
            <w:color w:val="000000"/>
            <w:u w:val="single" w:color="000000"/>
          </w:rPr>
          <w:t>300</w:t>
        </w:r>
      </w:hyperlink>
      <w:r>
        <w:rPr>
          <w:color w:val="000000"/>
        </w:rPr>
        <w:t xml:space="preserve">; BGH </w:t>
      </w:r>
      <w:r>
        <w:rPr>
          <w:rStyle w:val="any"/>
          <w:color w:val="000000"/>
        </w:rPr>
        <w:t xml:space="preserve">NZI 2020, </w:t>
      </w:r>
      <w:hyperlink r:id="rId86" w:history="1">
        <w:r>
          <w:rPr>
            <w:rStyle w:val="bocontentwrapperbocenteranotbeck-btn"/>
            <w:color w:val="000000"/>
            <w:u w:val="single" w:color="000000"/>
          </w:rPr>
          <w:t>782</w:t>
        </w:r>
      </w:hyperlink>
      <w:r>
        <w:rPr>
          <w:rStyle w:val="any"/>
          <w:color w:val="000000"/>
        </w:rPr>
        <w:t xml:space="preserve"> Rn. </w:t>
      </w:r>
      <w:hyperlink r:id="rId87" w:history="1">
        <w:r>
          <w:rPr>
            <w:rStyle w:val="bocontentwrapperbocenteranotbeck-btn"/>
            <w:color w:val="000000"/>
            <w:u w:val="single" w:color="000000"/>
          </w:rPr>
          <w:t>28</w:t>
        </w:r>
      </w:hyperlink>
      <w:r>
        <w:rPr>
          <w:color w:val="000000"/>
        </w:rPr>
        <w:t>).</w:t>
      </w:r>
    </w:p>
    <w:p w14:paraId="10CB5308" w14:textId="77777777" w:rsidR="00CF061C" w:rsidRDefault="00000000">
      <w:pPr>
        <w:pStyle w:val="divbocontentwrapperbocenterpParagraph"/>
        <w:spacing w:after="120" w:line="360" w:lineRule="auto"/>
        <w:ind w:left="600" w:right="150"/>
        <w:jc w:val="both"/>
        <w:rPr>
          <w:color w:val="000000"/>
        </w:rPr>
      </w:pPr>
      <w:bookmarkStart w:id="16" w:name="Y-300-Z-NZI-B-2025-S-885-RN-24"/>
      <w:bookmarkEnd w:id="16"/>
      <w:r>
        <w:rPr>
          <w:rStyle w:val="printcontentemrandnr"/>
          <w:rFonts w:ascii="Verdana" w:eastAsia="Verdana" w:hAnsi="Verdana" w:cs="Verdana"/>
          <w:b/>
          <w:bCs/>
          <w:color w:val="000000"/>
          <w:sz w:val="19"/>
          <w:szCs w:val="19"/>
        </w:rPr>
        <w:t>24</w:t>
      </w:r>
      <w:r>
        <w:rPr>
          <w:color w:val="000000"/>
        </w:rPr>
        <w:t xml:space="preserve">Der Kl. hat mit der Anmeldung vom 3.12.2020 nicht nur pauschal eine Gesamt-Schadensersatzforderung von 298.799 EUR geltend gemacht, sondern in seinem Begleitschreiben in einer </w:t>
      </w:r>
      <w:r>
        <w:rPr>
          <w:rStyle w:val="any"/>
          <w:color w:val="000000"/>
        </w:rPr>
        <w:t xml:space="preserve">§ </w:t>
      </w:r>
      <w:hyperlink r:id="rId88" w:history="1">
        <w:r>
          <w:rPr>
            <w:rStyle w:val="bocontentwrapperbocenteranotbeck-btn"/>
            <w:color w:val="000000"/>
            <w:u w:val="single" w:color="000000"/>
          </w:rPr>
          <w:t>174</w:t>
        </w:r>
      </w:hyperlink>
      <w:r>
        <w:rPr>
          <w:rStyle w:val="any"/>
          <w:color w:val="000000"/>
        </w:rPr>
        <w:t xml:space="preserve"> </w:t>
      </w:r>
      <w:hyperlink r:id="rId89" w:history="1">
        <w:r>
          <w:rPr>
            <w:rStyle w:val="bocontentwrapperbocenteranotbeck-btn"/>
            <w:color w:val="000000"/>
            <w:u w:val="single" w:color="000000"/>
          </w:rPr>
          <w:t>II</w:t>
        </w:r>
      </w:hyperlink>
      <w:r>
        <w:rPr>
          <w:rStyle w:val="any"/>
          <w:color w:val="000000"/>
        </w:rPr>
        <w:t xml:space="preserve"> InsO</w:t>
      </w:r>
      <w:r>
        <w:rPr>
          <w:color w:val="000000"/>
        </w:rPr>
        <w:t xml:space="preserve"> genügenden Weise sowohl hinsichtlich des Grunds als auch des jeweils geltend gemachten Betrags (die jeweilige Investitionssumme) hinreichend zwischen den einzelnen, mit Vertragsnummer, Abschlussdatum und Investitionssumme aufgelisteten Anlageverträgen differenziert und diese unverwechselbar einem bestimmten Lebenssachverhalt zugeordnet. Dass seine Schadensersatzforderung möglicherweise von einer Zug-um-Zug zu erbringenden Gegenleistung abhängt, steht der Wirksamkeit der Anmeldung nicht entgegen (vgl. </w:t>
      </w:r>
      <w:r>
        <w:rPr>
          <w:rStyle w:val="any"/>
          <w:color w:val="000000"/>
        </w:rPr>
        <w:t xml:space="preserve">BGHZ 241, </w:t>
      </w:r>
      <w:hyperlink r:id="rId90"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91" w:history="1">
        <w:r>
          <w:rPr>
            <w:rStyle w:val="bocontentwrapperbocenteranotbeck-btn"/>
            <w:color w:val="000000"/>
            <w:u w:val="single" w:color="000000"/>
          </w:rPr>
          <w:t>840</w:t>
        </w:r>
      </w:hyperlink>
      <w:r>
        <w:rPr>
          <w:rStyle w:val="any"/>
          <w:color w:val="000000"/>
        </w:rPr>
        <w:t xml:space="preserve"> Rn. </w:t>
      </w:r>
      <w:hyperlink r:id="rId92" w:history="1">
        <w:r>
          <w:rPr>
            <w:rStyle w:val="bocontentwrapperbocenteranotbeck-btn"/>
            <w:color w:val="000000"/>
            <w:u w:val="single" w:color="000000"/>
          </w:rPr>
          <w:t>34</w:t>
        </w:r>
      </w:hyperlink>
      <w:r>
        <w:rPr>
          <w:color w:val="000000"/>
        </w:rPr>
        <w:t>).</w:t>
      </w:r>
    </w:p>
    <w:p w14:paraId="633D25BB" w14:textId="77777777" w:rsidR="00CF061C" w:rsidRDefault="00000000">
      <w:pPr>
        <w:pStyle w:val="divbocontentwrapperbocenterpParagraph"/>
        <w:spacing w:after="120" w:line="360" w:lineRule="auto"/>
        <w:ind w:left="600" w:right="150"/>
        <w:jc w:val="both"/>
        <w:rPr>
          <w:color w:val="000000"/>
        </w:rPr>
      </w:pPr>
      <w:bookmarkStart w:id="17" w:name="Y-300-Z-NZI-B-2025-S-885-RN-25"/>
      <w:bookmarkEnd w:id="17"/>
      <w:r>
        <w:rPr>
          <w:rStyle w:val="printcontentemrandnr"/>
          <w:rFonts w:ascii="Verdana" w:eastAsia="Verdana" w:hAnsi="Verdana" w:cs="Verdana"/>
          <w:b/>
          <w:bCs/>
          <w:color w:val="000000"/>
          <w:sz w:val="19"/>
          <w:szCs w:val="19"/>
        </w:rPr>
        <w:t>25</w:t>
      </w:r>
      <w:r>
        <w:rPr>
          <w:color w:val="000000"/>
        </w:rPr>
        <w:t xml:space="preserve">(2) Inhaltlich erstreckte sich diese Anmeldung aber nur auf die hier geltend gemachten Hauptforderungen des Kl., dh seinen bezifferten Zahlungsantrag und seinen Antrag auf Feststellung der Freistellungsverpflichtung der Bekl., die bei wirtschaftlicher Betrachtung beide von seiner Anmeldung der jeweils ungekürzten Investitionsbeträge als Schadensersatz in Form des negativen Interesses umfasst waren (vgl. zu einer entsprechenden Forderungsanmeldung </w:t>
      </w:r>
      <w:r>
        <w:rPr>
          <w:rStyle w:val="any"/>
          <w:color w:val="000000"/>
        </w:rPr>
        <w:t xml:space="preserve">BGHZ 241, </w:t>
      </w:r>
      <w:hyperlink r:id="rId93"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94" w:history="1">
        <w:r>
          <w:rPr>
            <w:rStyle w:val="bocontentwrapperbocenteranotbeck-btn"/>
            <w:color w:val="000000"/>
            <w:u w:val="single" w:color="000000"/>
          </w:rPr>
          <w:t>840</w:t>
        </w:r>
      </w:hyperlink>
      <w:r>
        <w:rPr>
          <w:rStyle w:val="any"/>
          <w:color w:val="000000"/>
        </w:rPr>
        <w:t xml:space="preserve"> Rn. </w:t>
      </w:r>
      <w:hyperlink r:id="rId95" w:history="1">
        <w:r>
          <w:rPr>
            <w:rStyle w:val="bocontentwrapperbocenteranotbeck-btn"/>
            <w:color w:val="000000"/>
            <w:u w:val="single" w:color="000000"/>
          </w:rPr>
          <w:t>38</w:t>
        </w:r>
      </w:hyperlink>
      <w:r>
        <w:rPr>
          <w:color w:val="000000"/>
        </w:rPr>
        <w:t xml:space="preserve">). Zu den vom Kl. als Nebenforderungen geltend gemachten Verzugszinsen und vorgerichtlichen Rechtsanwaltskosten fehlt es in der Anmeldung vom 3.12.2020 dagegen an den insoweit nach </w:t>
      </w:r>
      <w:r>
        <w:rPr>
          <w:rStyle w:val="any"/>
          <w:color w:val="000000"/>
        </w:rPr>
        <w:t xml:space="preserve">§ </w:t>
      </w:r>
      <w:hyperlink r:id="rId96" w:history="1">
        <w:r>
          <w:rPr>
            <w:rStyle w:val="bocontentwrapperbocenteranotbeck-btn"/>
            <w:color w:val="000000"/>
            <w:u w:val="single" w:color="000000"/>
          </w:rPr>
          <w:t>174</w:t>
        </w:r>
      </w:hyperlink>
      <w:r>
        <w:rPr>
          <w:rStyle w:val="any"/>
          <w:color w:val="000000"/>
        </w:rPr>
        <w:t xml:space="preserve"> </w:t>
      </w:r>
      <w:hyperlink r:id="rId97" w:history="1">
        <w:r>
          <w:rPr>
            <w:rStyle w:val="bocontentwrapperbocenteranotbeck-btn"/>
            <w:color w:val="000000"/>
            <w:u w:val="single" w:color="000000"/>
          </w:rPr>
          <w:t>II</w:t>
        </w:r>
      </w:hyperlink>
      <w:r>
        <w:rPr>
          <w:rStyle w:val="any"/>
          <w:color w:val="000000"/>
        </w:rPr>
        <w:t xml:space="preserve"> InsO</w:t>
      </w:r>
      <w:r>
        <w:rPr>
          <w:color w:val="000000"/>
        </w:rPr>
        <w:t xml:space="preserve"> erforderlichen Angaben (vgl. </w:t>
      </w:r>
      <w:r>
        <w:rPr>
          <w:rStyle w:val="any"/>
          <w:color w:val="000000"/>
        </w:rPr>
        <w:t xml:space="preserve">BGHZ 241, </w:t>
      </w:r>
      <w:hyperlink r:id="rId98"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99" w:history="1">
        <w:r>
          <w:rPr>
            <w:rStyle w:val="bocontentwrapperbocenteranotbeck-btn"/>
            <w:color w:val="000000"/>
            <w:u w:val="single" w:color="000000"/>
          </w:rPr>
          <w:t>840</w:t>
        </w:r>
      </w:hyperlink>
      <w:r>
        <w:rPr>
          <w:rStyle w:val="any"/>
          <w:color w:val="000000"/>
        </w:rPr>
        <w:t xml:space="preserve"> Rn. </w:t>
      </w:r>
      <w:hyperlink r:id="rId100" w:history="1">
        <w:r>
          <w:rPr>
            <w:rStyle w:val="bocontentwrapperbocenteranotbeck-btn"/>
            <w:color w:val="000000"/>
            <w:u w:val="single" w:color="000000"/>
          </w:rPr>
          <w:t>36</w:t>
        </w:r>
      </w:hyperlink>
      <w:r>
        <w:rPr>
          <w:color w:val="000000"/>
        </w:rPr>
        <w:t xml:space="preserve"> mwN).</w:t>
      </w:r>
    </w:p>
    <w:p w14:paraId="3BDD703E" w14:textId="77777777" w:rsidR="00CF061C" w:rsidRDefault="00000000">
      <w:pPr>
        <w:pStyle w:val="divbocontentwrapperbocenterpParagraph"/>
        <w:spacing w:after="120" w:line="360" w:lineRule="auto"/>
        <w:ind w:left="600" w:right="150"/>
        <w:jc w:val="both"/>
        <w:rPr>
          <w:color w:val="000000"/>
        </w:rPr>
      </w:pPr>
      <w:bookmarkStart w:id="18" w:name="Y-300-Z-NZI-B-2025-S-885-RN-26"/>
      <w:bookmarkEnd w:id="18"/>
      <w:r>
        <w:rPr>
          <w:rStyle w:val="printcontentemrandnr"/>
          <w:rFonts w:ascii="Verdana" w:eastAsia="Verdana" w:hAnsi="Verdana" w:cs="Verdana"/>
          <w:b/>
          <w:bCs/>
          <w:color w:val="000000"/>
          <w:sz w:val="19"/>
          <w:szCs w:val="19"/>
        </w:rPr>
        <w:t>26</w:t>
      </w:r>
      <w:r>
        <w:rPr>
          <w:color w:val="000000"/>
        </w:rPr>
        <w:t xml:space="preserve">cc) Der damit vorliegenden Teilaufnahme hinsichtlich der Hauptforderungen des Kl. steht das Gebot der Widerspruchsfreiheit von Teil- und Schlussurteil nicht entgegen (vgl. </w:t>
      </w:r>
      <w:r>
        <w:rPr>
          <w:rStyle w:val="any"/>
          <w:color w:val="000000"/>
        </w:rPr>
        <w:t xml:space="preserve">BGHZ 241, </w:t>
      </w:r>
      <w:hyperlink r:id="rId101"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02" w:history="1">
        <w:r>
          <w:rPr>
            <w:rStyle w:val="bocontentwrapperbocenteranotbeck-btn"/>
            <w:color w:val="000000"/>
            <w:u w:val="single" w:color="000000"/>
          </w:rPr>
          <w:t>840</w:t>
        </w:r>
      </w:hyperlink>
      <w:r>
        <w:rPr>
          <w:rStyle w:val="any"/>
          <w:color w:val="000000"/>
        </w:rPr>
        <w:t xml:space="preserve"> Rn. </w:t>
      </w:r>
      <w:hyperlink r:id="rId103" w:history="1">
        <w:r>
          <w:rPr>
            <w:rStyle w:val="bocontentwrapperbocenteranotbeck-btn"/>
            <w:color w:val="000000"/>
            <w:u w:val="single" w:color="000000"/>
          </w:rPr>
          <w:t>40</w:t>
        </w:r>
      </w:hyperlink>
      <w:r>
        <w:rPr>
          <w:rStyle w:val="any"/>
          <w:color w:val="000000"/>
        </w:rPr>
        <w:t>-</w:t>
      </w:r>
      <w:hyperlink r:id="rId104" w:history="1">
        <w:r>
          <w:rPr>
            <w:rStyle w:val="bocontentwrapperbocenteranotbeck-btn"/>
            <w:color w:val="000000"/>
            <w:u w:val="single" w:color="000000"/>
          </w:rPr>
          <w:t>50</w:t>
        </w:r>
      </w:hyperlink>
      <w:r>
        <w:rPr>
          <w:color w:val="000000"/>
        </w:rPr>
        <w:t xml:space="preserve">). Unschädlich ist auch, dass der Kl. den </w:t>
      </w:r>
      <w:r>
        <w:rPr>
          <w:color w:val="000000"/>
        </w:rPr>
        <w:lastRenderedPageBreak/>
        <w:t xml:space="preserve">Rechtsstreit nur gegen die widersprechende Bekl. und nicht auch gegen den die Forderungsanmeldung ebenfalls bestreitenden Insolvenzverwalter aufgenommen hat (vgl. </w:t>
      </w:r>
      <w:r>
        <w:rPr>
          <w:rStyle w:val="any"/>
          <w:color w:val="000000"/>
        </w:rPr>
        <w:t xml:space="preserve">BGHZ 241, </w:t>
      </w:r>
      <w:hyperlink r:id="rId105"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06" w:history="1">
        <w:r>
          <w:rPr>
            <w:rStyle w:val="bocontentwrapperbocenteranotbeck-btn"/>
            <w:color w:val="000000"/>
            <w:u w:val="single" w:color="000000"/>
          </w:rPr>
          <w:t>840</w:t>
        </w:r>
      </w:hyperlink>
      <w:r>
        <w:rPr>
          <w:rStyle w:val="any"/>
          <w:color w:val="000000"/>
        </w:rPr>
        <w:t xml:space="preserve"> Rn. </w:t>
      </w:r>
      <w:hyperlink r:id="rId107" w:history="1">
        <w:r>
          <w:rPr>
            <w:rStyle w:val="bocontentwrapperbocenteranotbeck-btn"/>
            <w:color w:val="000000"/>
            <w:u w:val="single" w:color="000000"/>
          </w:rPr>
          <w:t>24</w:t>
        </w:r>
      </w:hyperlink>
      <w:r>
        <w:rPr>
          <w:color w:val="000000"/>
        </w:rPr>
        <w:t xml:space="preserve"> mwN).</w:t>
      </w:r>
    </w:p>
    <w:p w14:paraId="3927D749" w14:textId="77777777" w:rsidR="00CF061C" w:rsidRDefault="00000000">
      <w:pPr>
        <w:pStyle w:val="divbocontentwrapperbocenterpParagraph"/>
        <w:spacing w:after="120" w:line="360" w:lineRule="auto"/>
        <w:ind w:left="600" w:right="150"/>
        <w:jc w:val="both"/>
        <w:rPr>
          <w:color w:val="000000"/>
        </w:rPr>
      </w:pPr>
      <w:bookmarkStart w:id="19" w:name="Y-300-Z-NZI-B-2025-S-885-RN-27"/>
      <w:bookmarkEnd w:id="19"/>
      <w:r>
        <w:rPr>
          <w:rStyle w:val="printcontentemrandnr"/>
          <w:rFonts w:ascii="Verdana" w:eastAsia="Verdana" w:hAnsi="Verdana" w:cs="Verdana"/>
          <w:b/>
          <w:bCs/>
          <w:color w:val="000000"/>
          <w:sz w:val="19"/>
          <w:szCs w:val="19"/>
        </w:rPr>
        <w:t>27</w:t>
      </w:r>
      <w:r>
        <w:rPr>
          <w:color w:val="000000"/>
        </w:rPr>
        <w:t>2. Soweit danach eine wirksame Teilaufnahme des Rechtsstreits vorliegt, hat das BerGer. rechtsfehlerhaft eine Anpassung der Anträge in Folge des Nachlassinsolvenzverfahrens für nicht erforderlich gehalten.</w:t>
      </w:r>
    </w:p>
    <w:p w14:paraId="487AE06A" w14:textId="77777777" w:rsidR="00CF061C" w:rsidRDefault="00000000">
      <w:pPr>
        <w:pStyle w:val="divbocontentwrapperbocenterpParagraph"/>
        <w:spacing w:after="120" w:line="360" w:lineRule="auto"/>
        <w:ind w:left="600" w:right="150"/>
        <w:jc w:val="both"/>
        <w:rPr>
          <w:color w:val="000000"/>
        </w:rPr>
      </w:pPr>
      <w:bookmarkStart w:id="20" w:name="Y-300-Z-NZI-B-2025-S-885-RN-28"/>
      <w:bookmarkEnd w:id="20"/>
      <w:r>
        <w:rPr>
          <w:rStyle w:val="printcontentemrandnr"/>
          <w:rFonts w:ascii="Verdana" w:eastAsia="Verdana" w:hAnsi="Verdana" w:cs="Verdana"/>
          <w:b/>
          <w:bCs/>
          <w:color w:val="000000"/>
          <w:sz w:val="19"/>
          <w:szCs w:val="19"/>
        </w:rPr>
        <w:t>28</w:t>
      </w:r>
      <w:r>
        <w:rPr>
          <w:color w:val="000000"/>
        </w:rPr>
        <w:t>Wie der Senat mit Urteil v. 23.7.2024 (</w:t>
      </w:r>
      <w:r>
        <w:rPr>
          <w:rStyle w:val="any"/>
          <w:color w:val="000000"/>
        </w:rPr>
        <w:t xml:space="preserve">BGHZ 241, </w:t>
      </w:r>
      <w:hyperlink r:id="rId108"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09" w:history="1">
        <w:r>
          <w:rPr>
            <w:rStyle w:val="bocontentwrapperbocenteranotbeck-btn"/>
            <w:color w:val="000000"/>
            <w:u w:val="single" w:color="000000"/>
          </w:rPr>
          <w:t>840</w:t>
        </w:r>
      </w:hyperlink>
      <w:r>
        <w:rPr>
          <w:rStyle w:val="any"/>
          <w:color w:val="000000"/>
        </w:rPr>
        <w:t xml:space="preserve"> Rn. </w:t>
      </w:r>
      <w:hyperlink r:id="rId110" w:history="1">
        <w:r>
          <w:rPr>
            <w:rStyle w:val="bocontentwrapperbocenteranotbeck-btn"/>
            <w:color w:val="000000"/>
            <w:u w:val="single" w:color="000000"/>
          </w:rPr>
          <w:t>51</w:t>
        </w:r>
      </w:hyperlink>
      <w:r>
        <w:rPr>
          <w:rStyle w:val="any"/>
          <w:color w:val="000000"/>
        </w:rPr>
        <w:t> ff.</w:t>
      </w:r>
      <w:r>
        <w:rPr>
          <w:color w:val="000000"/>
        </w:rPr>
        <w:t>) entschieden und näher begründet hat, erfordert auch die Rechtsverfolgung gegen den noch nicht unbeschränkt haftenden Erben durch Aufnahme eines durch die Eröffnung des Nachlassinsolvenzverfahrens unterbrochenen Rechtsstreits zur – wie hier – Verfolgung oder Beseitigung eines Schuldnerwiderspruchs (</w:t>
      </w:r>
      <w:r>
        <w:rPr>
          <w:rStyle w:val="any"/>
          <w:color w:val="000000"/>
        </w:rPr>
        <w:t xml:space="preserve">§ </w:t>
      </w:r>
      <w:hyperlink r:id="rId111" w:history="1">
        <w:r>
          <w:rPr>
            <w:rStyle w:val="bocontentwrapperbocenteranotbeck-btn"/>
            <w:color w:val="000000"/>
            <w:u w:val="single" w:color="000000"/>
          </w:rPr>
          <w:t>184</w:t>
        </w:r>
      </w:hyperlink>
      <w:r>
        <w:rPr>
          <w:rStyle w:val="any"/>
          <w:color w:val="000000"/>
        </w:rPr>
        <w:t xml:space="preserve"> </w:t>
      </w:r>
      <w:hyperlink r:id="rId112" w:history="1">
        <w:r>
          <w:rPr>
            <w:rStyle w:val="bocontentwrapperbocenteranotbeck-btn"/>
            <w:color w:val="000000"/>
            <w:u w:val="single" w:color="000000"/>
          </w:rPr>
          <w:t>I</w:t>
        </w:r>
      </w:hyperlink>
      <w:r>
        <w:rPr>
          <w:rStyle w:val="any"/>
          <w:color w:val="000000"/>
        </w:rPr>
        <w:t xml:space="preserve"> 2, </w:t>
      </w:r>
      <w:hyperlink r:id="rId113" w:history="1">
        <w:r>
          <w:rPr>
            <w:rStyle w:val="bocontentwrapperbocenteranotbeck-btn"/>
            <w:color w:val="000000"/>
            <w:u w:val="single" w:color="000000"/>
          </w:rPr>
          <w:t>II</w:t>
        </w:r>
      </w:hyperlink>
      <w:r>
        <w:rPr>
          <w:rStyle w:val="any"/>
          <w:color w:val="000000"/>
        </w:rPr>
        <w:t xml:space="preserve"> 1 InsO</w:t>
      </w:r>
      <w:r>
        <w:rPr>
          <w:color w:val="000000"/>
        </w:rPr>
        <w:t>) eine Anpassung der Anträge an die insoweit maßgeblichen Vorschriften der Insolvenzordnung. Daran fehlt es.</w:t>
      </w:r>
    </w:p>
    <w:p w14:paraId="2D0014A1" w14:textId="77777777" w:rsidR="00CF061C" w:rsidRDefault="00000000">
      <w:pPr>
        <w:pStyle w:val="divbocontentwrapperbocenterpParagraph"/>
        <w:spacing w:after="120" w:line="360" w:lineRule="auto"/>
        <w:ind w:left="600" w:right="150"/>
        <w:jc w:val="both"/>
        <w:rPr>
          <w:color w:val="000000"/>
        </w:rPr>
      </w:pPr>
      <w:bookmarkStart w:id="21" w:name="Y-300-Z-NZI-B-2025-S-885-RN-29"/>
      <w:bookmarkEnd w:id="21"/>
      <w:r>
        <w:rPr>
          <w:rStyle w:val="printcontentemrandnr"/>
          <w:rFonts w:ascii="Verdana" w:eastAsia="Verdana" w:hAnsi="Verdana" w:cs="Verdana"/>
          <w:b/>
          <w:bCs/>
          <w:color w:val="000000"/>
          <w:sz w:val="19"/>
          <w:szCs w:val="19"/>
        </w:rPr>
        <w:t>29</w:t>
      </w:r>
      <w:r>
        <w:rPr>
          <w:color w:val="000000"/>
        </w:rPr>
        <w:t xml:space="preserve">Eine Auslegung der Berufungsanträge der Parteien in Sinn der gebotenen Anpassung ist dem Senat nicht möglich. Da das BerGer. eine Antragsumstellung bereits in einem Hinweis vor der mündlichen Verhandlung ausdrücklich für nicht erforderlich erachtet hat, ist mangels gegenteiliger Anhaltpunkte davon auszugehen, dass die Parteien ihre bisherigen Anträge mit diesem Inhalt bewusst beibehalten haben (vgl. </w:t>
      </w:r>
      <w:r>
        <w:rPr>
          <w:rStyle w:val="any"/>
          <w:color w:val="000000"/>
        </w:rPr>
        <w:t xml:space="preserve">BGHZ 241, </w:t>
      </w:r>
      <w:hyperlink r:id="rId114"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15" w:history="1">
        <w:r>
          <w:rPr>
            <w:rStyle w:val="bocontentwrapperbocenteranotbeck-btn"/>
            <w:color w:val="000000"/>
            <w:u w:val="single" w:color="000000"/>
          </w:rPr>
          <w:t>840</w:t>
        </w:r>
      </w:hyperlink>
      <w:r>
        <w:rPr>
          <w:rStyle w:val="any"/>
          <w:color w:val="000000"/>
        </w:rPr>
        <w:t xml:space="preserve"> Rn. </w:t>
      </w:r>
      <w:hyperlink r:id="rId116" w:history="1">
        <w:r>
          <w:rPr>
            <w:rStyle w:val="bocontentwrapperbocenteranotbeck-btn"/>
            <w:color w:val="000000"/>
            <w:u w:val="single" w:color="000000"/>
          </w:rPr>
          <w:t>54</w:t>
        </w:r>
      </w:hyperlink>
      <w:r>
        <w:rPr>
          <w:color w:val="000000"/>
        </w:rPr>
        <w:t xml:space="preserve"> mwN).</w:t>
      </w:r>
    </w:p>
    <w:p w14:paraId="77244152" w14:textId="77777777" w:rsidR="00CF061C" w:rsidRDefault="00000000">
      <w:pPr>
        <w:pStyle w:val="divbocontentwrapperbocenterpParagraph"/>
        <w:spacing w:after="120" w:line="360" w:lineRule="auto"/>
        <w:ind w:left="600" w:right="150"/>
        <w:jc w:val="both"/>
        <w:rPr>
          <w:color w:val="000000"/>
        </w:rPr>
      </w:pPr>
      <w:bookmarkStart w:id="22" w:name="Y-300-Z-NZI-B-2025-S-885-RN-30"/>
      <w:bookmarkEnd w:id="22"/>
      <w:r>
        <w:rPr>
          <w:rStyle w:val="printcontentemrandnr"/>
          <w:rFonts w:ascii="Verdana" w:eastAsia="Verdana" w:hAnsi="Verdana" w:cs="Verdana"/>
          <w:b/>
          <w:bCs/>
          <w:color w:val="000000"/>
          <w:sz w:val="19"/>
          <w:szCs w:val="19"/>
        </w:rPr>
        <w:t>30</w:t>
      </w:r>
      <w:r>
        <w:rPr>
          <w:color w:val="000000"/>
        </w:rPr>
        <w:t>3. Hinsichtlich der Hauptforderungen des Kl. aus den sechs vor der Abberufung des Erblassers geschlossenen Anlageverträgen mit der P Container GmbH und der P Gebrauchtcontainer GmbH ist das Berufungsurteil auf die Revision der Bekl. aufzuheben (</w:t>
      </w:r>
      <w:r>
        <w:rPr>
          <w:rStyle w:val="any"/>
          <w:color w:val="000000"/>
        </w:rPr>
        <w:t xml:space="preserve">§ </w:t>
      </w:r>
      <w:hyperlink r:id="rId117" w:history="1">
        <w:r>
          <w:rPr>
            <w:rStyle w:val="bocontentwrapperbocenteranotbeck-btn"/>
            <w:color w:val="000000"/>
            <w:u w:val="single" w:color="000000"/>
          </w:rPr>
          <w:t>562</w:t>
        </w:r>
      </w:hyperlink>
      <w:r>
        <w:rPr>
          <w:rStyle w:val="any"/>
          <w:color w:val="000000"/>
        </w:rPr>
        <w:t xml:space="preserve"> </w:t>
      </w:r>
      <w:hyperlink r:id="rId118" w:history="1">
        <w:r>
          <w:rPr>
            <w:rStyle w:val="bocontentwrapperbocenteranotbeck-btn"/>
            <w:color w:val="000000"/>
            <w:u w:val="single" w:color="000000"/>
          </w:rPr>
          <w:t>I</w:t>
        </w:r>
      </w:hyperlink>
      <w:r>
        <w:rPr>
          <w:rStyle w:val="any"/>
          <w:color w:val="000000"/>
        </w:rPr>
        <w:t xml:space="preserve"> ZPO</w:t>
      </w:r>
      <w:r>
        <w:rPr>
          <w:color w:val="000000"/>
        </w:rPr>
        <w:t xml:space="preserve">) und die Sache gem. </w:t>
      </w:r>
      <w:r>
        <w:rPr>
          <w:rStyle w:val="any"/>
          <w:color w:val="000000"/>
        </w:rPr>
        <w:t xml:space="preserve">§ </w:t>
      </w:r>
      <w:hyperlink r:id="rId119" w:history="1">
        <w:r>
          <w:rPr>
            <w:rStyle w:val="bocontentwrapperbocenteranotbeck-btn"/>
            <w:color w:val="000000"/>
            <w:u w:val="single" w:color="000000"/>
          </w:rPr>
          <w:t>563</w:t>
        </w:r>
      </w:hyperlink>
      <w:r>
        <w:rPr>
          <w:rStyle w:val="any"/>
          <w:color w:val="000000"/>
        </w:rPr>
        <w:t xml:space="preserve"> </w:t>
      </w:r>
      <w:hyperlink r:id="rId120" w:history="1">
        <w:r>
          <w:rPr>
            <w:rStyle w:val="bocontentwrapperbocenteranotbeck-btn"/>
            <w:color w:val="000000"/>
            <w:u w:val="single" w:color="000000"/>
          </w:rPr>
          <w:t>I</w:t>
        </w:r>
      </w:hyperlink>
      <w:r>
        <w:rPr>
          <w:rStyle w:val="any"/>
          <w:color w:val="000000"/>
        </w:rPr>
        <w:t xml:space="preserve">, </w:t>
      </w:r>
      <w:hyperlink r:id="rId121" w:history="1">
        <w:r>
          <w:rPr>
            <w:rStyle w:val="bocontentwrapperbocenteranotbeck-btn"/>
            <w:color w:val="000000"/>
            <w:u w:val="single" w:color="000000"/>
          </w:rPr>
          <w:t>III</w:t>
        </w:r>
      </w:hyperlink>
      <w:r>
        <w:rPr>
          <w:rStyle w:val="any"/>
          <w:color w:val="000000"/>
        </w:rPr>
        <w:t xml:space="preserve"> ZPO</w:t>
      </w:r>
      <w:r>
        <w:rPr>
          <w:color w:val="000000"/>
        </w:rPr>
        <w:t xml:space="preserve"> an das BerGer. zurückzuverweisen, weil der Rechtsstreit insoweit selbst bei einer Umstellung der Anträge nicht zur Endentscheidung reif ist.</w:t>
      </w:r>
    </w:p>
    <w:p w14:paraId="44EAE904" w14:textId="77777777" w:rsidR="00CF061C" w:rsidRDefault="00000000">
      <w:pPr>
        <w:pStyle w:val="divbocontentwrapperbocenterpParagraph"/>
        <w:spacing w:after="120" w:line="360" w:lineRule="auto"/>
        <w:ind w:left="600" w:right="150"/>
        <w:jc w:val="both"/>
        <w:rPr>
          <w:color w:val="000000"/>
        </w:rPr>
      </w:pPr>
      <w:bookmarkStart w:id="23" w:name="Y-300-Z-NZI-B-2025-S-885-RN-31"/>
      <w:bookmarkEnd w:id="23"/>
      <w:r>
        <w:rPr>
          <w:rStyle w:val="printcontentemrandnr"/>
          <w:rFonts w:ascii="Verdana" w:eastAsia="Verdana" w:hAnsi="Verdana" w:cs="Verdana"/>
          <w:b/>
          <w:bCs/>
          <w:color w:val="000000"/>
          <w:sz w:val="19"/>
          <w:szCs w:val="19"/>
        </w:rPr>
        <w:t>31</w:t>
      </w:r>
      <w:r>
        <w:rPr>
          <w:color w:val="000000"/>
        </w:rPr>
        <w:t xml:space="preserve">a) Die Bekl. wendet sich allerdings ohne Erfolg dagegen, dass das BerGer. ihre Haftung für diese Verträge gem. </w:t>
      </w:r>
      <w:r>
        <w:rPr>
          <w:rStyle w:val="any"/>
          <w:color w:val="000000"/>
        </w:rPr>
        <w:t xml:space="preserve">§§ </w:t>
      </w:r>
      <w:hyperlink r:id="rId122" w:history="1">
        <w:r>
          <w:rPr>
            <w:rStyle w:val="bocontentwrapperbocenteranotbeck-btn"/>
            <w:color w:val="000000"/>
            <w:u w:val="single" w:color="000000"/>
          </w:rPr>
          <w:t>1967</w:t>
        </w:r>
      </w:hyperlink>
      <w:r>
        <w:rPr>
          <w:rStyle w:val="any"/>
          <w:color w:val="000000"/>
        </w:rPr>
        <w:t xml:space="preserve"> </w:t>
      </w:r>
      <w:hyperlink r:id="rId123" w:history="1">
        <w:r>
          <w:rPr>
            <w:rStyle w:val="bocontentwrapperbocenteranotbeck-btn"/>
            <w:color w:val="000000"/>
            <w:u w:val="single" w:color="000000"/>
          </w:rPr>
          <w:t>I</w:t>
        </w:r>
      </w:hyperlink>
      <w:r>
        <w:rPr>
          <w:rStyle w:val="any"/>
          <w:color w:val="000000"/>
        </w:rPr>
        <w:t xml:space="preserve">, </w:t>
      </w:r>
      <w:hyperlink r:id="rId124" w:history="1">
        <w:r>
          <w:rPr>
            <w:rStyle w:val="bocontentwrapperbocenteranotbeck-btn"/>
            <w:color w:val="000000"/>
            <w:u w:val="single" w:color="000000"/>
          </w:rPr>
          <w:t>823</w:t>
        </w:r>
      </w:hyperlink>
      <w:r>
        <w:rPr>
          <w:rStyle w:val="any"/>
          <w:color w:val="000000"/>
        </w:rPr>
        <w:t xml:space="preserve"> </w:t>
      </w:r>
      <w:hyperlink r:id="rId125"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126" w:history="1">
        <w:r>
          <w:rPr>
            <w:rStyle w:val="bocontentwrapperbocenteranotbeck-btn"/>
            <w:color w:val="000000"/>
            <w:u w:val="single" w:color="000000"/>
          </w:rPr>
          <w:t>15a</w:t>
        </w:r>
      </w:hyperlink>
      <w:r>
        <w:rPr>
          <w:rStyle w:val="any"/>
          <w:color w:val="000000"/>
        </w:rPr>
        <w:t xml:space="preserve"> </w:t>
      </w:r>
      <w:hyperlink r:id="rId127" w:history="1">
        <w:r>
          <w:rPr>
            <w:rStyle w:val="bocontentwrapperbocenteranotbeck-btn"/>
            <w:color w:val="000000"/>
            <w:u w:val="single" w:color="000000"/>
          </w:rPr>
          <w:t>I</w:t>
        </w:r>
      </w:hyperlink>
      <w:r>
        <w:rPr>
          <w:rStyle w:val="any"/>
          <w:color w:val="000000"/>
        </w:rPr>
        <w:t xml:space="preserve"> 1 InsO</w:t>
      </w:r>
      <w:r>
        <w:rPr>
          <w:color w:val="000000"/>
        </w:rPr>
        <w:t xml:space="preserve"> wegen Verletzung der Insolvenzantragspflicht durch den Erblasser dem Grunde nach bejaht hat.</w:t>
      </w:r>
    </w:p>
    <w:p w14:paraId="02FA0C75" w14:textId="77777777" w:rsidR="00CF061C" w:rsidRDefault="00000000">
      <w:pPr>
        <w:pStyle w:val="divbocontentwrapperbocenterpParagraph"/>
        <w:spacing w:after="120" w:line="360" w:lineRule="auto"/>
        <w:ind w:left="600" w:right="150"/>
        <w:jc w:val="both"/>
        <w:rPr>
          <w:color w:val="000000"/>
        </w:rPr>
      </w:pPr>
      <w:bookmarkStart w:id="24" w:name="Y-300-Z-NZI-B-2025-S-885-RN-32"/>
      <w:bookmarkEnd w:id="24"/>
      <w:r>
        <w:rPr>
          <w:rStyle w:val="printcontentemrandnr"/>
          <w:rFonts w:ascii="Verdana" w:eastAsia="Verdana" w:hAnsi="Verdana" w:cs="Verdana"/>
          <w:b/>
          <w:bCs/>
          <w:color w:val="000000"/>
          <w:sz w:val="19"/>
          <w:szCs w:val="19"/>
        </w:rPr>
        <w:t>32</w:t>
      </w:r>
      <w:r>
        <w:rPr>
          <w:color w:val="000000"/>
        </w:rPr>
        <w:t xml:space="preserve">aa) Die Feststellung des BerGer., dass die P Container GmbH und die P Gebrauchtcontainer GmbH ab dem 1.1.2011, jedenfalls aber vor Abschluss der streitgegenständlichen Verträge gem. </w:t>
      </w:r>
      <w:r>
        <w:rPr>
          <w:rStyle w:val="any"/>
          <w:color w:val="000000"/>
        </w:rPr>
        <w:t xml:space="preserve">§§ </w:t>
      </w:r>
      <w:hyperlink r:id="rId128" w:history="1">
        <w:r>
          <w:rPr>
            <w:rStyle w:val="bocontentwrapperbocenteranotbeck-btn"/>
            <w:color w:val="000000"/>
            <w:u w:val="single" w:color="000000"/>
          </w:rPr>
          <w:t>15a</w:t>
        </w:r>
      </w:hyperlink>
      <w:r>
        <w:rPr>
          <w:rStyle w:val="any"/>
          <w:color w:val="000000"/>
        </w:rPr>
        <w:t xml:space="preserve"> </w:t>
      </w:r>
      <w:hyperlink r:id="rId129" w:history="1">
        <w:r>
          <w:rPr>
            <w:rStyle w:val="bocontentwrapperbocenteranotbeck-btn"/>
            <w:color w:val="000000"/>
            <w:u w:val="single" w:color="000000"/>
          </w:rPr>
          <w:t>I</w:t>
        </w:r>
      </w:hyperlink>
      <w:r>
        <w:rPr>
          <w:rStyle w:val="any"/>
          <w:color w:val="000000"/>
        </w:rPr>
        <w:t xml:space="preserve"> 1, </w:t>
      </w:r>
      <w:hyperlink r:id="rId130" w:history="1">
        <w:r>
          <w:rPr>
            <w:rStyle w:val="bocontentwrapperbocenteranotbeck-btn"/>
            <w:color w:val="000000"/>
            <w:u w:val="single" w:color="000000"/>
          </w:rPr>
          <w:t>19</w:t>
        </w:r>
      </w:hyperlink>
      <w:r>
        <w:rPr>
          <w:rStyle w:val="any"/>
          <w:color w:val="000000"/>
        </w:rPr>
        <w:t xml:space="preserve"> </w:t>
      </w:r>
      <w:hyperlink r:id="rId131" w:history="1">
        <w:r>
          <w:rPr>
            <w:rStyle w:val="bocontentwrapperbocenteranotbeck-btn"/>
            <w:color w:val="000000"/>
            <w:u w:val="single" w:color="000000"/>
          </w:rPr>
          <w:t>II</w:t>
        </w:r>
      </w:hyperlink>
      <w:r>
        <w:rPr>
          <w:rStyle w:val="any"/>
          <w:color w:val="000000"/>
        </w:rPr>
        <w:t xml:space="preserve"> InsO</w:t>
      </w:r>
      <w:r>
        <w:rPr>
          <w:color w:val="000000"/>
        </w:rPr>
        <w:t xml:space="preserve"> (idF bis 31.12.2020) überschuldet waren, lässt keine Rechtsfehler erkennen.</w:t>
      </w:r>
    </w:p>
    <w:p w14:paraId="4DBC9B5A" w14:textId="77777777" w:rsidR="00CF061C" w:rsidRDefault="00000000">
      <w:pPr>
        <w:pStyle w:val="divbocontentwrapperbocenterpParagraph"/>
        <w:spacing w:after="120" w:line="360" w:lineRule="auto"/>
        <w:ind w:left="600" w:right="150"/>
        <w:jc w:val="both"/>
        <w:rPr>
          <w:color w:val="000000"/>
        </w:rPr>
      </w:pPr>
      <w:bookmarkStart w:id="25" w:name="Y-300-Z-NZI-B-2025-S-885-RN-33"/>
      <w:bookmarkEnd w:id="25"/>
      <w:r>
        <w:rPr>
          <w:rStyle w:val="printcontentemrandnr"/>
          <w:rFonts w:ascii="Verdana" w:eastAsia="Verdana" w:hAnsi="Verdana" w:cs="Verdana"/>
          <w:b/>
          <w:bCs/>
          <w:color w:val="000000"/>
          <w:sz w:val="19"/>
          <w:szCs w:val="19"/>
        </w:rPr>
        <w:t>33</w:t>
      </w:r>
      <w:r>
        <w:rPr>
          <w:color w:val="000000"/>
        </w:rPr>
        <w:t xml:space="preserve">(1) Das BerGer. hat rechtsfehlerfrei angenommen, dass der Kl. eine rechnerische Überschuldung der beiden Vertriebsgesellschaften im Zeitpunkt der Vertragsschlüsse durch Vorlage und Auswertung der von ihm bereits in erster Instanz eingereichten </w:t>
      </w:r>
      <w:r>
        <w:rPr>
          <w:color w:val="000000"/>
        </w:rPr>
        <w:lastRenderedPageBreak/>
        <w:t>Gutachten vom 12.9.2018 schlüssig dargelegt hat, denen zufolge die P Gebrauchtcontainer GmbH und die P Container GmbH spätestens seit dem 1.1.2011 überschuldet waren, und die Bekl. dieses Vorbringen nicht erheblich bestritten hat.</w:t>
      </w:r>
    </w:p>
    <w:p w14:paraId="57A0A409" w14:textId="77777777" w:rsidR="00CF061C" w:rsidRDefault="00000000">
      <w:pPr>
        <w:pStyle w:val="divbocontentwrapperbocenterpParagraph"/>
        <w:spacing w:after="120" w:line="360" w:lineRule="auto"/>
        <w:ind w:left="600" w:right="150"/>
        <w:jc w:val="both"/>
        <w:rPr>
          <w:color w:val="000000"/>
        </w:rPr>
      </w:pPr>
      <w:bookmarkStart w:id="26" w:name="Y-300-Z-NZI-B-2025-S-885-RN-34"/>
      <w:bookmarkEnd w:id="26"/>
      <w:r>
        <w:rPr>
          <w:rStyle w:val="printcontentemrandnr"/>
          <w:rFonts w:ascii="Verdana" w:eastAsia="Verdana" w:hAnsi="Verdana" w:cs="Verdana"/>
          <w:b/>
          <w:bCs/>
          <w:color w:val="000000"/>
          <w:sz w:val="19"/>
          <w:szCs w:val="19"/>
        </w:rPr>
        <w:t>34</w:t>
      </w:r>
      <w:r>
        <w:rPr>
          <w:color w:val="000000"/>
        </w:rPr>
        <w:t>(a) Dagegen macht die Bekl. ohne Erfolg geltend, in den vom Kl. vorgelegten Gutachten seien zu Unrecht Rückkaufverpflichtungen der Vertriebsgesellschaften gegenüber den Anlegern passiviert worden, obwohl es unterschiedliche Vertragsgestaltungen gegeben habe und deswegen nicht von einer Passivierungspflicht in Bezug auf sämtliche Verträge ausgegangen werden könne; selbst wenn man aber, wie das BerGer., davon ausgehe, dass jedenfalls bis in das Jahr 2015 nur Verträge mit Rückkaufverpflichtung verwendet worden seien, müsse in einem Überschuldungsstatus entsprechend zeitlich differenziert werden.</w:t>
      </w:r>
    </w:p>
    <w:p w14:paraId="48C1E408" w14:textId="77777777" w:rsidR="00CF061C" w:rsidRDefault="00000000">
      <w:pPr>
        <w:pStyle w:val="divbocontentwrapperbocenterpParagraph"/>
        <w:spacing w:after="120" w:line="360" w:lineRule="auto"/>
        <w:ind w:left="600" w:right="150"/>
        <w:jc w:val="both"/>
        <w:rPr>
          <w:color w:val="000000"/>
        </w:rPr>
      </w:pPr>
      <w:bookmarkStart w:id="27" w:name="Y-300-Z-NZI-B-2025-S-885-RN-35"/>
      <w:bookmarkEnd w:id="27"/>
      <w:r>
        <w:rPr>
          <w:rStyle w:val="printcontentemrandnr"/>
          <w:rFonts w:ascii="Verdana" w:eastAsia="Verdana" w:hAnsi="Verdana" w:cs="Verdana"/>
          <w:b/>
          <w:bCs/>
          <w:color w:val="000000"/>
          <w:sz w:val="19"/>
          <w:szCs w:val="19"/>
        </w:rPr>
        <w:t>35</w:t>
      </w:r>
      <w:r>
        <w:rPr>
          <w:color w:val="000000"/>
        </w:rPr>
        <w:t xml:space="preserve">Das BerGer. hat seine Annahme, die verwendeten Verträge hätten, wie vom Kl. vorgetragen, jedenfalls bis in das Jahr 2015 eine Rückkaufverpflichtung enthalten, in rechtlich nicht zu beanstandender Weise gem. </w:t>
      </w:r>
      <w:r>
        <w:rPr>
          <w:rStyle w:val="any"/>
          <w:color w:val="000000"/>
        </w:rPr>
        <w:t xml:space="preserve">§§ </w:t>
      </w:r>
      <w:hyperlink r:id="rId132" w:history="1">
        <w:r>
          <w:rPr>
            <w:rStyle w:val="bocontentwrapperbocenteranotbeck-btn"/>
            <w:color w:val="000000"/>
            <w:u w:val="single" w:color="000000"/>
          </w:rPr>
          <w:t>286</w:t>
        </w:r>
      </w:hyperlink>
      <w:r>
        <w:rPr>
          <w:rStyle w:val="any"/>
          <w:color w:val="000000"/>
        </w:rPr>
        <w:t xml:space="preserve">, </w:t>
      </w:r>
      <w:hyperlink r:id="rId133" w:history="1">
        <w:r>
          <w:rPr>
            <w:rStyle w:val="bocontentwrapperbocenteranotbeck-btn"/>
            <w:color w:val="000000"/>
            <w:u w:val="single" w:color="000000"/>
          </w:rPr>
          <w:t>138</w:t>
        </w:r>
      </w:hyperlink>
      <w:r>
        <w:rPr>
          <w:rStyle w:val="any"/>
          <w:color w:val="000000"/>
        </w:rPr>
        <w:t xml:space="preserve"> </w:t>
      </w:r>
      <w:hyperlink r:id="rId134" w:history="1">
        <w:r>
          <w:rPr>
            <w:rStyle w:val="bocontentwrapperbocenteranotbeck-btn"/>
            <w:color w:val="000000"/>
            <w:u w:val="single" w:color="000000"/>
          </w:rPr>
          <w:t>I</w:t>
        </w:r>
      </w:hyperlink>
      <w:r>
        <w:rPr>
          <w:rStyle w:val="any"/>
          <w:color w:val="000000"/>
        </w:rPr>
        <w:t xml:space="preserve">, </w:t>
      </w:r>
      <w:hyperlink r:id="rId135" w:history="1">
        <w:r>
          <w:rPr>
            <w:rStyle w:val="bocontentwrapperbocenteranotbeck-btn"/>
            <w:color w:val="000000"/>
            <w:u w:val="single" w:color="000000"/>
          </w:rPr>
          <w:t>II</w:t>
        </w:r>
      </w:hyperlink>
      <w:r>
        <w:rPr>
          <w:rStyle w:val="any"/>
          <w:color w:val="000000"/>
        </w:rPr>
        <w:t xml:space="preserve"> ZPO</w:t>
      </w:r>
      <w:r>
        <w:rPr>
          <w:color w:val="000000"/>
        </w:rPr>
        <w:t xml:space="preserve"> darauf gestützt, dass dies nicht nur seinem eigenen Kenntnisstand aufgrund zahlreicher bearbeiteter Parallelfälle der P Gruppe entspreche (</w:t>
      </w:r>
      <w:r>
        <w:rPr>
          <w:rStyle w:val="any"/>
          <w:color w:val="000000"/>
        </w:rPr>
        <w:t xml:space="preserve">§ </w:t>
      </w:r>
      <w:hyperlink r:id="rId136" w:history="1">
        <w:r>
          <w:rPr>
            <w:rStyle w:val="bocontentwrapperbocenteranotbeck-btn"/>
            <w:color w:val="000000"/>
            <w:u w:val="single" w:color="000000"/>
          </w:rPr>
          <w:t>291</w:t>
        </w:r>
      </w:hyperlink>
      <w:r>
        <w:rPr>
          <w:rStyle w:val="any"/>
          <w:color w:val="000000"/>
        </w:rPr>
        <w:t xml:space="preserve"> ZPO</w:t>
      </w:r>
      <w:r>
        <w:rPr>
          <w:color w:val="000000"/>
        </w:rPr>
        <w:t>), sondern auch durch die vom Kl. im hiesigen Verfahren vorgelegten Kauf- und Verwaltungsverträge mit entsprechend unterschiedlichen Vertragsformulierungen (bis 18.5.2015 mit, am 3.11.2015 ohne Rückkaufverpflichtung) und durch die entsprechende Feststellung im vorgelegten Insolvenzgutachten, das sich intensiv mit der Geschäftstätigkeit der P- Gesellschaften und der Ausgestaltung ihrer Verträge befasst habe, bestätigt werde und sich eine unterschiedliche Handhabung bei den deutschen Vertriebsgesellschaften während desselben Zeitraums angesichts ihrer engen Vernetzung nicht erschließe.</w:t>
      </w:r>
    </w:p>
    <w:p w14:paraId="5155DCEC" w14:textId="77777777" w:rsidR="00CF061C" w:rsidRDefault="00000000">
      <w:pPr>
        <w:pStyle w:val="divbocontentwrapperbocenterpParagraph"/>
        <w:spacing w:after="120" w:line="360" w:lineRule="auto"/>
        <w:ind w:left="600" w:right="150"/>
        <w:jc w:val="both"/>
        <w:rPr>
          <w:color w:val="000000"/>
        </w:rPr>
      </w:pPr>
      <w:bookmarkStart w:id="28" w:name="Y-300-Z-NZI-B-2025-S-885-RN-36"/>
      <w:bookmarkEnd w:id="28"/>
      <w:r>
        <w:rPr>
          <w:rStyle w:val="printcontentemrandnr"/>
          <w:rFonts w:ascii="Verdana" w:eastAsia="Verdana" w:hAnsi="Verdana" w:cs="Verdana"/>
          <w:b/>
          <w:bCs/>
          <w:color w:val="000000"/>
          <w:sz w:val="19"/>
          <w:szCs w:val="19"/>
        </w:rPr>
        <w:t>36</w:t>
      </w:r>
      <w:r>
        <w:rPr>
          <w:color w:val="000000"/>
        </w:rPr>
        <w:t xml:space="preserve">Demgegenüber hätte ein erhebliches Bestreiten der Bekl. gem. </w:t>
      </w:r>
      <w:r>
        <w:rPr>
          <w:rStyle w:val="any"/>
          <w:color w:val="000000"/>
        </w:rPr>
        <w:t xml:space="preserve">§ </w:t>
      </w:r>
      <w:hyperlink r:id="rId137" w:history="1">
        <w:r>
          <w:rPr>
            <w:rStyle w:val="bocontentwrapperbocenteranotbeck-btn"/>
            <w:color w:val="000000"/>
            <w:u w:val="single" w:color="000000"/>
          </w:rPr>
          <w:t>138</w:t>
        </w:r>
      </w:hyperlink>
      <w:r>
        <w:rPr>
          <w:rStyle w:val="any"/>
          <w:color w:val="000000"/>
        </w:rPr>
        <w:t xml:space="preserve"> </w:t>
      </w:r>
      <w:hyperlink r:id="rId138" w:history="1">
        <w:r>
          <w:rPr>
            <w:rStyle w:val="bocontentwrapperbocenteranotbeck-btn"/>
            <w:color w:val="000000"/>
            <w:u w:val="single" w:color="000000"/>
          </w:rPr>
          <w:t>II</w:t>
        </w:r>
      </w:hyperlink>
      <w:r>
        <w:rPr>
          <w:rStyle w:val="any"/>
          <w:color w:val="000000"/>
        </w:rPr>
        <w:t xml:space="preserve"> ZPO</w:t>
      </w:r>
      <w:r>
        <w:rPr>
          <w:color w:val="000000"/>
        </w:rPr>
        <w:t xml:space="preserve"> der konkreten Darlegung bedurft,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0DA8DCFE" w14:textId="77777777">
        <w:tc>
          <w:tcPr>
            <w:tcW w:w="4000" w:type="pct"/>
            <w:shd w:val="clear" w:color="auto" w:fill="F0F0F0"/>
            <w:tcMar>
              <w:top w:w="0" w:type="dxa"/>
              <w:left w:w="0" w:type="dxa"/>
              <w:bottom w:w="0" w:type="dxa"/>
              <w:right w:w="0" w:type="dxa"/>
            </w:tcMar>
            <w:vAlign w:val="center"/>
            <w:hideMark/>
          </w:tcPr>
          <w:p w14:paraId="660937A7"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0AA8ED6B"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888</w:t>
            </w:r>
          </w:p>
        </w:tc>
      </w:tr>
    </w:tbl>
    <w:p w14:paraId="2232BBD1" w14:textId="77777777" w:rsidR="00CF061C" w:rsidRDefault="00000000">
      <w:pPr>
        <w:pStyle w:val="divbocontentwrapperbocenterpParagraph"/>
        <w:spacing w:after="120" w:line="360" w:lineRule="auto"/>
        <w:ind w:left="600" w:right="150"/>
        <w:jc w:val="both"/>
        <w:rPr>
          <w:color w:val="000000"/>
        </w:rPr>
      </w:pPr>
      <w:r>
        <w:rPr>
          <w:color w:val="000000"/>
        </w:rPr>
        <w:t xml:space="preserve">ab wann und in welchem Umfang, gegebenenfalls auch von welcher Vertriebsgesellschaft welche Vertragsformulierung verwendet worden sein soll. Dass sie als Erbin möglicherweise keine eigene Kenntnis von den Geschäftspraktiken der Vertriebsgesellschaften hatte, entlastet sie nicht, weil sie nach </w:t>
      </w:r>
      <w:r>
        <w:rPr>
          <w:rStyle w:val="any"/>
          <w:color w:val="000000"/>
        </w:rPr>
        <w:t xml:space="preserve">§ </w:t>
      </w:r>
      <w:hyperlink r:id="rId139" w:history="1">
        <w:r>
          <w:rPr>
            <w:rStyle w:val="bocontentwrapperbocenteranotbeck-btn"/>
            <w:color w:val="000000"/>
            <w:u w:val="single" w:color="000000"/>
          </w:rPr>
          <w:t>138</w:t>
        </w:r>
      </w:hyperlink>
      <w:r>
        <w:rPr>
          <w:rStyle w:val="any"/>
          <w:color w:val="000000"/>
        </w:rPr>
        <w:t xml:space="preserve"> </w:t>
      </w:r>
      <w:hyperlink r:id="rId140" w:history="1">
        <w:r>
          <w:rPr>
            <w:rStyle w:val="bocontentwrapperbocenteranotbeck-btn"/>
            <w:color w:val="000000"/>
            <w:u w:val="single" w:color="000000"/>
          </w:rPr>
          <w:t>I</w:t>
        </w:r>
      </w:hyperlink>
      <w:r>
        <w:rPr>
          <w:rStyle w:val="any"/>
          <w:color w:val="000000"/>
        </w:rPr>
        <w:t xml:space="preserve"> und </w:t>
      </w:r>
      <w:hyperlink r:id="rId141" w:history="1">
        <w:r>
          <w:rPr>
            <w:rStyle w:val="bocontentwrapperbocenteranotbeck-btn"/>
            <w:color w:val="000000"/>
            <w:u w:val="single" w:color="000000"/>
          </w:rPr>
          <w:t>II</w:t>
        </w:r>
      </w:hyperlink>
      <w:r>
        <w:rPr>
          <w:rStyle w:val="any"/>
          <w:color w:val="000000"/>
        </w:rPr>
        <w:t xml:space="preserve"> ZPO</w:t>
      </w:r>
      <w:r>
        <w:rPr>
          <w:color w:val="000000"/>
        </w:rPr>
        <w:t xml:space="preserve"> nicht nur eine Nachforschungsobliegenheit traf, sondern im Fall der Gesamtrechtsnachfolge nach </w:t>
      </w:r>
      <w:r>
        <w:rPr>
          <w:rStyle w:val="any"/>
          <w:color w:val="000000"/>
        </w:rPr>
        <w:t xml:space="preserve">§ </w:t>
      </w:r>
      <w:hyperlink r:id="rId142" w:history="1">
        <w:r>
          <w:rPr>
            <w:rStyle w:val="bocontentwrapperbocenteranotbeck-btn"/>
            <w:color w:val="000000"/>
            <w:u w:val="single" w:color="000000"/>
          </w:rPr>
          <w:t>1922</w:t>
        </w:r>
      </w:hyperlink>
      <w:r>
        <w:rPr>
          <w:rStyle w:val="any"/>
          <w:color w:val="000000"/>
        </w:rPr>
        <w:t xml:space="preserve"> BGB</w:t>
      </w:r>
      <w:r>
        <w:rPr>
          <w:color w:val="000000"/>
        </w:rPr>
        <w:t xml:space="preserve"> nach der Rechtsprechung des BGH auch die beweis- und darlegungsrechtliche Position des Erblassers auf den Erben übergeht (vgl. BGH </w:t>
      </w:r>
      <w:r>
        <w:rPr>
          <w:rStyle w:val="any"/>
          <w:color w:val="000000"/>
        </w:rPr>
        <w:t xml:space="preserve">FamRZ 2020, </w:t>
      </w:r>
      <w:hyperlink r:id="rId143" w:history="1">
        <w:r>
          <w:rPr>
            <w:rStyle w:val="bocontentwrapperbocenteranotbeck-btn"/>
            <w:color w:val="000000"/>
            <w:u w:val="single" w:color="000000"/>
          </w:rPr>
          <w:t>287</w:t>
        </w:r>
      </w:hyperlink>
      <w:r>
        <w:rPr>
          <w:color w:val="000000"/>
        </w:rPr>
        <w:t xml:space="preserve"> = </w:t>
      </w:r>
      <w:r>
        <w:rPr>
          <w:rStyle w:val="any"/>
          <w:color w:val="000000"/>
        </w:rPr>
        <w:t xml:space="preserve">BeckRS 2019, </w:t>
      </w:r>
      <w:hyperlink r:id="rId144" w:history="1">
        <w:r>
          <w:rPr>
            <w:rStyle w:val="bocontentwrapperbocenteranotbeck-btn"/>
            <w:color w:val="000000"/>
            <w:u w:val="single" w:color="000000"/>
          </w:rPr>
          <w:t>5474</w:t>
        </w:r>
      </w:hyperlink>
      <w:r>
        <w:rPr>
          <w:rStyle w:val="any"/>
          <w:color w:val="000000"/>
        </w:rPr>
        <w:t xml:space="preserve"> Rn. </w:t>
      </w:r>
      <w:hyperlink r:id="rId145" w:history="1">
        <w:r>
          <w:rPr>
            <w:rStyle w:val="bocontentwrapperbocenteranotbeck-btn"/>
            <w:color w:val="000000"/>
            <w:u w:val="single" w:color="000000"/>
          </w:rPr>
          <w:t>11</w:t>
        </w:r>
      </w:hyperlink>
      <w:r>
        <w:rPr>
          <w:color w:val="000000"/>
        </w:rPr>
        <w:t xml:space="preserve"> mwN; </w:t>
      </w:r>
      <w:r>
        <w:rPr>
          <w:rStyle w:val="any"/>
          <w:color w:val="000000"/>
        </w:rPr>
        <w:t xml:space="preserve">BGHZ 241, </w:t>
      </w:r>
      <w:hyperlink r:id="rId146"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47" w:history="1">
        <w:r>
          <w:rPr>
            <w:rStyle w:val="bocontentwrapperbocenteranotbeck-btn"/>
            <w:color w:val="000000"/>
            <w:u w:val="single" w:color="000000"/>
          </w:rPr>
          <w:t>840</w:t>
        </w:r>
      </w:hyperlink>
      <w:r>
        <w:rPr>
          <w:rStyle w:val="any"/>
          <w:color w:val="000000"/>
        </w:rPr>
        <w:t xml:space="preserve"> Rn. </w:t>
      </w:r>
      <w:hyperlink r:id="rId148" w:history="1">
        <w:r>
          <w:rPr>
            <w:rStyle w:val="bocontentwrapperbocenteranotbeck-btn"/>
            <w:color w:val="000000"/>
            <w:u w:val="single" w:color="000000"/>
          </w:rPr>
          <w:t>67</w:t>
        </w:r>
      </w:hyperlink>
      <w:r>
        <w:rPr>
          <w:color w:val="000000"/>
        </w:rPr>
        <w:t xml:space="preserve"> mwN).</w:t>
      </w:r>
    </w:p>
    <w:p w14:paraId="0F5BF59B" w14:textId="77777777" w:rsidR="00CF061C" w:rsidRDefault="00000000">
      <w:pPr>
        <w:pStyle w:val="divbocontentwrapperbocenterpParagraph"/>
        <w:spacing w:after="120" w:line="360" w:lineRule="auto"/>
        <w:ind w:left="600" w:right="150"/>
        <w:jc w:val="both"/>
        <w:rPr>
          <w:color w:val="000000"/>
        </w:rPr>
      </w:pPr>
      <w:bookmarkStart w:id="29" w:name="Y-300-Z-NZI-B-2025-S-885-RN-37"/>
      <w:bookmarkEnd w:id="29"/>
      <w:r>
        <w:rPr>
          <w:rStyle w:val="printcontentemrandnr"/>
          <w:rFonts w:ascii="Verdana" w:eastAsia="Verdana" w:hAnsi="Verdana" w:cs="Verdana"/>
          <w:b/>
          <w:bCs/>
          <w:color w:val="000000"/>
          <w:sz w:val="19"/>
          <w:szCs w:val="19"/>
        </w:rPr>
        <w:lastRenderedPageBreak/>
        <w:t>37</w:t>
      </w:r>
      <w:r>
        <w:rPr>
          <w:color w:val="000000"/>
        </w:rPr>
        <w:t xml:space="preserve">Diesen Anforderungen hat das Vorbringen der Bekl. nicht genügt. Mit dem von ihr in der Revision dazu angeführten erstinstanzlichen Vortrag hat sie nur pauschal bestritten, dass „durchweg“ eine Rückkaufverpflichtung der Vertriebsgesellschaften bestanden habe, und geltend gemacht, dass „offenbar weit überwiegend“ keine verbindliche Rückkaufverpflichtung bestanden habe und ein Rückkauf „in aller Regel“ letztlich auf freiwilliger Basis erfolgt sei. Eine Differenzierung in zeitlicher Hinsicht oder nach der jeweiligen Vertriebsgesellschaft ergibt sich daraus nicht. Auch mit ihrer Stellungnahme zum Hinweis des BerGer. hat sie lediglich „bestritten“, „ob tatsächlich erst ab August 2015 dazu übergegangen wurde, auf eine Rückkaufverpflichtung im aufsichtsrechtlichen Sinne zu verzichten“, und auf die </w:t>
      </w:r>
      <w:r>
        <w:rPr>
          <w:rStyle w:val="any"/>
          <w:color w:val="000000"/>
        </w:rPr>
        <w:t>Entscheidung des LG Flensburg vom 4.2.2022 (</w:t>
      </w:r>
      <w:hyperlink r:id="rId149" w:history="1">
        <w:r>
          <w:rPr>
            <w:rStyle w:val="bocontentwrapperbocenteranotbeck-btn"/>
            <w:color w:val="000000"/>
            <w:u w:val="single" w:color="000000"/>
          </w:rPr>
          <w:t>3 O 180/20</w:t>
        </w:r>
      </w:hyperlink>
      <w:r>
        <w:rPr>
          <w:color w:val="000000"/>
        </w:rPr>
        <w:t xml:space="preserve">, </w:t>
      </w:r>
      <w:r>
        <w:rPr>
          <w:rStyle w:val="any"/>
          <w:color w:val="000000"/>
        </w:rPr>
        <w:t xml:space="preserve">BeckRS 2022, </w:t>
      </w:r>
      <w:hyperlink r:id="rId150" w:history="1">
        <w:r>
          <w:rPr>
            <w:rStyle w:val="bocontentwrapperbocenteranotbeck-btn"/>
            <w:color w:val="000000"/>
            <w:u w:val="single" w:color="000000"/>
          </w:rPr>
          <w:t>6327</w:t>
        </w:r>
      </w:hyperlink>
      <w:r>
        <w:rPr>
          <w:color w:val="000000"/>
        </w:rPr>
        <w:t>) verwiesen, der zufolge „offenbar“ bereits seit 2012 Verträge ohne Rückkaufverpflichtung abgeschlossen worden seien.</w:t>
      </w:r>
    </w:p>
    <w:p w14:paraId="55E9E305" w14:textId="77777777" w:rsidR="00CF061C" w:rsidRDefault="00000000">
      <w:pPr>
        <w:pStyle w:val="divbocontentwrapperbocenterpParagraph"/>
        <w:spacing w:after="120" w:line="360" w:lineRule="auto"/>
        <w:ind w:left="600" w:right="150"/>
        <w:jc w:val="both"/>
        <w:rPr>
          <w:color w:val="000000"/>
        </w:rPr>
      </w:pPr>
      <w:bookmarkStart w:id="30" w:name="Y-300-Z-NZI-B-2025-S-885-RN-38"/>
      <w:bookmarkEnd w:id="30"/>
      <w:r>
        <w:rPr>
          <w:rStyle w:val="printcontentemrandnr"/>
          <w:rFonts w:ascii="Verdana" w:eastAsia="Verdana" w:hAnsi="Verdana" w:cs="Verdana"/>
          <w:b/>
          <w:bCs/>
          <w:color w:val="000000"/>
          <w:sz w:val="19"/>
          <w:szCs w:val="19"/>
        </w:rPr>
        <w:t>38</w:t>
      </w:r>
      <w:r>
        <w:rPr>
          <w:color w:val="000000"/>
        </w:rPr>
        <w:t>(b) Zu Recht ist das BerGer. danach auch von einem Fortbestand der Überschuldung über den Zeitpunkt der Änderung der Vertragsformulare (August 2015) hinaus bis zum Abschluss der streitgegenständlichen Anlageverträge des Kl. ausgegangen.</w:t>
      </w:r>
    </w:p>
    <w:p w14:paraId="08B71B00" w14:textId="77777777" w:rsidR="00CF061C" w:rsidRDefault="00000000">
      <w:pPr>
        <w:pStyle w:val="divbocontentwrapperbocenterpParagraph"/>
        <w:spacing w:after="120" w:line="360" w:lineRule="auto"/>
        <w:ind w:left="600" w:right="150"/>
        <w:jc w:val="both"/>
        <w:rPr>
          <w:color w:val="000000"/>
        </w:rPr>
      </w:pPr>
      <w:bookmarkStart w:id="31" w:name="Y-300-Z-NZI-B-2025-S-885-RN-39"/>
      <w:bookmarkEnd w:id="31"/>
      <w:r>
        <w:rPr>
          <w:rStyle w:val="printcontentemrandnr"/>
          <w:rFonts w:ascii="Verdana" w:eastAsia="Verdana" w:hAnsi="Verdana" w:cs="Verdana"/>
          <w:b/>
          <w:bCs/>
          <w:color w:val="000000"/>
          <w:sz w:val="19"/>
          <w:szCs w:val="19"/>
        </w:rPr>
        <w:t>39</w:t>
      </w:r>
      <w:r>
        <w:rPr>
          <w:color w:val="000000"/>
        </w:rPr>
        <w:t xml:space="preserve">Ist die Insolvenzreife für einen früheren Zeitpunkt bewiesen, so gilt nach der Rechtsprechung des Senats der Nachweis der im Zeitpunkt des Geschäftsabschlusses noch andauernden Verletzung der Insolvenzantragspflicht jedenfalls bei relativ zeitnah erteilten Aufträgen als geführt, sofern der beklagte Geschäftsführer nicht seinerseits darlegt, dass im Zeitpunkt der Auftragserteilung die Überschuldung beseitigt und damit die Antragspflicht – wieder – entfallen war (vgl. BGH </w:t>
      </w:r>
      <w:r>
        <w:rPr>
          <w:rStyle w:val="any"/>
          <w:color w:val="000000"/>
        </w:rPr>
        <w:t xml:space="preserve">NZI 2020, </w:t>
      </w:r>
      <w:hyperlink r:id="rId151" w:history="1">
        <w:r>
          <w:rPr>
            <w:rStyle w:val="bocontentwrapperbocenteranotbeck-btn"/>
            <w:color w:val="000000"/>
            <w:u w:val="single" w:color="000000"/>
          </w:rPr>
          <w:t>167</w:t>
        </w:r>
      </w:hyperlink>
      <w:r>
        <w:rPr>
          <w:rStyle w:val="any"/>
          <w:color w:val="000000"/>
        </w:rPr>
        <w:t xml:space="preserve"> Rn. </w:t>
      </w:r>
      <w:hyperlink r:id="rId152" w:history="1">
        <w:r>
          <w:rPr>
            <w:rStyle w:val="bocontentwrapperbocenteranotbeck-btn"/>
            <w:color w:val="000000"/>
            <w:u w:val="single" w:color="000000"/>
          </w:rPr>
          <w:t>24</w:t>
        </w:r>
      </w:hyperlink>
      <w:r>
        <w:rPr>
          <w:color w:val="000000"/>
        </w:rPr>
        <w:t xml:space="preserve"> mwN). Für eine Beseitigung der Überschuldungssituation der betreffenden Vertriebsgesellschaften nach Wegfall weiterer Rückkaufverpflichtungen ab August 2015 ist, wie das BerGer. im Zusammenhang mit seinen rechtsfehlerfreien Feststellungen zur fehlenden positiven Fortführungsprognose ausgeführt hat, nichts ersichtlich. Erheblichen Vortrag dazu zeigt die Bekl. auch mit der Revision nicht auf.</w:t>
      </w:r>
    </w:p>
    <w:p w14:paraId="73937CDA" w14:textId="77777777" w:rsidR="00CF061C" w:rsidRDefault="00000000">
      <w:pPr>
        <w:pStyle w:val="divbocontentwrapperbocenterpParagraph"/>
        <w:spacing w:after="120" w:line="360" w:lineRule="auto"/>
        <w:ind w:left="600" w:right="150"/>
        <w:jc w:val="both"/>
        <w:rPr>
          <w:color w:val="000000"/>
        </w:rPr>
      </w:pPr>
      <w:bookmarkStart w:id="32" w:name="Y-300-Z-NZI-B-2025-S-885-RN-40"/>
      <w:bookmarkEnd w:id="32"/>
      <w:r>
        <w:rPr>
          <w:rStyle w:val="printcontentemrandnr"/>
          <w:rFonts w:ascii="Verdana" w:eastAsia="Verdana" w:hAnsi="Verdana" w:cs="Verdana"/>
          <w:b/>
          <w:bCs/>
          <w:color w:val="000000"/>
          <w:sz w:val="19"/>
          <w:szCs w:val="19"/>
        </w:rPr>
        <w:t>40</w:t>
      </w:r>
      <w:r>
        <w:rPr>
          <w:color w:val="000000"/>
        </w:rPr>
        <w:t xml:space="preserve">(2) Damit war das BerGer. entgegen der Ansicht der Bekl. auch nicht gehalten, ihrem Antrag auf Einholung eines Sachverständigengutachtens zur Frage der Überschuldung der Vertriebsgesellschaften nachzukommen. Hierzu bestand mangels Erheblichkeit des Vorbringens der Bekl. kein Anlass. Diese fehlende Erheblichkeit konnte das BerGer. in tatsächlicher und rechtlicher Hinsicht ohne Hinzuziehung sachverständiger Hilfe beurteilen. Dass hierfür besonderer kaufmännischer oder bilanztechnischer Sachverstand erforderlich gewesen wäre, ist nicht ersichtlich (vgl. </w:t>
      </w:r>
      <w:r>
        <w:rPr>
          <w:rStyle w:val="any"/>
          <w:color w:val="000000"/>
        </w:rPr>
        <w:t xml:space="preserve">BGHZ 241, </w:t>
      </w:r>
      <w:hyperlink r:id="rId153"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54" w:history="1">
        <w:r>
          <w:rPr>
            <w:rStyle w:val="bocontentwrapperbocenteranotbeck-btn"/>
            <w:color w:val="000000"/>
            <w:u w:val="single" w:color="000000"/>
          </w:rPr>
          <w:t>840</w:t>
        </w:r>
      </w:hyperlink>
      <w:r>
        <w:rPr>
          <w:rStyle w:val="any"/>
          <w:color w:val="000000"/>
        </w:rPr>
        <w:t xml:space="preserve"> Rn. </w:t>
      </w:r>
      <w:hyperlink r:id="rId155" w:history="1">
        <w:r>
          <w:rPr>
            <w:rStyle w:val="bocontentwrapperbocenteranotbeck-btn"/>
            <w:color w:val="000000"/>
            <w:u w:val="single" w:color="000000"/>
          </w:rPr>
          <w:t>72</w:t>
        </w:r>
      </w:hyperlink>
      <w:r>
        <w:rPr>
          <w:rStyle w:val="any"/>
          <w:color w:val="000000"/>
        </w:rPr>
        <w:t> f.</w:t>
      </w:r>
      <w:r>
        <w:rPr>
          <w:color w:val="000000"/>
        </w:rPr>
        <w:t>).</w:t>
      </w:r>
    </w:p>
    <w:p w14:paraId="7C29BDB0" w14:textId="77777777" w:rsidR="00CF061C" w:rsidRDefault="00000000">
      <w:pPr>
        <w:pStyle w:val="divbocontentwrapperbocenterpParagraph"/>
        <w:spacing w:after="120" w:line="360" w:lineRule="auto"/>
        <w:ind w:left="600" w:right="150"/>
        <w:jc w:val="both"/>
        <w:rPr>
          <w:color w:val="000000"/>
        </w:rPr>
      </w:pPr>
      <w:bookmarkStart w:id="33" w:name="Y-300-Z-NZI-B-2025-S-885-RN-41"/>
      <w:bookmarkEnd w:id="33"/>
      <w:r>
        <w:rPr>
          <w:rStyle w:val="printcontentemrandnr"/>
          <w:rFonts w:ascii="Verdana" w:eastAsia="Verdana" w:hAnsi="Verdana" w:cs="Verdana"/>
          <w:b/>
          <w:bCs/>
          <w:color w:val="000000"/>
          <w:sz w:val="19"/>
          <w:szCs w:val="19"/>
        </w:rPr>
        <w:t>41</w:t>
      </w:r>
      <w:r>
        <w:rPr>
          <w:color w:val="000000"/>
        </w:rPr>
        <w:t xml:space="preserve">(3) Ob der weiteren Annahme des BerGer. zu folgen wäre, dass die Rückkaufverpflichtungen auch dann zu passivieren wären, wenn sie allein auf </w:t>
      </w:r>
      <w:r>
        <w:rPr>
          <w:color w:val="000000"/>
        </w:rPr>
        <w:lastRenderedPageBreak/>
        <w:t>faktischem Zwang beruhten, kann somit dahinstehen. Gleiches gilt für die Ansicht des BerGer., bereits das Wesen eines Schneeballsystems spreche per se für eine Überschuldung. Beide Annahmen waren für die Entscheidung des BerGer. nicht tragend, da es seine Überzeugung von der Überschuldung der Vertriebsgesellschaften unabhängig davon rechtsfehlerfrei aufgrund der konkreten Umstände, der vorgelegten Unterlagen und aufgrund von eigenen Erkenntnissen aus Parallelverfahren gewonnen hat.</w:t>
      </w:r>
    </w:p>
    <w:p w14:paraId="685F0AF0" w14:textId="77777777" w:rsidR="00CF061C" w:rsidRDefault="00000000">
      <w:pPr>
        <w:pStyle w:val="divbocontentwrapperbocenterpParagraph"/>
        <w:spacing w:after="120" w:line="360" w:lineRule="auto"/>
        <w:ind w:left="600" w:right="150"/>
        <w:jc w:val="both"/>
        <w:rPr>
          <w:color w:val="000000"/>
        </w:rPr>
      </w:pPr>
      <w:bookmarkStart w:id="34" w:name="Y-300-Z-NZI-B-2025-S-885-RN-42"/>
      <w:bookmarkEnd w:id="34"/>
      <w:r>
        <w:rPr>
          <w:rStyle w:val="printcontentemrandnr"/>
          <w:rFonts w:ascii="Verdana" w:eastAsia="Verdana" w:hAnsi="Verdana" w:cs="Verdana"/>
          <w:b/>
          <w:bCs/>
          <w:color w:val="000000"/>
          <w:sz w:val="19"/>
          <w:szCs w:val="19"/>
        </w:rPr>
        <w:t>42</w:t>
      </w:r>
      <w:r>
        <w:rPr>
          <w:color w:val="000000"/>
        </w:rPr>
        <w:t xml:space="preserve">bb) Die weiteren Feststellungen des BerGer., dass der Erblasser jedenfalls fahrlässig gegen seine Insolvenzantragspflicht betreffend die P Container GmbH und die P Gebrauchtcontainer GmbH gem. </w:t>
      </w:r>
      <w:r>
        <w:rPr>
          <w:rStyle w:val="any"/>
          <w:color w:val="000000"/>
        </w:rPr>
        <w:t xml:space="preserve">§ </w:t>
      </w:r>
      <w:hyperlink r:id="rId156" w:history="1">
        <w:r>
          <w:rPr>
            <w:rStyle w:val="bocontentwrapperbocenteranotbeck-btn"/>
            <w:color w:val="000000"/>
            <w:u w:val="single" w:color="000000"/>
          </w:rPr>
          <w:t>823</w:t>
        </w:r>
      </w:hyperlink>
      <w:r>
        <w:rPr>
          <w:rStyle w:val="any"/>
          <w:color w:val="000000"/>
        </w:rPr>
        <w:t xml:space="preserve"> </w:t>
      </w:r>
      <w:hyperlink r:id="rId157"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158" w:history="1">
        <w:r>
          <w:rPr>
            <w:rStyle w:val="bocontentwrapperbocenteranotbeck-btn"/>
            <w:color w:val="000000"/>
            <w:u w:val="single" w:color="000000"/>
          </w:rPr>
          <w:t>15a</w:t>
        </w:r>
      </w:hyperlink>
      <w:r>
        <w:rPr>
          <w:rStyle w:val="any"/>
          <w:color w:val="000000"/>
        </w:rPr>
        <w:t xml:space="preserve"> </w:t>
      </w:r>
      <w:hyperlink r:id="rId159" w:history="1">
        <w:r>
          <w:rPr>
            <w:rStyle w:val="bocontentwrapperbocenteranotbeck-btn"/>
            <w:color w:val="000000"/>
            <w:u w:val="single" w:color="000000"/>
          </w:rPr>
          <w:t>I</w:t>
        </w:r>
      </w:hyperlink>
      <w:r>
        <w:rPr>
          <w:rStyle w:val="any"/>
          <w:color w:val="000000"/>
        </w:rPr>
        <w:t xml:space="preserve"> 1 InsO</w:t>
      </w:r>
      <w:r>
        <w:rPr>
          <w:color w:val="000000"/>
        </w:rPr>
        <w:t xml:space="preserve"> verstoßen hat und dem Kl. dadurch die von ihm geltend gemachten Schäden entstanden sind, lassen keinen Rechtsfehler erkennen und werden von der Bekl. mit der Revision auch nicht angegriffen.</w:t>
      </w:r>
    </w:p>
    <w:p w14:paraId="213378B9" w14:textId="77777777" w:rsidR="00CF061C" w:rsidRDefault="00000000">
      <w:pPr>
        <w:pStyle w:val="divbocontentwrapperbocenterpParagraph"/>
        <w:spacing w:after="120" w:line="360" w:lineRule="auto"/>
        <w:ind w:left="600" w:right="150"/>
        <w:jc w:val="both"/>
        <w:rPr>
          <w:color w:val="000000"/>
        </w:rPr>
      </w:pPr>
      <w:bookmarkStart w:id="35" w:name="Y-300-Z-NZI-B-2025-S-885-RN-43"/>
      <w:bookmarkEnd w:id="35"/>
      <w:r>
        <w:rPr>
          <w:rStyle w:val="printcontentemrandnr"/>
          <w:rFonts w:ascii="Verdana" w:eastAsia="Verdana" w:hAnsi="Verdana" w:cs="Verdana"/>
          <w:b/>
          <w:bCs/>
          <w:color w:val="000000"/>
          <w:sz w:val="19"/>
          <w:szCs w:val="19"/>
        </w:rPr>
        <w:t>43</w:t>
      </w:r>
      <w:r>
        <w:rPr>
          <w:color w:val="000000"/>
        </w:rPr>
        <w:t xml:space="preserve">cc) Ob die Bekl. für die vor Abberufung des Erblassers geschlossenen Verträge außerdem dem Grunde nach gem. </w:t>
      </w:r>
      <w:r>
        <w:rPr>
          <w:rStyle w:val="any"/>
          <w:color w:val="000000"/>
        </w:rPr>
        <w:t xml:space="preserve">§§ </w:t>
      </w:r>
      <w:hyperlink r:id="rId160" w:history="1">
        <w:r>
          <w:rPr>
            <w:rStyle w:val="bocontentwrapperbocenteranotbeck-btn"/>
            <w:color w:val="000000"/>
            <w:u w:val="single" w:color="000000"/>
          </w:rPr>
          <w:t>1967</w:t>
        </w:r>
      </w:hyperlink>
      <w:r>
        <w:rPr>
          <w:rStyle w:val="any"/>
          <w:color w:val="000000"/>
        </w:rPr>
        <w:t xml:space="preserve"> </w:t>
      </w:r>
      <w:hyperlink r:id="rId161" w:history="1">
        <w:r>
          <w:rPr>
            <w:rStyle w:val="bocontentwrapperbocenteranotbeck-btn"/>
            <w:color w:val="000000"/>
            <w:u w:val="single" w:color="000000"/>
          </w:rPr>
          <w:t>I</w:t>
        </w:r>
      </w:hyperlink>
      <w:r>
        <w:rPr>
          <w:rStyle w:val="any"/>
          <w:color w:val="000000"/>
        </w:rPr>
        <w:t xml:space="preserve">, </w:t>
      </w:r>
      <w:hyperlink r:id="rId162" w:history="1">
        <w:r>
          <w:rPr>
            <w:rStyle w:val="bocontentwrapperbocenteranotbeck-btn"/>
            <w:color w:val="000000"/>
            <w:u w:val="single" w:color="000000"/>
          </w:rPr>
          <w:t>826</w:t>
        </w:r>
      </w:hyperlink>
      <w:r>
        <w:rPr>
          <w:rStyle w:val="any"/>
          <w:color w:val="000000"/>
        </w:rPr>
        <w:t xml:space="preserve"> BGB</w:t>
      </w:r>
      <w:r>
        <w:rPr>
          <w:color w:val="000000"/>
        </w:rPr>
        <w:t xml:space="preserve"> wegen sittenwidriger vorsätzlicher Schädigung haftet, kann damit dahinstehen.</w:t>
      </w:r>
    </w:p>
    <w:p w14:paraId="4EAB1B63" w14:textId="77777777" w:rsidR="00CF061C" w:rsidRDefault="00000000">
      <w:pPr>
        <w:pStyle w:val="divbocontentwrapperbocenterpParagraph"/>
        <w:spacing w:after="120" w:line="360" w:lineRule="auto"/>
        <w:ind w:left="600" w:right="150"/>
        <w:jc w:val="both"/>
        <w:rPr>
          <w:color w:val="000000"/>
        </w:rPr>
      </w:pPr>
      <w:bookmarkStart w:id="36" w:name="Y-300-Z-NZI-B-2025-S-885-RN-44"/>
      <w:bookmarkEnd w:id="36"/>
      <w:r>
        <w:rPr>
          <w:rStyle w:val="printcontentemrandnr"/>
          <w:rFonts w:ascii="Verdana" w:eastAsia="Verdana" w:hAnsi="Verdana" w:cs="Verdana"/>
          <w:b/>
          <w:bCs/>
          <w:color w:val="000000"/>
          <w:sz w:val="19"/>
          <w:szCs w:val="19"/>
        </w:rPr>
        <w:t>44</w:t>
      </w:r>
      <w:r>
        <w:rPr>
          <w:color w:val="000000"/>
        </w:rPr>
        <w:t>b) Es bedarf aber weiterer tatsächlicher Feststellungen zur Höhe der auf die Anmeldung des Kl. zur Insolvenztabelle festzustellenden Forderungen.</w:t>
      </w:r>
    </w:p>
    <w:p w14:paraId="15467810" w14:textId="77777777" w:rsidR="00CF061C" w:rsidRDefault="00000000">
      <w:pPr>
        <w:pStyle w:val="divbocontentwrapperbocenterpParagraph"/>
        <w:spacing w:after="120" w:line="360" w:lineRule="auto"/>
        <w:ind w:left="600" w:right="150"/>
        <w:jc w:val="both"/>
        <w:rPr>
          <w:color w:val="000000"/>
        </w:rPr>
      </w:pPr>
      <w:bookmarkStart w:id="37" w:name="Y-300-Z-NZI-B-2025-S-885-RN-45"/>
      <w:bookmarkEnd w:id="37"/>
      <w:r>
        <w:rPr>
          <w:rStyle w:val="printcontentemrandnr"/>
          <w:rFonts w:ascii="Verdana" w:eastAsia="Verdana" w:hAnsi="Verdana" w:cs="Verdana"/>
          <w:b/>
          <w:bCs/>
          <w:color w:val="000000"/>
          <w:sz w:val="19"/>
          <w:szCs w:val="19"/>
        </w:rPr>
        <w:t>45</w:t>
      </w:r>
      <w:r>
        <w:rPr>
          <w:color w:val="000000"/>
        </w:rPr>
        <w:t xml:space="preserve">Die dem Kl. nur Zug-um-Zug gegen Abtretung seiner Rechte aus den jeweiligen Anlageverträgen zugesprochenen Zahlungsansprüche können nach </w:t>
      </w:r>
      <w:r>
        <w:rPr>
          <w:rStyle w:val="any"/>
          <w:color w:val="000000"/>
        </w:rPr>
        <w:t xml:space="preserve">§ </w:t>
      </w:r>
      <w:hyperlink r:id="rId163" w:history="1">
        <w:r>
          <w:rPr>
            <w:rStyle w:val="bocontentwrapperbocenteranotbeck-btn"/>
            <w:color w:val="000000"/>
            <w:u w:val="single" w:color="000000"/>
          </w:rPr>
          <w:t>45</w:t>
        </w:r>
      </w:hyperlink>
      <w:r>
        <w:rPr>
          <w:rStyle w:val="any"/>
          <w:color w:val="000000"/>
        </w:rPr>
        <w:t xml:space="preserve"> S. 1 InsO</w:t>
      </w:r>
      <w:r>
        <w:rPr>
          <w:color w:val="000000"/>
        </w:rPr>
        <w:t xml:space="preserve"> nur unter Berücksichtigung des Werts dieser abzutretenden Rechte zur Zeit der Eröffnung des Insolvenzverfahrens zur Insolvenztabelle festgestellt werden. Tatsächliche Feststellungen oder Vortrag der Parteien dazu, ob diese Rechte noch werthaltig sind bzw. waren und welcher Wert gegebenenfalls für sie zu veranschlagen wäre, liegen nicht vor.</w:t>
      </w:r>
    </w:p>
    <w:p w14:paraId="4B78C226" w14:textId="77777777" w:rsidR="00CF061C" w:rsidRDefault="00000000">
      <w:pPr>
        <w:pStyle w:val="divbocontentwrapperbocenterpParagraph"/>
        <w:spacing w:after="120" w:line="360" w:lineRule="auto"/>
        <w:ind w:left="600" w:right="150"/>
        <w:jc w:val="both"/>
        <w:rPr>
          <w:color w:val="000000"/>
        </w:rPr>
      </w:pPr>
      <w:bookmarkStart w:id="38" w:name="Y-300-Z-NZI-B-2025-S-885-RN-46"/>
      <w:bookmarkEnd w:id="38"/>
      <w:r>
        <w:rPr>
          <w:rStyle w:val="printcontentemrandnr"/>
          <w:rFonts w:ascii="Verdana" w:eastAsia="Verdana" w:hAnsi="Verdana" w:cs="Verdana"/>
          <w:b/>
          <w:bCs/>
          <w:color w:val="000000"/>
          <w:sz w:val="19"/>
          <w:szCs w:val="19"/>
        </w:rPr>
        <w:t>46</w:t>
      </w:r>
      <w:r>
        <w:rPr>
          <w:color w:val="000000"/>
        </w:rPr>
        <w:t xml:space="preserve">Gleiches gilt für den Anspruch des Kl. auf Feststellung der Freistellungsverpflichtung durch die Bekl. von jeglichen Zahlungsverpflichtungen im Zusammenhang mit den Anlageverträgen, insbesondere Zahlungsansprüchen des Insolvenzverwalters aus Insolvenzanfechtungen nach </w:t>
      </w:r>
      <w:r>
        <w:rPr>
          <w:rStyle w:val="any"/>
          <w:color w:val="000000"/>
        </w:rPr>
        <w:t xml:space="preserve">§§ </w:t>
      </w:r>
      <w:hyperlink r:id="rId164" w:history="1">
        <w:r>
          <w:rPr>
            <w:rStyle w:val="bocontentwrapperbocenteranotbeck-btn"/>
            <w:color w:val="000000"/>
            <w:u w:val="single" w:color="000000"/>
          </w:rPr>
          <w:t>129</w:t>
        </w:r>
      </w:hyperlink>
      <w:r>
        <w:rPr>
          <w:rStyle w:val="any"/>
          <w:color w:val="000000"/>
        </w:rPr>
        <w:t> ff. InsO</w:t>
      </w:r>
      <w:r>
        <w:rPr>
          <w:color w:val="000000"/>
        </w:rPr>
        <w:t xml:space="preserve">. Dieser Anspruch kann zwar mit einem entsprechend </w:t>
      </w:r>
      <w:r>
        <w:rPr>
          <w:rStyle w:val="any"/>
          <w:color w:val="000000"/>
        </w:rPr>
        <w:t xml:space="preserve">§ </w:t>
      </w:r>
      <w:hyperlink r:id="rId165" w:history="1">
        <w:r>
          <w:rPr>
            <w:rStyle w:val="bocontentwrapperbocenteranotbeck-btn"/>
            <w:color w:val="000000"/>
            <w:u w:val="single" w:color="000000"/>
          </w:rPr>
          <w:t>45</w:t>
        </w:r>
      </w:hyperlink>
      <w:r>
        <w:rPr>
          <w:rStyle w:val="any"/>
          <w:color w:val="000000"/>
        </w:rPr>
        <w:t xml:space="preserve"> InsO</w:t>
      </w:r>
      <w:r>
        <w:rPr>
          <w:color w:val="000000"/>
        </w:rPr>
        <w:t xml:space="preserve"> umgerechneten Wert zur Tabelle festgestellt werden. Für eine Bemessung fehlt es aber ebenfalls an Anhaltspunkten, insbesondere zur Wahrscheinlichkeit einer Inanspruchnahme des Kl. durch den Insolvenzverwalter.</w:t>
      </w:r>
    </w:p>
    <w:p w14:paraId="72BCF874" w14:textId="77777777" w:rsidR="00CF061C" w:rsidRDefault="00000000">
      <w:pPr>
        <w:pStyle w:val="divbocontentwrapperbocenterpParagraph"/>
        <w:spacing w:after="120" w:line="360" w:lineRule="auto"/>
        <w:ind w:left="600" w:right="150"/>
        <w:jc w:val="both"/>
        <w:rPr>
          <w:color w:val="000000"/>
        </w:rPr>
      </w:pPr>
      <w:bookmarkStart w:id="39" w:name="Y-300-Z-NZI-B-2025-S-885-RN-47"/>
      <w:bookmarkEnd w:id="39"/>
      <w:r>
        <w:rPr>
          <w:rStyle w:val="printcontentemrandnr"/>
          <w:rFonts w:ascii="Verdana" w:eastAsia="Verdana" w:hAnsi="Verdana" w:cs="Verdana"/>
          <w:b/>
          <w:bCs/>
          <w:color w:val="000000"/>
          <w:sz w:val="19"/>
          <w:szCs w:val="19"/>
        </w:rPr>
        <w:t>47</w:t>
      </w:r>
      <w:r>
        <w:rPr>
          <w:color w:val="000000"/>
        </w:rPr>
        <w:t xml:space="preserve">4. Hinsichtlich der Hauptforderungen des Kl. aus dem ersten nach der Abberufung des Erblassers geschlossenen Vertrag mit der P Gebrauchtcontainer GmbH hat die Revision des Kl. Erfolg, da das BerGer. eine Haftung der Bekl. für diesen Anlagevertrag </w:t>
      </w:r>
      <w:r>
        <w:rPr>
          <w:color w:val="000000"/>
        </w:rPr>
        <w:lastRenderedPageBreak/>
        <w:t xml:space="preserve">wegen Verletzung der Insolvenzantragspflicht durch den Erblasser gem. </w:t>
      </w:r>
      <w:r>
        <w:rPr>
          <w:rStyle w:val="any"/>
          <w:color w:val="000000"/>
        </w:rPr>
        <w:t xml:space="preserve">§§ </w:t>
      </w:r>
      <w:hyperlink r:id="rId166" w:history="1">
        <w:r>
          <w:rPr>
            <w:rStyle w:val="bocontentwrapperbocenteranotbeck-btn"/>
            <w:color w:val="000000"/>
            <w:u w:val="single" w:color="000000"/>
          </w:rPr>
          <w:t>1967</w:t>
        </w:r>
      </w:hyperlink>
      <w:r>
        <w:rPr>
          <w:rStyle w:val="any"/>
          <w:color w:val="000000"/>
        </w:rPr>
        <w:t xml:space="preserve"> </w:t>
      </w:r>
      <w:hyperlink r:id="rId167" w:history="1">
        <w:r>
          <w:rPr>
            <w:rStyle w:val="bocontentwrapperbocenteranotbeck-btn"/>
            <w:color w:val="000000"/>
            <w:u w:val="single" w:color="000000"/>
          </w:rPr>
          <w:t>I</w:t>
        </w:r>
      </w:hyperlink>
      <w:r>
        <w:rPr>
          <w:rStyle w:val="any"/>
          <w:color w:val="000000"/>
        </w:rPr>
        <w:t xml:space="preserve">, </w:t>
      </w:r>
      <w:hyperlink r:id="rId168" w:history="1">
        <w:r>
          <w:rPr>
            <w:rStyle w:val="bocontentwrapperbocenteranotbeck-btn"/>
            <w:color w:val="000000"/>
            <w:u w:val="single" w:color="000000"/>
          </w:rPr>
          <w:t>823</w:t>
        </w:r>
      </w:hyperlink>
      <w:r>
        <w:rPr>
          <w:rStyle w:val="any"/>
          <w:color w:val="000000"/>
        </w:rPr>
        <w:t xml:space="preserve"> </w:t>
      </w:r>
      <w:hyperlink r:id="rId169"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170" w:history="1">
        <w:r>
          <w:rPr>
            <w:rStyle w:val="bocontentwrapperbocenteranotbeck-btn"/>
            <w:color w:val="000000"/>
            <w:u w:val="single" w:color="000000"/>
          </w:rPr>
          <w:t>15a</w:t>
        </w:r>
      </w:hyperlink>
      <w:r>
        <w:rPr>
          <w:rStyle w:val="any"/>
          <w:color w:val="000000"/>
        </w:rPr>
        <w:t xml:space="preserve"> </w:t>
      </w:r>
      <w:hyperlink r:id="rId171" w:history="1">
        <w:r>
          <w:rPr>
            <w:rStyle w:val="bocontentwrapperbocenteranotbeck-btn"/>
            <w:color w:val="000000"/>
            <w:u w:val="single" w:color="000000"/>
          </w:rPr>
          <w:t>I</w:t>
        </w:r>
      </w:hyperlink>
      <w:r>
        <w:rPr>
          <w:rStyle w:val="any"/>
          <w:color w:val="000000"/>
        </w:rPr>
        <w:t xml:space="preserve"> 1 InsO</w:t>
      </w:r>
      <w:r>
        <w:rPr>
          <w:color w:val="000000"/>
        </w:rPr>
        <w:t xml:space="preserve"> rechtsfehlerhaft bereits dem Grunde nach verneint hat. Insoweit ist das angefochtene Urteil aufzuheben (</w:t>
      </w:r>
      <w:r>
        <w:rPr>
          <w:rStyle w:val="any"/>
          <w:color w:val="000000"/>
        </w:rPr>
        <w:t xml:space="preserve">§ </w:t>
      </w:r>
      <w:hyperlink r:id="rId172" w:history="1">
        <w:r>
          <w:rPr>
            <w:rStyle w:val="bocontentwrapperbocenteranotbeck-btn"/>
            <w:color w:val="000000"/>
            <w:u w:val="single" w:color="000000"/>
          </w:rPr>
          <w:t>562</w:t>
        </w:r>
      </w:hyperlink>
      <w:r>
        <w:rPr>
          <w:rStyle w:val="any"/>
          <w:color w:val="000000"/>
        </w:rPr>
        <w:t xml:space="preserve"> </w:t>
      </w:r>
      <w:hyperlink r:id="rId173" w:history="1">
        <w:r>
          <w:rPr>
            <w:rStyle w:val="bocontentwrapperbocenteranotbeck-btn"/>
            <w:color w:val="000000"/>
            <w:u w:val="single" w:color="000000"/>
          </w:rPr>
          <w:t>I</w:t>
        </w:r>
      </w:hyperlink>
      <w:r>
        <w:rPr>
          <w:rStyle w:val="any"/>
          <w:color w:val="000000"/>
        </w:rPr>
        <w:t xml:space="preserve"> ZPO</w:t>
      </w:r>
      <w:r>
        <w:rPr>
          <w:color w:val="000000"/>
        </w:rPr>
        <w:t xml:space="preserve">) und der Rechtsstreit ebenfalls mangels Entscheidungsreife (auch bei Umstellung der Anträge) gem. </w:t>
      </w:r>
      <w:r>
        <w:rPr>
          <w:rStyle w:val="any"/>
          <w:color w:val="000000"/>
        </w:rPr>
        <w:t xml:space="preserve">§ </w:t>
      </w:r>
      <w:hyperlink r:id="rId174" w:history="1">
        <w:r>
          <w:rPr>
            <w:rStyle w:val="bocontentwrapperbocenteranotbeck-btn"/>
            <w:color w:val="000000"/>
            <w:u w:val="single" w:color="000000"/>
          </w:rPr>
          <w:t>563</w:t>
        </w:r>
      </w:hyperlink>
      <w:r>
        <w:rPr>
          <w:rStyle w:val="any"/>
          <w:color w:val="000000"/>
        </w:rPr>
        <w:t xml:space="preserve"> </w:t>
      </w:r>
      <w:hyperlink r:id="rId175" w:history="1">
        <w:r>
          <w:rPr>
            <w:rStyle w:val="bocontentwrapperbocenteranotbeck-btn"/>
            <w:color w:val="000000"/>
            <w:u w:val="single" w:color="000000"/>
          </w:rPr>
          <w:t>I</w:t>
        </w:r>
      </w:hyperlink>
      <w:r>
        <w:rPr>
          <w:rStyle w:val="any"/>
          <w:color w:val="000000"/>
        </w:rPr>
        <w:t xml:space="preserve"> 1 ZPO</w:t>
      </w:r>
      <w:r>
        <w:rPr>
          <w:color w:val="000000"/>
        </w:rPr>
        <w:t xml:space="preserve"> an das BerGer. zurückzuverweisen.</w:t>
      </w:r>
    </w:p>
    <w:p w14:paraId="56947360" w14:textId="77777777" w:rsidR="00CF061C" w:rsidRDefault="00000000">
      <w:pPr>
        <w:pStyle w:val="divbocontentwrapperbocenterpParagraph"/>
        <w:spacing w:after="120" w:line="360" w:lineRule="auto"/>
        <w:ind w:left="600" w:right="150"/>
        <w:jc w:val="both"/>
        <w:rPr>
          <w:color w:val="000000"/>
        </w:rPr>
      </w:pPr>
      <w:bookmarkStart w:id="40" w:name="Y-300-Z-NZI-B-2025-S-885-RN-48"/>
      <w:bookmarkEnd w:id="40"/>
      <w:r>
        <w:rPr>
          <w:rStyle w:val="printcontentemrandnr"/>
          <w:rFonts w:ascii="Verdana" w:eastAsia="Verdana" w:hAnsi="Verdana" w:cs="Verdana"/>
          <w:b/>
          <w:bCs/>
          <w:color w:val="000000"/>
          <w:sz w:val="19"/>
          <w:szCs w:val="19"/>
        </w:rPr>
        <w:t>48</w:t>
      </w:r>
      <w:r>
        <w:rPr>
          <w:color w:val="000000"/>
        </w:rPr>
        <w:t xml:space="preserve">a) Die Auffassung des BerGer., die Haftung und Verantwortlichkeit eines Geschäftsführers nach </w:t>
      </w:r>
      <w:r>
        <w:rPr>
          <w:rStyle w:val="any"/>
          <w:color w:val="000000"/>
        </w:rPr>
        <w:t xml:space="preserve">§ </w:t>
      </w:r>
      <w:hyperlink r:id="rId176" w:history="1">
        <w:r>
          <w:rPr>
            <w:rStyle w:val="bocontentwrapperbocenteranotbeck-btn"/>
            <w:color w:val="000000"/>
            <w:u w:val="single" w:color="000000"/>
          </w:rPr>
          <w:t>823</w:t>
        </w:r>
      </w:hyperlink>
      <w:r>
        <w:rPr>
          <w:rStyle w:val="any"/>
          <w:color w:val="000000"/>
        </w:rPr>
        <w:t xml:space="preserve"> </w:t>
      </w:r>
      <w:hyperlink r:id="rId177"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178" w:history="1">
        <w:r>
          <w:rPr>
            <w:rStyle w:val="bocontentwrapperbocenteranotbeck-btn"/>
            <w:color w:val="000000"/>
            <w:u w:val="single" w:color="000000"/>
          </w:rPr>
          <w:t>15a</w:t>
        </w:r>
      </w:hyperlink>
      <w:r>
        <w:rPr>
          <w:rStyle w:val="any"/>
          <w:color w:val="000000"/>
        </w:rPr>
        <w:t xml:space="preserve"> </w:t>
      </w:r>
      <w:hyperlink r:id="rId179" w:history="1">
        <w:r>
          <w:rPr>
            <w:rStyle w:val="bocontentwrapperbocenteranotbeck-btn"/>
            <w:color w:val="000000"/>
            <w:u w:val="single" w:color="000000"/>
          </w:rPr>
          <w:t>I</w:t>
        </w:r>
      </w:hyperlink>
      <w:r>
        <w:rPr>
          <w:rStyle w:val="any"/>
          <w:color w:val="000000"/>
        </w:rPr>
        <w:t xml:space="preserve"> 1 InsO</w:t>
      </w:r>
      <w:r>
        <w:rPr>
          <w:color w:val="000000"/>
        </w:rPr>
        <w:t xml:space="preserve"> sei auf die vor seiner Amtsbeendigung entstandenen Verschleppungsschäden beschränkt, trifft nicht zu.</w:t>
      </w:r>
    </w:p>
    <w:p w14:paraId="181AFFAC" w14:textId="77777777" w:rsidR="00CF061C" w:rsidRDefault="00000000">
      <w:pPr>
        <w:pStyle w:val="divbocontentwrapperbocenterpParagraph"/>
        <w:spacing w:after="120" w:line="360" w:lineRule="auto"/>
        <w:ind w:left="600" w:right="150"/>
        <w:jc w:val="both"/>
        <w:rPr>
          <w:color w:val="000000"/>
        </w:rPr>
      </w:pPr>
      <w:bookmarkStart w:id="41" w:name="Y-300-Z-NZI-B-2025-S-885-RN-49"/>
      <w:bookmarkEnd w:id="41"/>
      <w:r>
        <w:rPr>
          <w:rStyle w:val="printcontentemrandnr"/>
          <w:rFonts w:ascii="Verdana" w:eastAsia="Verdana" w:hAnsi="Verdana" w:cs="Verdana"/>
          <w:b/>
          <w:bCs/>
          <w:color w:val="000000"/>
          <w:sz w:val="19"/>
          <w:szCs w:val="19"/>
        </w:rPr>
        <w:t>49</w:t>
      </w:r>
      <w:r>
        <w:rPr>
          <w:color w:val="000000"/>
        </w:rPr>
        <w:t>Wie der Senat mit Urteil v. 23.7.2024 (</w:t>
      </w:r>
      <w:r>
        <w:rPr>
          <w:rStyle w:val="any"/>
          <w:color w:val="000000"/>
        </w:rPr>
        <w:t xml:space="preserve">BGHZ 241, </w:t>
      </w:r>
      <w:hyperlink r:id="rId180"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181" w:history="1">
        <w:r>
          <w:rPr>
            <w:rStyle w:val="bocontentwrapperbocenteranotbeck-btn"/>
            <w:color w:val="000000"/>
            <w:u w:val="single" w:color="000000"/>
          </w:rPr>
          <w:t>840</w:t>
        </w:r>
      </w:hyperlink>
      <w:r>
        <w:rPr>
          <w:rStyle w:val="any"/>
          <w:color w:val="000000"/>
        </w:rPr>
        <w:t xml:space="preserve"> Rn. </w:t>
      </w:r>
      <w:hyperlink r:id="rId182" w:history="1">
        <w:r>
          <w:rPr>
            <w:rStyle w:val="bocontentwrapperbocenteranotbeck-btn"/>
            <w:color w:val="000000"/>
            <w:u w:val="single" w:color="000000"/>
          </w:rPr>
          <w:t>79</w:t>
        </w:r>
      </w:hyperlink>
      <w:r>
        <w:rPr>
          <w:rStyle w:val="any"/>
          <w:color w:val="000000"/>
        </w:rPr>
        <w:t> ff.</w:t>
      </w:r>
      <w:r>
        <w:rPr>
          <w:color w:val="000000"/>
        </w:rPr>
        <w:t xml:space="preserve">) entschieden hat, haftet ein aus dem Amt ausgeschiedener Geschäftsführer gem. </w:t>
      </w:r>
      <w:r>
        <w:rPr>
          <w:rStyle w:val="any"/>
          <w:color w:val="000000"/>
        </w:rPr>
        <w:t xml:space="preserve">§ </w:t>
      </w:r>
      <w:hyperlink r:id="rId183" w:history="1">
        <w:r>
          <w:rPr>
            <w:rStyle w:val="bocontentwrapperbocenteranotbeck-btn"/>
            <w:color w:val="000000"/>
            <w:u w:val="single" w:color="000000"/>
          </w:rPr>
          <w:t>823</w:t>
        </w:r>
      </w:hyperlink>
      <w:r>
        <w:rPr>
          <w:rStyle w:val="any"/>
          <w:color w:val="000000"/>
        </w:rPr>
        <w:t xml:space="preserve"> </w:t>
      </w:r>
      <w:hyperlink r:id="rId184" w:history="1">
        <w:r>
          <w:rPr>
            <w:rStyle w:val="bocontentwrapperbocenteranotbeck-btn"/>
            <w:color w:val="000000"/>
            <w:u w:val="single" w:color="000000"/>
          </w:rPr>
          <w:t>II</w:t>
        </w:r>
      </w:hyperlink>
      <w:r>
        <w:rPr>
          <w:rStyle w:val="any"/>
          <w:color w:val="000000"/>
        </w:rPr>
        <w:t xml:space="preserve">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5B575B39" w14:textId="77777777">
        <w:tc>
          <w:tcPr>
            <w:tcW w:w="4000" w:type="pct"/>
            <w:shd w:val="clear" w:color="auto" w:fill="F0F0F0"/>
            <w:tcMar>
              <w:top w:w="0" w:type="dxa"/>
              <w:left w:w="0" w:type="dxa"/>
              <w:bottom w:w="0" w:type="dxa"/>
              <w:right w:w="0" w:type="dxa"/>
            </w:tcMar>
            <w:vAlign w:val="center"/>
            <w:hideMark/>
          </w:tcPr>
          <w:p w14:paraId="5ECF1C22"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4A773C76"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889</w:t>
            </w:r>
          </w:p>
        </w:tc>
      </w:tr>
    </w:tbl>
    <w:p w14:paraId="41538A2D" w14:textId="77777777" w:rsidR="00CF061C" w:rsidRDefault="00000000">
      <w:pPr>
        <w:pStyle w:val="divbocontentwrapperbocenterpParagraph"/>
        <w:spacing w:after="120" w:line="360" w:lineRule="auto"/>
        <w:ind w:left="600" w:right="150"/>
        <w:jc w:val="both"/>
        <w:rPr>
          <w:color w:val="000000"/>
        </w:rPr>
      </w:pPr>
      <w:r>
        <w:rPr>
          <w:rStyle w:val="any"/>
          <w:color w:val="000000"/>
        </w:rPr>
        <w:t>BGB</w:t>
      </w:r>
      <w:r>
        <w:rPr>
          <w:color w:val="000000"/>
        </w:rPr>
        <w:t xml:space="preserve"> iVm </w:t>
      </w:r>
      <w:r>
        <w:rPr>
          <w:rStyle w:val="any"/>
          <w:color w:val="000000"/>
        </w:rPr>
        <w:t xml:space="preserve">§ </w:t>
      </w:r>
      <w:hyperlink r:id="rId185" w:history="1">
        <w:r>
          <w:rPr>
            <w:rStyle w:val="bocontentwrapperbocenteranotbeck-btn"/>
            <w:color w:val="000000"/>
            <w:u w:val="single" w:color="000000"/>
          </w:rPr>
          <w:t>15a</w:t>
        </w:r>
      </w:hyperlink>
      <w:r>
        <w:rPr>
          <w:rStyle w:val="any"/>
          <w:color w:val="000000"/>
        </w:rPr>
        <w:t xml:space="preserve"> InsO</w:t>
      </w:r>
      <w:r>
        <w:rPr>
          <w:color w:val="000000"/>
        </w:rPr>
        <w:t xml:space="preserve"> grundsätzlich auch für Schäden von Neugläubigern, die erst nach seinem Ausscheiden in vertragliche Beziehungen zu der Gesellschaft getreten sind, wenn die durch seine Antragspflichtverletzung geschaffene verschleppungsbedingte Gefahrenlage im Zeitpunkt der Schadensentstehung noch fortbesteht.</w:t>
      </w:r>
    </w:p>
    <w:p w14:paraId="3CE8AC7A" w14:textId="77777777" w:rsidR="00CF061C" w:rsidRDefault="00000000">
      <w:pPr>
        <w:pStyle w:val="divbocontentwrapperbocenterpParagraph"/>
        <w:spacing w:after="120" w:line="360" w:lineRule="auto"/>
        <w:ind w:left="600" w:right="150"/>
        <w:jc w:val="both"/>
        <w:rPr>
          <w:color w:val="000000"/>
        </w:rPr>
      </w:pPr>
      <w:bookmarkStart w:id="42" w:name="Y-300-Z-NZI-B-2025-S-885-RN-50"/>
      <w:bookmarkEnd w:id="42"/>
      <w:r>
        <w:rPr>
          <w:rStyle w:val="printcontentemrandnr"/>
          <w:rFonts w:ascii="Verdana" w:eastAsia="Verdana" w:hAnsi="Verdana" w:cs="Verdana"/>
          <w:b/>
          <w:bCs/>
          <w:color w:val="000000"/>
          <w:sz w:val="19"/>
          <w:szCs w:val="19"/>
        </w:rPr>
        <w:t>50</w:t>
      </w:r>
      <w:r>
        <w:rPr>
          <w:color w:val="000000"/>
        </w:rPr>
        <w:t xml:space="preserve">Dagegen macht die Bekl. ohne Erfolg geltend, nach der gesetzlichen Regelung des </w:t>
      </w:r>
      <w:r>
        <w:rPr>
          <w:rStyle w:val="any"/>
          <w:color w:val="000000"/>
        </w:rPr>
        <w:t xml:space="preserve">§ </w:t>
      </w:r>
      <w:hyperlink r:id="rId186" w:history="1">
        <w:r>
          <w:rPr>
            <w:rStyle w:val="bocontentwrapperbocenteranotbeck-btn"/>
            <w:color w:val="000000"/>
            <w:u w:val="single" w:color="000000"/>
          </w:rPr>
          <w:t>15a</w:t>
        </w:r>
      </w:hyperlink>
      <w:r>
        <w:rPr>
          <w:rStyle w:val="any"/>
          <w:color w:val="000000"/>
        </w:rPr>
        <w:t xml:space="preserve"> InsO</w:t>
      </w:r>
      <w:r>
        <w:rPr>
          <w:color w:val="000000"/>
        </w:rPr>
        <w:t xml:space="preserve"> werde die Verantwortlichkeit für die Vermeidung des Insolvenzverschleppungsschadens allein dem neuen Organvertreter zugewiesen, womit zugleich eine Haftung des vormaligen Geschäftsführers ausgeschlossen sei. Dass den neuen Geschäftsführer gegenüber Neugläubigern ebenfalls eine Haftung nach </w:t>
      </w:r>
      <w:r>
        <w:rPr>
          <w:rStyle w:val="any"/>
          <w:color w:val="000000"/>
        </w:rPr>
        <w:t xml:space="preserve">§ </w:t>
      </w:r>
      <w:hyperlink r:id="rId187" w:history="1">
        <w:r>
          <w:rPr>
            <w:rStyle w:val="bocontentwrapperbocenteranotbeck-btn"/>
            <w:color w:val="000000"/>
            <w:u w:val="single" w:color="000000"/>
          </w:rPr>
          <w:t>823</w:t>
        </w:r>
      </w:hyperlink>
      <w:r>
        <w:rPr>
          <w:rStyle w:val="any"/>
          <w:color w:val="000000"/>
        </w:rPr>
        <w:t xml:space="preserve"> </w:t>
      </w:r>
      <w:hyperlink r:id="rId188"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189" w:history="1">
        <w:r>
          <w:rPr>
            <w:rStyle w:val="bocontentwrapperbocenteranotbeck-btn"/>
            <w:color w:val="000000"/>
            <w:u w:val="single" w:color="000000"/>
          </w:rPr>
          <w:t>15a</w:t>
        </w:r>
      </w:hyperlink>
      <w:r>
        <w:rPr>
          <w:rStyle w:val="any"/>
          <w:color w:val="000000"/>
        </w:rPr>
        <w:t xml:space="preserve"> InsO</w:t>
      </w:r>
      <w:r>
        <w:rPr>
          <w:color w:val="000000"/>
        </w:rPr>
        <w:t xml:space="preserve"> wegen Verletzung der ihm ab seinem Amtsantritt obliegenden Antragspflicht treffen mag, lässt die Mitursächlichkeit der ursprünglichen Antragspflichtverletzung durch den ausgeschiedenen Geschäftsführer und den damit bei Fortbestehen der bereits dadurch geschaffenen Gefahrenlage bestehenden Zurechnungszusammenhang nicht entfallen (</w:t>
      </w:r>
      <w:r>
        <w:rPr>
          <w:rStyle w:val="any"/>
          <w:color w:val="000000"/>
        </w:rPr>
        <w:t xml:space="preserve">BGHZ 241, </w:t>
      </w:r>
      <w:hyperlink r:id="rId190" w:history="1">
        <w:r>
          <w:rPr>
            <w:rStyle w:val="bocontentwrapperbocenteranotbeck-btn"/>
            <w:color w:val="000000"/>
            <w:u w:val="single" w:color="000000"/>
          </w:rPr>
          <w:t>127</w:t>
        </w:r>
      </w:hyperlink>
      <w:r>
        <w:rPr>
          <w:rStyle w:val="any"/>
          <w:color w:val="000000"/>
        </w:rPr>
        <w:t xml:space="preserve"> Rn. </w:t>
      </w:r>
      <w:hyperlink r:id="rId191" w:history="1">
        <w:r>
          <w:rPr>
            <w:rStyle w:val="bocontentwrapperbocenteranotbeck-btn"/>
            <w:color w:val="000000"/>
            <w:u w:val="single" w:color="000000"/>
          </w:rPr>
          <w:t>84</w:t>
        </w:r>
      </w:hyperlink>
      <w:r>
        <w:rPr>
          <w:color w:val="000000"/>
        </w:rPr>
        <w:t xml:space="preserve"> = </w:t>
      </w:r>
      <w:r>
        <w:rPr>
          <w:rStyle w:val="any"/>
          <w:color w:val="000000"/>
        </w:rPr>
        <w:t xml:space="preserve">NZI 2024, </w:t>
      </w:r>
      <w:hyperlink r:id="rId192" w:history="1">
        <w:r>
          <w:rPr>
            <w:rStyle w:val="bocontentwrapperbocenteranotbeck-btn"/>
            <w:color w:val="000000"/>
            <w:u w:val="single" w:color="000000"/>
          </w:rPr>
          <w:t>840</w:t>
        </w:r>
      </w:hyperlink>
      <w:r>
        <w:rPr>
          <w:color w:val="000000"/>
        </w:rPr>
        <w:t>).</w:t>
      </w:r>
    </w:p>
    <w:p w14:paraId="452D8CC7" w14:textId="77777777" w:rsidR="00CF061C" w:rsidRDefault="00000000">
      <w:pPr>
        <w:pStyle w:val="divbocontentwrapperbocenterpParagraph"/>
        <w:spacing w:after="120" w:line="360" w:lineRule="auto"/>
        <w:ind w:left="600" w:right="150"/>
        <w:jc w:val="both"/>
        <w:rPr>
          <w:color w:val="000000"/>
        </w:rPr>
      </w:pPr>
      <w:bookmarkStart w:id="43" w:name="Y-300-Z-NZI-B-2025-S-885-RN-51"/>
      <w:bookmarkEnd w:id="43"/>
      <w:r>
        <w:rPr>
          <w:rStyle w:val="printcontentemrandnr"/>
          <w:rFonts w:ascii="Verdana" w:eastAsia="Verdana" w:hAnsi="Verdana" w:cs="Verdana"/>
          <w:b/>
          <w:bCs/>
          <w:color w:val="000000"/>
          <w:sz w:val="19"/>
          <w:szCs w:val="19"/>
        </w:rPr>
        <w:t>51</w:t>
      </w:r>
      <w:r>
        <w:rPr>
          <w:color w:val="000000"/>
        </w:rPr>
        <w:t xml:space="preserve">Die haftungsrechtliche Zurechnung wird nicht schlechthin dadurch ausgeschlossen, dass außer der in Rede stehenden Verletzungshandlung noch weitere Ursachen zur Rechtsgutsverletzung beigetragen haben. Dies gilt auch dann, wenn die Rechtsgutsverletzung erst durch das (rechtmäßige oder rechtswidrige) Dazwischentreten eines Dritten verursacht wird. Der Zurechnungszusammenhang fehlt in derartigen Fällen zwar, wenn die zweite Ursache – das Eingreifen des Dritten – den Geschehensablauf so verändert hat, dass die Rechtsgutsverletzung bei wertender Betrachtung nur noch in einem „äußerlichen“, gleichsam „zufälligen“ Zusammenhang zu der durch die erste Ursache geschaffenen Gefahrenlage steht. Wirken in der </w:t>
      </w:r>
      <w:r>
        <w:rPr>
          <w:color w:val="000000"/>
        </w:rPr>
        <w:lastRenderedPageBreak/>
        <w:t xml:space="preserve">Rechtsgutsverletzung dagegen die besonderen Gefahren fort, die durch die erste Ursache gesetzt wurden, kann der haftungsrechtliche Zurechnungszusammenhang nicht verneint werden (vgl. </w:t>
      </w:r>
      <w:r>
        <w:rPr>
          <w:rStyle w:val="any"/>
          <w:color w:val="000000"/>
        </w:rPr>
        <w:t xml:space="preserve">BGHZ 199, </w:t>
      </w:r>
      <w:hyperlink r:id="rId193" w:history="1">
        <w:r>
          <w:rPr>
            <w:rStyle w:val="bocontentwrapperbocenteranotbeck-btn"/>
            <w:color w:val="000000"/>
            <w:u w:val="single" w:color="000000"/>
          </w:rPr>
          <w:t>237</w:t>
        </w:r>
      </w:hyperlink>
      <w:r>
        <w:rPr>
          <w:rStyle w:val="any"/>
          <w:color w:val="000000"/>
        </w:rPr>
        <w:t xml:space="preserve"> Rn. </w:t>
      </w:r>
      <w:hyperlink r:id="rId194" w:history="1">
        <w:r>
          <w:rPr>
            <w:rStyle w:val="bocontentwrapperbocenteranotbeck-btn"/>
            <w:color w:val="000000"/>
            <w:u w:val="single" w:color="000000"/>
          </w:rPr>
          <w:t>55</w:t>
        </w:r>
      </w:hyperlink>
      <w:r>
        <w:rPr>
          <w:color w:val="000000"/>
        </w:rPr>
        <w:t xml:space="preserve"> = </w:t>
      </w:r>
      <w:r>
        <w:rPr>
          <w:rStyle w:val="any"/>
          <w:color w:val="000000"/>
        </w:rPr>
        <w:t xml:space="preserve">NJW 2014, </w:t>
      </w:r>
      <w:hyperlink r:id="rId195" w:history="1">
        <w:r>
          <w:rPr>
            <w:rStyle w:val="bocontentwrapperbocenteranotbeck-btn"/>
            <w:color w:val="000000"/>
            <w:u w:val="single" w:color="000000"/>
          </w:rPr>
          <w:t>2029</w:t>
        </w:r>
      </w:hyperlink>
      <w:r>
        <w:rPr>
          <w:color w:val="000000"/>
        </w:rPr>
        <w:t xml:space="preserve"> mwN). Insoweit ist eine wertende Betrachtung dahingehend geboten, ob das vom Erstschädiger geschaffene Risiko schon gänzlich abgeklungen ist (vgl. BGH </w:t>
      </w:r>
      <w:r>
        <w:rPr>
          <w:rStyle w:val="any"/>
          <w:color w:val="000000"/>
        </w:rPr>
        <w:t xml:space="preserve">NJW 2019, </w:t>
      </w:r>
      <w:hyperlink r:id="rId196" w:history="1">
        <w:r>
          <w:rPr>
            <w:rStyle w:val="bocontentwrapperbocenteranotbeck-btn"/>
            <w:color w:val="000000"/>
            <w:u w:val="single" w:color="000000"/>
          </w:rPr>
          <w:t>2227</w:t>
        </w:r>
      </w:hyperlink>
      <w:r>
        <w:rPr>
          <w:rStyle w:val="any"/>
          <w:color w:val="000000"/>
        </w:rPr>
        <w:t xml:space="preserve"> Rn. </w:t>
      </w:r>
      <w:hyperlink r:id="rId197" w:history="1">
        <w:r>
          <w:rPr>
            <w:rStyle w:val="bocontentwrapperbocenteranotbeck-btn"/>
            <w:color w:val="000000"/>
            <w:u w:val="single" w:color="000000"/>
          </w:rPr>
          <w:t>12</w:t>
        </w:r>
      </w:hyperlink>
      <w:r>
        <w:rPr>
          <w:color w:val="000000"/>
        </w:rPr>
        <w:t xml:space="preserve">). Der Schädiger kann sich daher regelmäßig nicht damit entlasten, ein anderer habe die von ihm geschaffene Gefahrenlage pflichtwidrig nicht beseitigt (vgl. BGH </w:t>
      </w:r>
      <w:r>
        <w:rPr>
          <w:rStyle w:val="any"/>
          <w:color w:val="000000"/>
        </w:rPr>
        <w:t xml:space="preserve">NJW 1982, </w:t>
      </w:r>
      <w:hyperlink r:id="rId198" w:history="1">
        <w:r>
          <w:rPr>
            <w:rStyle w:val="bocontentwrapperbocenteranotbeck-btn"/>
            <w:color w:val="000000"/>
            <w:u w:val="single" w:color="000000"/>
          </w:rPr>
          <w:t>2669</w:t>
        </w:r>
      </w:hyperlink>
      <w:r>
        <w:rPr>
          <w:color w:val="000000"/>
        </w:rPr>
        <w:t xml:space="preserve">; </w:t>
      </w:r>
      <w:r>
        <w:rPr>
          <w:rStyle w:val="any"/>
          <w:color w:val="000000"/>
        </w:rPr>
        <w:t xml:space="preserve">NJW 2019, </w:t>
      </w:r>
      <w:hyperlink r:id="rId199" w:history="1">
        <w:r>
          <w:rPr>
            <w:rStyle w:val="bocontentwrapperbocenteranotbeck-btn"/>
            <w:color w:val="000000"/>
            <w:u w:val="single" w:color="000000"/>
          </w:rPr>
          <w:t>2227</w:t>
        </w:r>
      </w:hyperlink>
      <w:r>
        <w:rPr>
          <w:rStyle w:val="any"/>
          <w:color w:val="000000"/>
        </w:rPr>
        <w:t xml:space="preserve"> Rn. </w:t>
      </w:r>
      <w:hyperlink r:id="rId200" w:history="1">
        <w:r>
          <w:rPr>
            <w:rStyle w:val="bocontentwrapperbocenteranotbeck-btn"/>
            <w:color w:val="000000"/>
            <w:u w:val="single" w:color="000000"/>
          </w:rPr>
          <w:t>12</w:t>
        </w:r>
      </w:hyperlink>
      <w:r>
        <w:rPr>
          <w:color w:val="000000"/>
        </w:rPr>
        <w:t xml:space="preserve">). Der bloße Wechsel in der Person des Geschäftsführers als solcher stellt daher keine den Zurechnungszusammenhang unterbrechende Zäsur dar. Die Frage, ob einer der Geschäftsführer dem Schaden bei wertender Betrachtung näher steht als der andere, ist nur für ihren Ausgleich im Innenverhältnis von Bedeutung (vgl. </w:t>
      </w:r>
      <w:r>
        <w:rPr>
          <w:rStyle w:val="any"/>
          <w:color w:val="000000"/>
        </w:rPr>
        <w:t xml:space="preserve">BGHZ 241, </w:t>
      </w:r>
      <w:hyperlink r:id="rId201" w:history="1">
        <w:r>
          <w:rPr>
            <w:rStyle w:val="bocontentwrapperbocenteranotbeck-btn"/>
            <w:color w:val="000000"/>
            <w:u w:val="single" w:color="000000"/>
          </w:rPr>
          <w:t>127</w:t>
        </w:r>
      </w:hyperlink>
      <w:r>
        <w:rPr>
          <w:rStyle w:val="any"/>
          <w:color w:val="000000"/>
        </w:rPr>
        <w:t xml:space="preserve"> Rn. </w:t>
      </w:r>
      <w:hyperlink r:id="rId202" w:history="1">
        <w:r>
          <w:rPr>
            <w:rStyle w:val="bocontentwrapperbocenteranotbeck-btn"/>
            <w:color w:val="000000"/>
            <w:u w:val="single" w:color="000000"/>
          </w:rPr>
          <w:t>85</w:t>
        </w:r>
      </w:hyperlink>
      <w:r>
        <w:rPr>
          <w:color w:val="000000"/>
        </w:rPr>
        <w:t xml:space="preserve"> = </w:t>
      </w:r>
      <w:r>
        <w:rPr>
          <w:rStyle w:val="any"/>
          <w:color w:val="000000"/>
        </w:rPr>
        <w:t xml:space="preserve">NZI 2024, </w:t>
      </w:r>
      <w:hyperlink r:id="rId203" w:history="1">
        <w:r>
          <w:rPr>
            <w:rStyle w:val="bocontentwrapperbocenteranotbeck-btn"/>
            <w:color w:val="000000"/>
            <w:u w:val="single" w:color="000000"/>
          </w:rPr>
          <w:t>840</w:t>
        </w:r>
      </w:hyperlink>
      <w:r>
        <w:rPr>
          <w:color w:val="000000"/>
        </w:rPr>
        <w:t>).</w:t>
      </w:r>
    </w:p>
    <w:p w14:paraId="7F7E7A91" w14:textId="77777777" w:rsidR="00CF061C" w:rsidRDefault="00000000">
      <w:pPr>
        <w:pStyle w:val="divbocontentwrapperbocenterpParagraph"/>
        <w:spacing w:after="120" w:line="360" w:lineRule="auto"/>
        <w:ind w:left="600" w:right="150"/>
        <w:jc w:val="both"/>
        <w:rPr>
          <w:color w:val="000000"/>
        </w:rPr>
      </w:pPr>
      <w:bookmarkStart w:id="44" w:name="Y-300-Z-NZI-B-2025-S-885-RN-52"/>
      <w:bookmarkEnd w:id="44"/>
      <w:r>
        <w:rPr>
          <w:rStyle w:val="printcontentemrandnr"/>
          <w:rFonts w:ascii="Verdana" w:eastAsia="Verdana" w:hAnsi="Verdana" w:cs="Verdana"/>
          <w:b/>
          <w:bCs/>
          <w:color w:val="000000"/>
          <w:sz w:val="19"/>
          <w:szCs w:val="19"/>
        </w:rPr>
        <w:t>52</w:t>
      </w:r>
      <w:r>
        <w:rPr>
          <w:color w:val="000000"/>
        </w:rPr>
        <w:t xml:space="preserve">Eine Unterbrechung des Zurechnungszusammenhangs kommt danach nur in Betracht, wenn das durch die Pflichtverletzung des ausgeschiedenen Geschäftsführers geschaffene Risiko sich bei wertender Betrachtung bei Abschluss des zum Schaden des Neugläubigers führenden Vertrags nicht mehr auswirkt. Das ist etwa der Fall, wenn die Gesellschaft sich nach der Antragspflichtverletzung des ausgeschiedenen Geschäftsführers zunächst wieder nachhaltig erholt hatte und erst nach seinem Ausscheiden wieder insolvenzreif geworden war, weil dann die durch seine Antragspflichtverletzung begründete Gefahrenlage bei Abschluss der späteren Verträge bereits wieder beendet war (vgl. </w:t>
      </w:r>
      <w:r>
        <w:rPr>
          <w:rStyle w:val="any"/>
          <w:color w:val="000000"/>
        </w:rPr>
        <w:t xml:space="preserve">BGHZ 164, </w:t>
      </w:r>
      <w:hyperlink r:id="rId204" w:history="1">
        <w:r>
          <w:rPr>
            <w:rStyle w:val="bocontentwrapperbocenteranotbeck-btn"/>
            <w:color w:val="000000"/>
            <w:u w:val="single" w:color="000000"/>
          </w:rPr>
          <w:t>50</w:t>
        </w:r>
      </w:hyperlink>
      <w:r>
        <w:rPr>
          <w:rStyle w:val="any"/>
          <w:color w:val="000000"/>
        </w:rPr>
        <w:t xml:space="preserve"> (</w:t>
      </w:r>
      <w:hyperlink r:id="rId205" w:history="1">
        <w:r>
          <w:rPr>
            <w:rStyle w:val="bocontentwrapperbocenteranotbeck-btn"/>
            <w:color w:val="000000"/>
            <w:u w:val="single" w:color="000000"/>
          </w:rPr>
          <w:t>56</w:t>
        </w:r>
      </w:hyperlink>
      <w:r>
        <w:rPr>
          <w:rStyle w:val="any"/>
          <w:color w:val="000000"/>
        </w:rPr>
        <w:t xml:space="preserve">, </w:t>
      </w:r>
      <w:hyperlink r:id="rId206" w:history="1">
        <w:r>
          <w:rPr>
            <w:rStyle w:val="bocontentwrapperbocenteranotbeck-btn"/>
            <w:color w:val="000000"/>
            <w:u w:val="single" w:color="000000"/>
          </w:rPr>
          <w:t>58</w:t>
        </w:r>
      </w:hyperlink>
      <w:r>
        <w:rPr>
          <w:rStyle w:val="any"/>
          <w:color w:val="000000"/>
        </w:rPr>
        <w:t>)</w:t>
      </w:r>
      <w:r>
        <w:rPr>
          <w:color w:val="000000"/>
        </w:rPr>
        <w:t xml:space="preserve"> = </w:t>
      </w:r>
      <w:r>
        <w:rPr>
          <w:rStyle w:val="any"/>
          <w:color w:val="000000"/>
        </w:rPr>
        <w:t xml:space="preserve">NZI 2006, </w:t>
      </w:r>
      <w:hyperlink r:id="rId207" w:history="1">
        <w:r>
          <w:rPr>
            <w:rStyle w:val="bocontentwrapperbocenteranotbeck-btn"/>
            <w:color w:val="000000"/>
            <w:u w:val="single" w:color="000000"/>
          </w:rPr>
          <w:t>58</w:t>
        </w:r>
      </w:hyperlink>
      <w:r>
        <w:rPr>
          <w:color w:val="000000"/>
        </w:rPr>
        <w:t xml:space="preserve">; </w:t>
      </w:r>
      <w:r>
        <w:rPr>
          <w:rStyle w:val="any"/>
          <w:color w:val="000000"/>
        </w:rPr>
        <w:t xml:space="preserve">BGHZ 241, </w:t>
      </w:r>
      <w:hyperlink r:id="rId208" w:history="1">
        <w:r>
          <w:rPr>
            <w:rStyle w:val="bocontentwrapperbocenteranotbeck-btn"/>
            <w:color w:val="000000"/>
            <w:u w:val="single" w:color="000000"/>
          </w:rPr>
          <w:t>127</w:t>
        </w:r>
      </w:hyperlink>
      <w:r>
        <w:rPr>
          <w:rStyle w:val="any"/>
          <w:color w:val="000000"/>
        </w:rPr>
        <w:t xml:space="preserve"> Rn. </w:t>
      </w:r>
      <w:hyperlink r:id="rId209" w:history="1">
        <w:r>
          <w:rPr>
            <w:rStyle w:val="bocontentwrapperbocenteranotbeck-btn"/>
            <w:color w:val="000000"/>
            <w:u w:val="single" w:color="000000"/>
          </w:rPr>
          <w:t>86</w:t>
        </w:r>
      </w:hyperlink>
      <w:r>
        <w:rPr>
          <w:color w:val="000000"/>
        </w:rPr>
        <w:t xml:space="preserve"> = </w:t>
      </w:r>
      <w:r>
        <w:rPr>
          <w:rStyle w:val="any"/>
          <w:color w:val="000000"/>
        </w:rPr>
        <w:t xml:space="preserve">NZI 2024, </w:t>
      </w:r>
      <w:hyperlink r:id="rId210" w:history="1">
        <w:r>
          <w:rPr>
            <w:rStyle w:val="bocontentwrapperbocenteranotbeck-btn"/>
            <w:color w:val="000000"/>
            <w:u w:val="single" w:color="000000"/>
          </w:rPr>
          <w:t>840</w:t>
        </w:r>
      </w:hyperlink>
      <w:r>
        <w:rPr>
          <w:color w:val="000000"/>
        </w:rPr>
        <w:t>).</w:t>
      </w:r>
    </w:p>
    <w:p w14:paraId="3231096F" w14:textId="77777777" w:rsidR="00CF061C" w:rsidRDefault="00000000">
      <w:pPr>
        <w:pStyle w:val="divbocontentwrapperbocenterpParagraph"/>
        <w:spacing w:after="120" w:line="360" w:lineRule="auto"/>
        <w:ind w:left="600" w:right="150"/>
        <w:jc w:val="both"/>
        <w:rPr>
          <w:color w:val="000000"/>
        </w:rPr>
      </w:pPr>
      <w:bookmarkStart w:id="45" w:name="Y-300-Z-NZI-B-2025-S-885-RN-53"/>
      <w:bookmarkEnd w:id="45"/>
      <w:r>
        <w:rPr>
          <w:rStyle w:val="printcontentemrandnr"/>
          <w:rFonts w:ascii="Verdana" w:eastAsia="Verdana" w:hAnsi="Verdana" w:cs="Verdana"/>
          <w:b/>
          <w:bCs/>
          <w:color w:val="000000"/>
          <w:sz w:val="19"/>
          <w:szCs w:val="19"/>
        </w:rPr>
        <w:t>53</w:t>
      </w:r>
      <w:r>
        <w:rPr>
          <w:color w:val="000000"/>
        </w:rPr>
        <w:t xml:space="preserve">Inwieweit noch andere Möglichkeiten einer Unterbrechung des Zurechnungszusammenhangs bestehen, etwa durch Einwirken auf den nachfolgenden Geschäftsführer, die im Schrifttum unter dem Gesichtspunkt fortwirkender Pflichten nach Beendigung der Organstellung diskutiert werden (vgl. Andres/Leithaus/Leithaus InsO, 4. Aufl., InsO § 15a Rn. 4; </w:t>
      </w:r>
      <w:r>
        <w:rPr>
          <w:rStyle w:val="any"/>
          <w:color w:val="000000"/>
        </w:rPr>
        <w:t xml:space="preserve">BeckOK InsR/Wolfer, 1.2.2025, InsO § 15a Rn. </w:t>
      </w:r>
      <w:hyperlink r:id="rId211" w:history="1">
        <w:r>
          <w:rPr>
            <w:rStyle w:val="bocontentwrapperbocenteranotbeck-btn"/>
            <w:color w:val="000000"/>
            <w:u w:val="single" w:color="000000"/>
          </w:rPr>
          <w:t>8a</w:t>
        </w:r>
      </w:hyperlink>
      <w:r>
        <w:rPr>
          <w:color w:val="000000"/>
        </w:rPr>
        <w:t xml:space="preserve">; Kübler/Prütting/Bork/Jacoby/Steffek InsO, 3/2025, InsO § 15a Rn. 30; </w:t>
      </w:r>
      <w:r>
        <w:rPr>
          <w:rStyle w:val="any"/>
          <w:color w:val="000000"/>
        </w:rPr>
        <w:t xml:space="preserve">MüKoInsO/Klöhn, 4. Aufl., InsO § 15a Rn. </w:t>
      </w:r>
      <w:hyperlink r:id="rId212" w:history="1">
        <w:r>
          <w:rPr>
            <w:rStyle w:val="bocontentwrapperbocenteranotbeck-btn"/>
            <w:color w:val="000000"/>
            <w:u w:val="single" w:color="000000"/>
          </w:rPr>
          <w:t>73</w:t>
        </w:r>
      </w:hyperlink>
      <w:r>
        <w:rPr>
          <w:rStyle w:val="any"/>
          <w:color w:val="000000"/>
        </w:rPr>
        <w:t> f.</w:t>
      </w:r>
      <w:r>
        <w:rPr>
          <w:color w:val="000000"/>
        </w:rPr>
        <w:t xml:space="preserve">; Altmeppen GmbHG, 11. Aufl., GmbHG Anh. § 60 Rn. 112; </w:t>
      </w:r>
      <w:r>
        <w:rPr>
          <w:rStyle w:val="any"/>
          <w:color w:val="000000"/>
        </w:rPr>
        <w:t xml:space="preserve">BeckOK GmbHG/Mätzig, 1.2.2025, GmbHG § 64 Rn. </w:t>
      </w:r>
      <w:hyperlink r:id="rId213" w:history="1">
        <w:r>
          <w:rPr>
            <w:rStyle w:val="bocontentwrapperbocenteranotbeck-btn"/>
            <w:color w:val="000000"/>
            <w:u w:val="single" w:color="000000"/>
          </w:rPr>
          <w:t>102</w:t>
        </w:r>
      </w:hyperlink>
      <w:r>
        <w:rPr>
          <w:color w:val="000000"/>
        </w:rPr>
        <w:t xml:space="preserve">; Habersack/Casper/Löbbe/Casper GmbHG, 3. Aufl., GmbHG § 64 Rn. 51; Rowedder/Pentz/Schneider/M. Schmidt-Leithoff GmbHG, 7. Aufl., GmbHG Anh. II § 60 Rn. 88; </w:t>
      </w:r>
      <w:r>
        <w:rPr>
          <w:rStyle w:val="any"/>
          <w:color w:val="000000"/>
        </w:rPr>
        <w:t xml:space="preserve">Wicke GmbHG, 5. Aufl., GmbHG Anh. § 60 Rn. </w:t>
      </w:r>
      <w:hyperlink r:id="rId214" w:history="1">
        <w:r>
          <w:rPr>
            <w:rStyle w:val="bocontentwrapperbocenteranotbeck-btn"/>
            <w:color w:val="000000"/>
            <w:u w:val="single" w:color="000000"/>
          </w:rPr>
          <w:t>12</w:t>
        </w:r>
      </w:hyperlink>
      <w:r>
        <w:rPr>
          <w:color w:val="000000"/>
        </w:rPr>
        <w:t xml:space="preserve">; differenzierend Scholz/Bitter GmbHG, 13. Aufl., 9/2024, InsO § 15a Rn. 35, 150; Lutter/Hommelhoff/Kleindiek GmbHG, 21. Aufl., GmbHG § 15a Rn. 124; Uhlenbruck/Hirte InsO, 15. Aufl., InsO § 15a Rn. 12; </w:t>
      </w:r>
      <w:r>
        <w:rPr>
          <w:rStyle w:val="any"/>
          <w:color w:val="000000"/>
        </w:rPr>
        <w:t>HK-InsO/Kleindiek/Ransiek, 11. Aufl., InsO § 15a Rn. 45</w:t>
      </w:r>
      <w:r>
        <w:rPr>
          <w:color w:val="000000"/>
        </w:rPr>
        <w:t xml:space="preserve">; Gehrlein/Born/Simon/Gehrlein GmbHG, 6. Aufl., Vorb. zu </w:t>
      </w:r>
      <w:r>
        <w:rPr>
          <w:rStyle w:val="any"/>
          <w:color w:val="000000"/>
        </w:rPr>
        <w:t>§ 64 GmbHG</w:t>
      </w:r>
      <w:r>
        <w:rPr>
          <w:color w:val="000000"/>
        </w:rPr>
        <w:t xml:space="preserve"> aF Rn. 229; vgl. </w:t>
      </w:r>
      <w:r>
        <w:rPr>
          <w:color w:val="000000"/>
        </w:rPr>
        <w:lastRenderedPageBreak/>
        <w:t xml:space="preserve">auch </w:t>
      </w:r>
      <w:r>
        <w:rPr>
          <w:rStyle w:val="any"/>
          <w:color w:val="000000"/>
        </w:rPr>
        <w:t xml:space="preserve">BGHSt 2, </w:t>
      </w:r>
      <w:hyperlink r:id="rId215"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216" w:history="1">
        <w:r>
          <w:rPr>
            <w:rStyle w:val="bocontentwrapperbocenteranotbeck-btn"/>
            <w:color w:val="000000"/>
            <w:u w:val="single" w:color="000000"/>
          </w:rPr>
          <w:t>103037</w:t>
        </w:r>
      </w:hyperlink>
      <w:r>
        <w:rPr>
          <w:color w:val="000000"/>
        </w:rPr>
        <w:t xml:space="preserve">), bedarf hier keiner Entscheidung. Allein der zeitliche Abstand zwischen der Beendigung der Organstellung des Geschäftsführers und dem schädigenden Vertragsschluss des Neugläubigers mit der Gesellschaft reicht jedenfalls bei Fortbestehen der ursprünglich geschaffenen Gefahrenlage für eine Unterbrechung des Zurechnungszusammenhangs in der Regel nicht aus (vgl. BGH </w:t>
      </w:r>
      <w:r>
        <w:rPr>
          <w:rStyle w:val="any"/>
          <w:color w:val="000000"/>
        </w:rPr>
        <w:t xml:space="preserve">NJW 1982, </w:t>
      </w:r>
      <w:hyperlink r:id="rId217" w:history="1">
        <w:r>
          <w:rPr>
            <w:rStyle w:val="bocontentwrapperbocenteranotbeck-btn"/>
            <w:color w:val="000000"/>
            <w:u w:val="single" w:color="000000"/>
          </w:rPr>
          <w:t>2669</w:t>
        </w:r>
      </w:hyperlink>
      <w:r>
        <w:rPr>
          <w:color w:val="000000"/>
        </w:rPr>
        <w:t xml:space="preserve">; </w:t>
      </w:r>
      <w:r>
        <w:rPr>
          <w:rStyle w:val="any"/>
          <w:color w:val="000000"/>
        </w:rPr>
        <w:t xml:space="preserve">NJW 2019, </w:t>
      </w:r>
      <w:hyperlink r:id="rId218" w:history="1">
        <w:r>
          <w:rPr>
            <w:rStyle w:val="bocontentwrapperbocenteranotbeck-btn"/>
            <w:color w:val="000000"/>
            <w:u w:val="single" w:color="000000"/>
          </w:rPr>
          <w:t>2227</w:t>
        </w:r>
      </w:hyperlink>
      <w:r>
        <w:rPr>
          <w:rStyle w:val="any"/>
          <w:color w:val="000000"/>
        </w:rPr>
        <w:t xml:space="preserve"> Rn. </w:t>
      </w:r>
      <w:hyperlink r:id="rId219" w:history="1">
        <w:r>
          <w:rPr>
            <w:rStyle w:val="bocontentwrapperbocenteranotbeck-btn"/>
            <w:color w:val="000000"/>
            <w:u w:val="single" w:color="000000"/>
          </w:rPr>
          <w:t>9</w:t>
        </w:r>
      </w:hyperlink>
      <w:r>
        <w:rPr>
          <w:color w:val="000000"/>
        </w:rPr>
        <w:t xml:space="preserve">; </w:t>
      </w:r>
      <w:r>
        <w:rPr>
          <w:rStyle w:val="any"/>
          <w:color w:val="000000"/>
        </w:rPr>
        <w:t xml:space="preserve">BGHZ 241, </w:t>
      </w:r>
      <w:hyperlink r:id="rId220" w:history="1">
        <w:r>
          <w:rPr>
            <w:rStyle w:val="bocontentwrapperbocenteranotbeck-btn"/>
            <w:color w:val="000000"/>
            <w:u w:val="single" w:color="000000"/>
          </w:rPr>
          <w:t>127</w:t>
        </w:r>
      </w:hyperlink>
      <w:r>
        <w:rPr>
          <w:rStyle w:val="any"/>
          <w:color w:val="000000"/>
        </w:rPr>
        <w:t xml:space="preserve"> Rn. </w:t>
      </w:r>
      <w:hyperlink r:id="rId221" w:history="1">
        <w:r>
          <w:rPr>
            <w:rStyle w:val="bocontentwrapperbocenteranotbeck-btn"/>
            <w:color w:val="000000"/>
            <w:u w:val="single" w:color="000000"/>
          </w:rPr>
          <w:t>86</w:t>
        </w:r>
      </w:hyperlink>
      <w:r>
        <w:rPr>
          <w:color w:val="000000"/>
        </w:rPr>
        <w:t xml:space="preserve"> = </w:t>
      </w:r>
      <w:r>
        <w:rPr>
          <w:rStyle w:val="any"/>
          <w:color w:val="000000"/>
        </w:rPr>
        <w:t xml:space="preserve">NZI 2024, </w:t>
      </w:r>
      <w:hyperlink r:id="rId222" w:history="1">
        <w:r>
          <w:rPr>
            <w:rStyle w:val="bocontentwrapperbocenteranotbeck-btn"/>
            <w:color w:val="000000"/>
            <w:u w:val="single" w:color="000000"/>
          </w:rPr>
          <w:t>840</w:t>
        </w:r>
      </w:hyperlink>
      <w:r>
        <w:rPr>
          <w:color w:val="000000"/>
        </w:rPr>
        <w:t>).</w:t>
      </w:r>
    </w:p>
    <w:p w14:paraId="1E43AB70" w14:textId="77777777" w:rsidR="00CF061C" w:rsidRDefault="00000000">
      <w:pPr>
        <w:pStyle w:val="divbocontentwrapperbocenterpParagraph"/>
        <w:spacing w:after="120" w:line="360" w:lineRule="auto"/>
        <w:ind w:left="600" w:right="150"/>
        <w:jc w:val="both"/>
        <w:rPr>
          <w:color w:val="000000"/>
        </w:rPr>
      </w:pPr>
      <w:bookmarkStart w:id="46" w:name="Y-300-Z-NZI-B-2025-S-885-RN-54"/>
      <w:bookmarkEnd w:id="46"/>
      <w:r>
        <w:rPr>
          <w:rStyle w:val="printcontentemrandnr"/>
          <w:rFonts w:ascii="Verdana" w:eastAsia="Verdana" w:hAnsi="Verdana" w:cs="Verdana"/>
          <w:b/>
          <w:bCs/>
          <w:color w:val="000000"/>
          <w:sz w:val="19"/>
          <w:szCs w:val="19"/>
        </w:rPr>
        <w:t>54</w:t>
      </w:r>
      <w:r>
        <w:rPr>
          <w:color w:val="000000"/>
        </w:rPr>
        <w:t>b) Nach diesen Maßstäben ist der Zurechnungszusammenhang zwischen der haftungsbegründenden Insolvenzverschleppung durch den Erblasser und dem Abschluss des Anlagevertrags des Kl. mit der P Gebrauchtcontainer GmbH am 24.11.2016/3.1.2017 zu bejahen.</w:t>
      </w:r>
    </w:p>
    <w:p w14:paraId="25149F70" w14:textId="77777777" w:rsidR="00CF061C" w:rsidRDefault="00000000">
      <w:pPr>
        <w:pStyle w:val="divbocontentwrapperbocenterpParagraph"/>
        <w:spacing w:after="120" w:line="360" w:lineRule="auto"/>
        <w:ind w:left="600" w:right="150"/>
        <w:jc w:val="both"/>
        <w:rPr>
          <w:color w:val="000000"/>
        </w:rPr>
      </w:pPr>
      <w:bookmarkStart w:id="47" w:name="Y-300-Z-NZI-B-2025-S-885-RN-55"/>
      <w:bookmarkEnd w:id="47"/>
      <w:r>
        <w:rPr>
          <w:rStyle w:val="printcontentemrandnr"/>
          <w:rFonts w:ascii="Verdana" w:eastAsia="Verdana" w:hAnsi="Verdana" w:cs="Verdana"/>
          <w:b/>
          <w:bCs/>
          <w:color w:val="000000"/>
          <w:sz w:val="19"/>
          <w:szCs w:val="19"/>
        </w:rPr>
        <w:t>55</w:t>
      </w:r>
      <w:r>
        <w:rPr>
          <w:color w:val="000000"/>
        </w:rPr>
        <w:t>Wie bereits ausgeführt, ist nach den nicht zu beanstandenden Feststellungen des BerGer. davon auszugehen, dass die P Gebrauchtcontainer GmbH spätestens seit dem 1.11.2011, jedenfalls aber vor der ersten Anlage des Kl. im Mai 2013, insolvenzreif war und der Erblasser während seiner Organstellung zumindest fahrlässig gegen seine Insolvenzantragspflicht verstoßen hat. Eine nachhaltige Erholung der Gesellschaft bis zur Abberufung des Erblassers aus dem Amt ist, wie ausgeführt, weder dargetan noch sonst ersichtlich.</w:t>
      </w:r>
    </w:p>
    <w:p w14:paraId="2335448F" w14:textId="77777777" w:rsidR="00CF061C" w:rsidRDefault="00000000">
      <w:pPr>
        <w:pStyle w:val="divbocontentwrapperbocenterpParagraph"/>
        <w:spacing w:after="120" w:line="360" w:lineRule="auto"/>
        <w:ind w:left="600" w:right="150"/>
        <w:jc w:val="both"/>
        <w:rPr>
          <w:color w:val="000000"/>
        </w:rPr>
      </w:pPr>
      <w:bookmarkStart w:id="48" w:name="Y-300-Z-NZI-B-2025-S-885-RN-56"/>
      <w:bookmarkEnd w:id="48"/>
      <w:r>
        <w:rPr>
          <w:rStyle w:val="printcontentemrandnr"/>
          <w:rFonts w:ascii="Verdana" w:eastAsia="Verdana" w:hAnsi="Verdana" w:cs="Verdana"/>
          <w:b/>
          <w:bCs/>
          <w:color w:val="000000"/>
          <w:sz w:val="19"/>
          <w:szCs w:val="19"/>
        </w:rPr>
        <w:t>56</w:t>
      </w:r>
      <w:r>
        <w:rPr>
          <w:color w:val="000000"/>
        </w:rPr>
        <w:t>Anhaltspunkte dafür, dass sich die damit von dem Erblasser (mit) zu verantwortende Gefahrenlage bei Abschluss des Anlagevertrags des Kl. am 24.11.2016/3.1.2017 bei wertender Betrachtung nicht mehr relevant ausgewirkt haben könnte, liegen nicht vor und wurden auch von der Bekl. nicht aufgezeigt.</w:t>
      </w:r>
    </w:p>
    <w:p w14:paraId="4D93F69E" w14:textId="77777777" w:rsidR="00CF061C" w:rsidRDefault="00000000">
      <w:pPr>
        <w:pStyle w:val="divbocontentwrapperbocenterpParagraph"/>
        <w:spacing w:after="120" w:line="360" w:lineRule="auto"/>
        <w:ind w:left="600" w:right="150"/>
        <w:jc w:val="both"/>
        <w:rPr>
          <w:color w:val="000000"/>
        </w:rPr>
      </w:pPr>
      <w:bookmarkStart w:id="49" w:name="Y-300-Z-NZI-B-2025-S-885-RN-57"/>
      <w:bookmarkEnd w:id="49"/>
      <w:r>
        <w:rPr>
          <w:rStyle w:val="printcontentemrandnr"/>
          <w:rFonts w:ascii="Verdana" w:eastAsia="Verdana" w:hAnsi="Verdana" w:cs="Verdana"/>
          <w:b/>
          <w:bCs/>
          <w:color w:val="000000"/>
          <w:sz w:val="19"/>
          <w:szCs w:val="19"/>
        </w:rPr>
        <w:t>57</w:t>
      </w:r>
      <w:r>
        <w:rPr>
          <w:color w:val="000000"/>
        </w:rPr>
        <w:t>Dass sich die Gesellschaft innerhalb dieses kurzen Zeitraums nachhaltig wieder erholt habe, wird von der Bekl. nicht geltend gemacht und ist angesichts der unveränderten Fortsetzung des Schneeballsystems, in das diese Gesellschaft eingebunden war, auch nicht anzunehmen.</w:t>
      </w:r>
    </w:p>
    <w:p w14:paraId="4068EEFA" w14:textId="77777777" w:rsidR="00CF061C" w:rsidRDefault="00000000">
      <w:pPr>
        <w:pStyle w:val="divbocontentwrapperbocenterpParagraph"/>
        <w:spacing w:after="120" w:line="360" w:lineRule="auto"/>
        <w:ind w:left="600" w:right="150"/>
        <w:jc w:val="both"/>
        <w:rPr>
          <w:color w:val="000000"/>
        </w:rPr>
      </w:pPr>
      <w:bookmarkStart w:id="50" w:name="Y-300-Z-NZI-B-2025-S-885-RN-58"/>
      <w:bookmarkEnd w:id="50"/>
      <w:r>
        <w:rPr>
          <w:rStyle w:val="printcontentemrandnr"/>
          <w:rFonts w:ascii="Verdana" w:eastAsia="Verdana" w:hAnsi="Verdana" w:cs="Verdana"/>
          <w:b/>
          <w:bCs/>
          <w:color w:val="000000"/>
          <w:sz w:val="19"/>
          <w:szCs w:val="19"/>
        </w:rPr>
        <w:t>58</w:t>
      </w:r>
      <w:r>
        <w:rPr>
          <w:color w:val="000000"/>
        </w:rPr>
        <w:t>Andere Umstände, aufgrund derer eine Zurechnung dieses schädigenden Vertragsabschlusses bei wertender Betrachtung evtl. zu verneinen sein könnte, sind nicht festgestellt. Dass der Erblasser nach seinem Ausscheiden Maßnahmen ergriffen hätte, um eine Fortsetzung des Geschäftsbetriebs durch die insolvente Gesellschaft und damit eine potenzielle Schädigung weiterer Anleger zu verhindern, hat auch die Bekl. nicht vorgetragen.</w:t>
      </w:r>
    </w:p>
    <w:p w14:paraId="14A4D606" w14:textId="77777777" w:rsidR="00CF061C" w:rsidRDefault="00000000">
      <w:pPr>
        <w:pStyle w:val="divbocontentwrapperbocenterpParagraph"/>
        <w:spacing w:after="120" w:line="360" w:lineRule="auto"/>
        <w:ind w:left="600" w:right="150"/>
        <w:jc w:val="both"/>
        <w:rPr>
          <w:color w:val="000000"/>
        </w:rPr>
      </w:pPr>
      <w:bookmarkStart w:id="51" w:name="Y-300-Z-NZI-B-2025-S-885-RN-59"/>
      <w:bookmarkEnd w:id="51"/>
      <w:r>
        <w:rPr>
          <w:rStyle w:val="printcontentemrandnr"/>
          <w:rFonts w:ascii="Verdana" w:eastAsia="Verdana" w:hAnsi="Verdana" w:cs="Verdana"/>
          <w:b/>
          <w:bCs/>
          <w:color w:val="000000"/>
          <w:sz w:val="19"/>
          <w:szCs w:val="19"/>
        </w:rPr>
        <w:t>59</w:t>
      </w:r>
      <w:r>
        <w:rPr>
          <w:color w:val="000000"/>
        </w:rPr>
        <w:t xml:space="preserve">Keine Unterbrechung des Zurechnungszusammenhangs rechtfertigt schließlich auch das Argument des BerGer., angesichts des zeitlichen Abstands von etwa einem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46005E78" w14:textId="77777777">
        <w:tc>
          <w:tcPr>
            <w:tcW w:w="4000" w:type="pct"/>
            <w:shd w:val="clear" w:color="auto" w:fill="F0F0F0"/>
            <w:tcMar>
              <w:top w:w="0" w:type="dxa"/>
              <w:left w:w="0" w:type="dxa"/>
              <w:bottom w:w="0" w:type="dxa"/>
              <w:right w:w="0" w:type="dxa"/>
            </w:tcMar>
            <w:vAlign w:val="center"/>
            <w:hideMark/>
          </w:tcPr>
          <w:p w14:paraId="12B3588F"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05591828"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890</w:t>
            </w:r>
          </w:p>
        </w:tc>
      </w:tr>
    </w:tbl>
    <w:p w14:paraId="1734F451" w14:textId="77777777" w:rsidR="00CF061C" w:rsidRDefault="00000000">
      <w:pPr>
        <w:pStyle w:val="divbocontentwrapperbocenterpParagraph"/>
        <w:spacing w:after="120" w:line="360" w:lineRule="auto"/>
        <w:ind w:left="600" w:right="150"/>
        <w:jc w:val="both"/>
        <w:rPr>
          <w:color w:val="000000"/>
        </w:rPr>
      </w:pPr>
      <w:r>
        <w:rPr>
          <w:color w:val="000000"/>
        </w:rPr>
        <w:lastRenderedPageBreak/>
        <w:t>halben Jahr sei davon auszugehen, dass der Kl. nach dem Ausscheiden des Erblassers einen neuen Anlageentschluss gefasst habe, für den der Erblasser keine Verantwortung mehr trage. Wie oben ausgeführt, wäre der Zurechnungszusammenhang selbst bei einem Neugläubiger, der zuvor überhaupt keinen Kontakt mit der P Gruppe hatte und dementsprechend einen völlig neuen Anlageentschluss gefasst hat, zu bejahen, da auch bei einem Vertragsabschluss sechs Monate nach dem Ausscheiden des Erblassers mangels Anhaltspunkten für eine zwischenzeitliche nachhaltige Erholung der Gesellschaft davon auszugehen ist, dass sich die vom Erblasser noch mit zu verantwortende insolvenzbedingte Gefahrenlage realisiert hat. Hinzu kommt, dass der Kl. vor dem Ausscheiden des Erblassers schon vier Verträge mit der P Gebrauchtcontainer GmbH geschlossen hatte, so dass für eine Zurechnung des Weiteren Vertragsschlusses ein halbes Jahr nach dem Ausscheiden des Erblassers auch die Fortwirkung eines zur Zeit seiner Organstellung begründeten Vertrauens in diese Anlage spricht.</w:t>
      </w:r>
    </w:p>
    <w:p w14:paraId="658D8F48" w14:textId="77777777" w:rsidR="00CF061C" w:rsidRDefault="00000000">
      <w:pPr>
        <w:pStyle w:val="divbocontentwrapperbocenterpParagraph"/>
        <w:spacing w:after="120" w:line="360" w:lineRule="auto"/>
        <w:ind w:left="600" w:right="150"/>
        <w:jc w:val="both"/>
        <w:rPr>
          <w:color w:val="000000"/>
        </w:rPr>
      </w:pPr>
      <w:bookmarkStart w:id="52" w:name="Y-300-Z-NZI-B-2025-S-885-RN-60"/>
      <w:bookmarkEnd w:id="52"/>
      <w:r>
        <w:rPr>
          <w:rStyle w:val="printcontentemrandnr"/>
          <w:rFonts w:ascii="Verdana" w:eastAsia="Verdana" w:hAnsi="Verdana" w:cs="Verdana"/>
          <w:b/>
          <w:bCs/>
          <w:color w:val="000000"/>
          <w:sz w:val="19"/>
          <w:szCs w:val="19"/>
        </w:rPr>
        <w:t>60</w:t>
      </w:r>
      <w:r>
        <w:rPr>
          <w:color w:val="000000"/>
        </w:rPr>
        <w:t xml:space="preserve">c) Ob der Erblasser daneben wegen sittenwidriger vorsätzlicher Schädigung gem. </w:t>
      </w:r>
      <w:r>
        <w:rPr>
          <w:rStyle w:val="any"/>
          <w:color w:val="000000"/>
        </w:rPr>
        <w:t xml:space="preserve">§ </w:t>
      </w:r>
      <w:hyperlink r:id="rId223" w:history="1">
        <w:r>
          <w:rPr>
            <w:rStyle w:val="bocontentwrapperbocenteranotbeck-btn"/>
            <w:color w:val="000000"/>
            <w:u w:val="single" w:color="000000"/>
          </w:rPr>
          <w:t>826</w:t>
        </w:r>
      </w:hyperlink>
      <w:r>
        <w:rPr>
          <w:rStyle w:val="any"/>
          <w:color w:val="000000"/>
        </w:rPr>
        <w:t xml:space="preserve"> BGB</w:t>
      </w:r>
      <w:r>
        <w:rPr>
          <w:color w:val="000000"/>
        </w:rPr>
        <w:t xml:space="preserve"> für den nach seiner Abberufung mit der P Gebrauchtcontainer GmbH geschlossenen Vertrag haften würde, kann damit dahinstehen.</w:t>
      </w:r>
    </w:p>
    <w:p w14:paraId="02BE9E6B" w14:textId="77777777" w:rsidR="00CF061C" w:rsidRDefault="00000000">
      <w:pPr>
        <w:pStyle w:val="divbocontentwrapperbocenterpParagraph"/>
        <w:spacing w:after="120" w:line="360" w:lineRule="auto"/>
        <w:ind w:left="600" w:right="150"/>
        <w:jc w:val="both"/>
        <w:rPr>
          <w:color w:val="000000"/>
        </w:rPr>
      </w:pPr>
      <w:bookmarkStart w:id="53" w:name="Y-300-Z-NZI-B-2025-S-885-RN-61"/>
      <w:bookmarkEnd w:id="53"/>
      <w:r>
        <w:rPr>
          <w:rStyle w:val="printcontentemrandnr"/>
          <w:rFonts w:ascii="Verdana" w:eastAsia="Verdana" w:hAnsi="Verdana" w:cs="Verdana"/>
          <w:b/>
          <w:bCs/>
          <w:color w:val="000000"/>
          <w:sz w:val="19"/>
          <w:szCs w:val="19"/>
        </w:rPr>
        <w:t>61</w:t>
      </w:r>
      <w:r>
        <w:rPr>
          <w:color w:val="000000"/>
        </w:rPr>
        <w:t>d) Auch hier fehlt es aber für eine eigene Entscheidung des Senats an tatsächlichen Feststellungen zur Höhe der für den Kl. dafür zur Tabelle festzustellenden Forderungen. Insoweit wird auf die obigen Ausführungen verwiesen.</w:t>
      </w:r>
    </w:p>
    <w:p w14:paraId="65D01981" w14:textId="77777777" w:rsidR="00CF061C" w:rsidRDefault="00000000">
      <w:pPr>
        <w:pStyle w:val="divbocontentwrapperbocenterpParagraph"/>
        <w:spacing w:after="120" w:line="360" w:lineRule="auto"/>
        <w:ind w:left="600" w:right="150"/>
        <w:jc w:val="both"/>
        <w:rPr>
          <w:color w:val="000000"/>
        </w:rPr>
      </w:pPr>
      <w:bookmarkStart w:id="54" w:name="Y-300-Z-NZI-B-2025-S-885-RN-62"/>
      <w:bookmarkEnd w:id="54"/>
      <w:r>
        <w:rPr>
          <w:rStyle w:val="printcontentemrandnr"/>
          <w:rFonts w:ascii="Verdana" w:eastAsia="Verdana" w:hAnsi="Verdana" w:cs="Verdana"/>
          <w:b/>
          <w:bCs/>
          <w:color w:val="000000"/>
          <w:sz w:val="19"/>
          <w:szCs w:val="19"/>
        </w:rPr>
        <w:t>62</w:t>
      </w:r>
      <w:r>
        <w:rPr>
          <w:color w:val="000000"/>
        </w:rPr>
        <w:t>5. Hinsichtlich der Hauptforderungen des Kl. wegen der nach der Abberufung des Erblassers mit der P Transport-Container GmbH geschlossenen zwei Anlageverträge erweist sich die Entscheidung des BerGer. ebenfalls als rechtsfehlerhaft. Auch insoweit ist das angefochtene Urteil auf die Revision des Kl. aufzuheben und die Sache mangels Entscheidungsreife an das BerGer. zurückzuverweisen (</w:t>
      </w:r>
      <w:r>
        <w:rPr>
          <w:rStyle w:val="any"/>
          <w:color w:val="000000"/>
        </w:rPr>
        <w:t xml:space="preserve">§§ </w:t>
      </w:r>
      <w:hyperlink r:id="rId224" w:history="1">
        <w:r>
          <w:rPr>
            <w:rStyle w:val="bocontentwrapperbocenteranotbeck-btn"/>
            <w:color w:val="000000"/>
            <w:u w:val="single" w:color="000000"/>
          </w:rPr>
          <w:t>562</w:t>
        </w:r>
      </w:hyperlink>
      <w:r>
        <w:rPr>
          <w:rStyle w:val="any"/>
          <w:color w:val="000000"/>
        </w:rPr>
        <w:t xml:space="preserve"> </w:t>
      </w:r>
      <w:hyperlink r:id="rId225" w:history="1">
        <w:r>
          <w:rPr>
            <w:rStyle w:val="bocontentwrapperbocenteranotbeck-btn"/>
            <w:color w:val="000000"/>
            <w:u w:val="single" w:color="000000"/>
          </w:rPr>
          <w:t>I</w:t>
        </w:r>
      </w:hyperlink>
      <w:r>
        <w:rPr>
          <w:rStyle w:val="any"/>
          <w:color w:val="000000"/>
        </w:rPr>
        <w:t xml:space="preserve">, </w:t>
      </w:r>
      <w:hyperlink r:id="rId226" w:history="1">
        <w:r>
          <w:rPr>
            <w:rStyle w:val="bocontentwrapperbocenteranotbeck-btn"/>
            <w:color w:val="000000"/>
            <w:u w:val="single" w:color="000000"/>
          </w:rPr>
          <w:t>563</w:t>
        </w:r>
      </w:hyperlink>
      <w:r>
        <w:rPr>
          <w:rStyle w:val="any"/>
          <w:color w:val="000000"/>
        </w:rPr>
        <w:t xml:space="preserve"> </w:t>
      </w:r>
      <w:hyperlink r:id="rId227" w:history="1">
        <w:r>
          <w:rPr>
            <w:rStyle w:val="bocontentwrapperbocenteranotbeck-btn"/>
            <w:color w:val="000000"/>
            <w:u w:val="single" w:color="000000"/>
          </w:rPr>
          <w:t>I</w:t>
        </w:r>
      </w:hyperlink>
      <w:r>
        <w:rPr>
          <w:rStyle w:val="any"/>
          <w:color w:val="000000"/>
        </w:rPr>
        <w:t xml:space="preserve"> 1 ZPO</w:t>
      </w:r>
      <w:r>
        <w:rPr>
          <w:color w:val="000000"/>
        </w:rPr>
        <w:t>).</w:t>
      </w:r>
    </w:p>
    <w:p w14:paraId="7B6F5143" w14:textId="77777777" w:rsidR="00CF061C" w:rsidRDefault="00000000">
      <w:pPr>
        <w:pStyle w:val="divbocontentwrapperbocenterpParagraph"/>
        <w:spacing w:after="120" w:line="360" w:lineRule="auto"/>
        <w:ind w:left="600" w:right="150"/>
        <w:jc w:val="both"/>
        <w:rPr>
          <w:color w:val="000000"/>
        </w:rPr>
      </w:pPr>
      <w:bookmarkStart w:id="55" w:name="Y-300-Z-NZI-B-2025-S-885-RN-63"/>
      <w:bookmarkEnd w:id="55"/>
      <w:r>
        <w:rPr>
          <w:rStyle w:val="printcontentemrandnr"/>
          <w:rFonts w:ascii="Verdana" w:eastAsia="Verdana" w:hAnsi="Verdana" w:cs="Verdana"/>
          <w:b/>
          <w:bCs/>
          <w:color w:val="000000"/>
          <w:sz w:val="19"/>
          <w:szCs w:val="19"/>
        </w:rPr>
        <w:t>63</w:t>
      </w:r>
      <w:r>
        <w:rPr>
          <w:color w:val="000000"/>
        </w:rPr>
        <w:t xml:space="preserve">a) Die Verletzung der Insolvenzantragspflicht bezüglich der anderen Vertriebsgesellschaften der P Gruppe begründet keine Haftung des Erblassers für die Anlageverträge mit der P Transport-Container GmbH gem. </w:t>
      </w:r>
      <w:r>
        <w:rPr>
          <w:rStyle w:val="any"/>
          <w:color w:val="000000"/>
        </w:rPr>
        <w:t xml:space="preserve">§ </w:t>
      </w:r>
      <w:hyperlink r:id="rId228" w:history="1">
        <w:r>
          <w:rPr>
            <w:rStyle w:val="bocontentwrapperbocenteranotbeck-btn"/>
            <w:color w:val="000000"/>
            <w:u w:val="single" w:color="000000"/>
          </w:rPr>
          <w:t>823</w:t>
        </w:r>
      </w:hyperlink>
      <w:r>
        <w:rPr>
          <w:rStyle w:val="any"/>
          <w:color w:val="000000"/>
        </w:rPr>
        <w:t xml:space="preserve"> </w:t>
      </w:r>
      <w:hyperlink r:id="rId229"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230" w:history="1">
        <w:r>
          <w:rPr>
            <w:rStyle w:val="bocontentwrapperbocenteranotbeck-btn"/>
            <w:color w:val="000000"/>
            <w:u w:val="single" w:color="000000"/>
          </w:rPr>
          <w:t>15a</w:t>
        </w:r>
      </w:hyperlink>
      <w:r>
        <w:rPr>
          <w:rStyle w:val="any"/>
          <w:color w:val="000000"/>
        </w:rPr>
        <w:t xml:space="preserve"> </w:t>
      </w:r>
      <w:hyperlink r:id="rId231" w:history="1">
        <w:r>
          <w:rPr>
            <w:rStyle w:val="bocontentwrapperbocenteranotbeck-btn"/>
            <w:color w:val="000000"/>
            <w:u w:val="single" w:color="000000"/>
          </w:rPr>
          <w:t>I</w:t>
        </w:r>
      </w:hyperlink>
      <w:r>
        <w:rPr>
          <w:rStyle w:val="any"/>
          <w:color w:val="000000"/>
        </w:rPr>
        <w:t xml:space="preserve"> 1 InsO</w:t>
      </w:r>
      <w:r>
        <w:rPr>
          <w:color w:val="000000"/>
        </w:rPr>
        <w:t>. Die durch diese Verträge entstandenen Schäden des Kl. sind nicht mehr vom Schutzzweck der Insolvenzantragspflicht bezüglich der anderen Vertriebsgesellschaften umfasst.</w:t>
      </w:r>
    </w:p>
    <w:p w14:paraId="788D81A8" w14:textId="77777777" w:rsidR="00CF061C" w:rsidRDefault="00000000">
      <w:pPr>
        <w:pStyle w:val="divbocontentwrapperbocenterpParagraph"/>
        <w:spacing w:after="120" w:line="360" w:lineRule="auto"/>
        <w:ind w:left="600" w:right="150"/>
        <w:jc w:val="both"/>
        <w:rPr>
          <w:color w:val="000000"/>
        </w:rPr>
      </w:pPr>
      <w:bookmarkStart w:id="56" w:name="Y-300-Z-NZI-B-2025-S-885-RN-64"/>
      <w:bookmarkEnd w:id="56"/>
      <w:r>
        <w:rPr>
          <w:rStyle w:val="printcontentemrandnr"/>
          <w:rFonts w:ascii="Verdana" w:eastAsia="Verdana" w:hAnsi="Verdana" w:cs="Verdana"/>
          <w:b/>
          <w:bCs/>
          <w:color w:val="000000"/>
          <w:sz w:val="19"/>
          <w:szCs w:val="19"/>
        </w:rPr>
        <w:t>64</w:t>
      </w:r>
      <w:r>
        <w:rPr>
          <w:color w:val="000000"/>
        </w:rPr>
        <w:t xml:space="preserve">Dagegen macht der Kl. ohne Erfolg geltend, das Geschäftsmodell der P-Gesellschaften habe (auch) hinsichtlich des Liquiditätsmanagements und der Abwicklung keine klare Abgrenzung gehabt und der gebotene rechtzeitige Insolvenzantrag des Erblassers für die anderen drei Vertriebsgesellschaften würde das gesamte Geschäftsmodell zu Fall gebracht haben, womit auch eine Fortsetzung des </w:t>
      </w:r>
      <w:r>
        <w:rPr>
          <w:color w:val="000000"/>
        </w:rPr>
        <w:lastRenderedPageBreak/>
        <w:t xml:space="preserve">Vertriebs durch die P Transport-Container GmbH nicht mehr möglich gewesen wäre. Das vermag zwar eine Kausalität auch für die Verträge des Kl. mit dieser Gesellschaft im Sinne der Äquivalenz- und evtl. auch noch der Adäquanztheorie begründen, überdehnt aber den Schutzzweck des </w:t>
      </w:r>
      <w:r>
        <w:rPr>
          <w:rStyle w:val="any"/>
          <w:color w:val="000000"/>
        </w:rPr>
        <w:t xml:space="preserve">§ </w:t>
      </w:r>
      <w:hyperlink r:id="rId232" w:history="1">
        <w:r>
          <w:rPr>
            <w:rStyle w:val="bocontentwrapperbocenteranotbeck-btn"/>
            <w:color w:val="000000"/>
            <w:u w:val="single" w:color="000000"/>
          </w:rPr>
          <w:t>15a</w:t>
        </w:r>
      </w:hyperlink>
      <w:r>
        <w:rPr>
          <w:rStyle w:val="any"/>
          <w:color w:val="000000"/>
        </w:rPr>
        <w:t xml:space="preserve"> InsO</w:t>
      </w:r>
      <w:r>
        <w:rPr>
          <w:color w:val="000000"/>
        </w:rPr>
        <w:t>.</w:t>
      </w:r>
    </w:p>
    <w:p w14:paraId="67B3EFB5" w14:textId="77777777" w:rsidR="00CF061C" w:rsidRDefault="00000000">
      <w:pPr>
        <w:pStyle w:val="divbocontentwrapperbocenterpParagraph"/>
        <w:spacing w:after="120" w:line="360" w:lineRule="auto"/>
        <w:ind w:left="600" w:right="150"/>
        <w:jc w:val="both"/>
        <w:rPr>
          <w:color w:val="000000"/>
        </w:rPr>
      </w:pPr>
      <w:bookmarkStart w:id="57" w:name="Y-300-Z-NZI-B-2025-S-885-RN-65"/>
      <w:bookmarkEnd w:id="57"/>
      <w:r>
        <w:rPr>
          <w:rStyle w:val="printcontentemrandnr"/>
          <w:rFonts w:ascii="Verdana" w:eastAsia="Verdana" w:hAnsi="Verdana" w:cs="Verdana"/>
          <w:b/>
          <w:bCs/>
          <w:color w:val="000000"/>
          <w:sz w:val="19"/>
          <w:szCs w:val="19"/>
        </w:rPr>
        <w:t>65</w:t>
      </w:r>
      <w:r>
        <w:rPr>
          <w:color w:val="000000"/>
        </w:rPr>
        <w:t xml:space="preserve">Das Verbot der Insolvenzverschleppung hat, neben der Erhaltung des Gesellschaftsvermögens, den Zweck, insolvenzreife Gesellschaften mit beschränktem Haftungsfonds vom Geschäftsverkehr fernzuhalten, damit durch das Auftreten solcher Gebilde nicht Gläubiger geschädigt oder gefährdet werden (vgl. </w:t>
      </w:r>
      <w:r>
        <w:rPr>
          <w:rStyle w:val="any"/>
          <w:color w:val="000000"/>
        </w:rPr>
        <w:t xml:space="preserve">BGHZ 241, </w:t>
      </w:r>
      <w:hyperlink r:id="rId233" w:history="1">
        <w:r>
          <w:rPr>
            <w:rStyle w:val="bocontentwrapperbocenteranotbeck-btn"/>
            <w:color w:val="000000"/>
            <w:u w:val="single" w:color="000000"/>
          </w:rPr>
          <w:t>127</w:t>
        </w:r>
      </w:hyperlink>
      <w:r>
        <w:rPr>
          <w:color w:val="000000"/>
        </w:rPr>
        <w:t xml:space="preserve"> = </w:t>
      </w:r>
      <w:r>
        <w:rPr>
          <w:rStyle w:val="any"/>
          <w:color w:val="000000"/>
        </w:rPr>
        <w:t xml:space="preserve">NZI 2024, </w:t>
      </w:r>
      <w:hyperlink r:id="rId234" w:history="1">
        <w:r>
          <w:rPr>
            <w:rStyle w:val="bocontentwrapperbocenteranotbeck-btn"/>
            <w:color w:val="000000"/>
            <w:u w:val="single" w:color="000000"/>
          </w:rPr>
          <w:t>840</w:t>
        </w:r>
      </w:hyperlink>
      <w:r>
        <w:rPr>
          <w:rStyle w:val="any"/>
          <w:color w:val="000000"/>
        </w:rPr>
        <w:t xml:space="preserve"> Rn. </w:t>
      </w:r>
      <w:hyperlink r:id="rId235" w:history="1">
        <w:r>
          <w:rPr>
            <w:rStyle w:val="bocontentwrapperbocenteranotbeck-btn"/>
            <w:color w:val="000000"/>
            <w:u w:val="single" w:color="000000"/>
          </w:rPr>
          <w:t>83</w:t>
        </w:r>
      </w:hyperlink>
      <w:r>
        <w:rPr>
          <w:color w:val="000000"/>
        </w:rPr>
        <w:t xml:space="preserve"> mwN). Schutzzweck des Verbots ist damit (nur) die Bewahrung der Gläubiger vor den aus der Insolvenz der Gesellschaft herrührenden Folgen bei Fortsetzung ihres Geschäftsbetriebs, nicht aber vor etwaigen anderen Risiken, die mit der Fortsetzung des Geschäftsbetriebs als solchem verbunden sind. Das gilt nicht nur bei der Fortsetzung des Geschäftsbetriebs durch die insolvente Gesellschaft (vgl. dazu </w:t>
      </w:r>
      <w:r>
        <w:rPr>
          <w:rStyle w:val="any"/>
          <w:color w:val="000000"/>
        </w:rPr>
        <w:t xml:space="preserve">BGHZ 164, </w:t>
      </w:r>
      <w:hyperlink r:id="rId236" w:history="1">
        <w:r>
          <w:rPr>
            <w:rStyle w:val="bocontentwrapperbocenteranotbeck-btn"/>
            <w:color w:val="000000"/>
            <w:u w:val="single" w:color="000000"/>
          </w:rPr>
          <w:t>50</w:t>
        </w:r>
      </w:hyperlink>
      <w:r>
        <w:rPr>
          <w:rStyle w:val="any"/>
          <w:color w:val="000000"/>
        </w:rPr>
        <w:t xml:space="preserve"> Rn. </w:t>
      </w:r>
      <w:hyperlink r:id="rId237" w:history="1">
        <w:r>
          <w:rPr>
            <w:rStyle w:val="bocontentwrapperbocenteranotbeck-btn"/>
            <w:color w:val="000000"/>
            <w:u w:val="single" w:color="000000"/>
          </w:rPr>
          <w:t>16</w:t>
        </w:r>
      </w:hyperlink>
      <w:r>
        <w:rPr>
          <w:rStyle w:val="any"/>
          <w:color w:val="000000"/>
        </w:rPr>
        <w:t>–</w:t>
      </w:r>
      <w:hyperlink r:id="rId238" w:history="1">
        <w:r>
          <w:rPr>
            <w:rStyle w:val="bocontentwrapperbocenteranotbeck-btn"/>
            <w:color w:val="000000"/>
            <w:u w:val="single" w:color="000000"/>
          </w:rPr>
          <w:t>18</w:t>
        </w:r>
      </w:hyperlink>
      <w:r>
        <w:rPr>
          <w:color w:val="000000"/>
        </w:rPr>
        <w:t xml:space="preserve"> = </w:t>
      </w:r>
      <w:r>
        <w:rPr>
          <w:rStyle w:val="any"/>
          <w:color w:val="000000"/>
        </w:rPr>
        <w:t xml:space="preserve">NZI 2006, </w:t>
      </w:r>
      <w:hyperlink r:id="rId239" w:history="1">
        <w:r>
          <w:rPr>
            <w:rStyle w:val="bocontentwrapperbocenteranotbeck-btn"/>
            <w:color w:val="000000"/>
            <w:u w:val="single" w:color="000000"/>
          </w:rPr>
          <w:t>58</w:t>
        </w:r>
      </w:hyperlink>
      <w:r>
        <w:rPr>
          <w:color w:val="000000"/>
        </w:rPr>
        <w:t xml:space="preserve"> = </w:t>
      </w:r>
      <w:r>
        <w:rPr>
          <w:rStyle w:val="any"/>
          <w:color w:val="000000"/>
        </w:rPr>
        <w:t xml:space="preserve">BKR 2006, </w:t>
      </w:r>
      <w:hyperlink r:id="rId240" w:history="1">
        <w:r>
          <w:rPr>
            <w:rStyle w:val="bocontentwrapperbocenteranotbeck-btn"/>
            <w:color w:val="000000"/>
            <w:u w:val="single" w:color="000000"/>
          </w:rPr>
          <w:t>19</w:t>
        </w:r>
      </w:hyperlink>
      <w:r>
        <w:rPr>
          <w:color w:val="000000"/>
        </w:rPr>
        <w:t xml:space="preserve"> Ls.; </w:t>
      </w:r>
      <w:r>
        <w:rPr>
          <w:rStyle w:val="any"/>
          <w:color w:val="000000"/>
        </w:rPr>
        <w:t xml:space="preserve">DStR 2015, </w:t>
      </w:r>
      <w:hyperlink r:id="rId241" w:history="1">
        <w:r>
          <w:rPr>
            <w:rStyle w:val="bocontentwrapperbocenteranotbeck-btn"/>
            <w:color w:val="000000"/>
            <w:u w:val="single" w:color="000000"/>
          </w:rPr>
          <w:t>368</w:t>
        </w:r>
      </w:hyperlink>
      <w:r>
        <w:rPr>
          <w:rStyle w:val="any"/>
          <w:color w:val="000000"/>
        </w:rPr>
        <w:t xml:space="preserve"> Rn. </w:t>
      </w:r>
      <w:hyperlink r:id="rId242" w:history="1">
        <w:r>
          <w:rPr>
            <w:rStyle w:val="bocontentwrapperbocenteranotbeck-btn"/>
            <w:color w:val="000000"/>
            <w:u w:val="single" w:color="000000"/>
          </w:rPr>
          <w:t>11</w:t>
        </w:r>
      </w:hyperlink>
      <w:r>
        <w:rPr>
          <w:color w:val="000000"/>
        </w:rPr>
        <w:t xml:space="preserve"> = </w:t>
      </w:r>
      <w:r>
        <w:rPr>
          <w:rStyle w:val="any"/>
          <w:color w:val="000000"/>
        </w:rPr>
        <w:t xml:space="preserve">NZI 2015, </w:t>
      </w:r>
      <w:hyperlink r:id="rId243" w:history="1">
        <w:r>
          <w:rPr>
            <w:rStyle w:val="bocontentwrapperbocenteranotbeck-btn"/>
            <w:color w:val="000000"/>
            <w:u w:val="single" w:color="000000"/>
          </w:rPr>
          <w:t>234</w:t>
        </w:r>
      </w:hyperlink>
      <w:r>
        <w:rPr>
          <w:color w:val="000000"/>
        </w:rPr>
        <w:t>), sondern – erst Recht – bei dessen Übernahme und Fortsetzung durch eine andere Gesellschaft. Auch wenn die Überschuldung der (bisher) insolventen Gesellschaft auf die den Geschäftsbetrieb übernehmende Gesellschaft (mit) übertragen wird, wirkt sich bei nachfolgenden Vertragsschlüssen nicht mehr die verschleppungsbedingte Gefahr der übertragenden Gesellschaft aus, sondern allein diejenige der übernehmenden Gesellschaft, bezüglich derer allein deren Geschäftsführer insolvenzantragspflichtig ist.</w:t>
      </w:r>
    </w:p>
    <w:p w14:paraId="7CFFDF52" w14:textId="77777777" w:rsidR="00CF061C" w:rsidRDefault="00000000">
      <w:pPr>
        <w:pStyle w:val="divbocontentwrapperbocenterpParagraph"/>
        <w:spacing w:after="120" w:line="360" w:lineRule="auto"/>
        <w:ind w:left="600" w:right="150"/>
        <w:jc w:val="both"/>
        <w:rPr>
          <w:color w:val="000000"/>
        </w:rPr>
      </w:pPr>
      <w:bookmarkStart w:id="58" w:name="Y-300-Z-NZI-B-2025-S-885-RN-66"/>
      <w:bookmarkEnd w:id="58"/>
      <w:r>
        <w:rPr>
          <w:rStyle w:val="printcontentemrandnr"/>
          <w:rFonts w:ascii="Verdana" w:eastAsia="Verdana" w:hAnsi="Verdana" w:cs="Verdana"/>
          <w:b/>
          <w:bCs/>
          <w:color w:val="000000"/>
          <w:sz w:val="19"/>
          <w:szCs w:val="19"/>
        </w:rPr>
        <w:t>66</w:t>
      </w:r>
      <w:r>
        <w:rPr>
          <w:color w:val="000000"/>
        </w:rPr>
        <w:t xml:space="preserve">b) Auch eine Haftung des Erblassers für die nach seiner Abberufung mit der P Transport-Container GmbH geschlossenen Verträge wegen sittenwidriger vorsätzlicher Schädigung gem. </w:t>
      </w:r>
      <w:r>
        <w:rPr>
          <w:rStyle w:val="any"/>
          <w:color w:val="000000"/>
        </w:rPr>
        <w:t xml:space="preserve">§ </w:t>
      </w:r>
      <w:hyperlink r:id="rId244" w:history="1">
        <w:r>
          <w:rPr>
            <w:rStyle w:val="bocontentwrapperbocenteranotbeck-btn"/>
            <w:color w:val="000000"/>
            <w:u w:val="single" w:color="000000"/>
          </w:rPr>
          <w:t>826</w:t>
        </w:r>
      </w:hyperlink>
      <w:r>
        <w:rPr>
          <w:rStyle w:val="any"/>
          <w:color w:val="000000"/>
        </w:rPr>
        <w:t xml:space="preserve"> BGB</w:t>
      </w:r>
      <w:r>
        <w:rPr>
          <w:color w:val="000000"/>
        </w:rPr>
        <w:t xml:space="preserve"> durch Betreiben eines Schneeballsystems (vgl. BGH </w:t>
      </w:r>
      <w:r>
        <w:rPr>
          <w:rStyle w:val="any"/>
          <w:color w:val="000000"/>
        </w:rPr>
        <w:t xml:space="preserve">ZIP 1989, </w:t>
      </w:r>
      <w:hyperlink r:id="rId245" w:history="1">
        <w:r>
          <w:rPr>
            <w:rStyle w:val="bocontentwrapperbocenteranotbeck-btn"/>
            <w:color w:val="000000"/>
            <w:u w:val="single" w:color="000000"/>
          </w:rPr>
          <w:t>830</w:t>
        </w:r>
      </w:hyperlink>
      <w:r>
        <w:rPr>
          <w:rStyle w:val="any"/>
          <w:color w:val="000000"/>
        </w:rPr>
        <w:t xml:space="preserve"> (</w:t>
      </w:r>
      <w:hyperlink r:id="rId246" w:history="1">
        <w:r>
          <w:rPr>
            <w:rStyle w:val="bocontentwrapperbocenteranotbeck-btn"/>
            <w:color w:val="000000"/>
            <w:u w:val="single" w:color="000000"/>
          </w:rPr>
          <w:t>831</w:t>
        </w:r>
      </w:hyperlink>
      <w:r>
        <w:rPr>
          <w:rStyle w:val="any"/>
          <w:color w:val="000000"/>
        </w:rPr>
        <w:t>)</w:t>
      </w:r>
      <w:r>
        <w:rPr>
          <w:color w:val="000000"/>
        </w:rPr>
        <w:t xml:space="preserve"> = </w:t>
      </w:r>
      <w:r>
        <w:rPr>
          <w:rStyle w:val="any"/>
          <w:color w:val="000000"/>
        </w:rPr>
        <w:t xml:space="preserve">BeckRS 2010, </w:t>
      </w:r>
      <w:hyperlink r:id="rId247" w:history="1">
        <w:r>
          <w:rPr>
            <w:rStyle w:val="bocontentwrapperbocenteranotbeck-btn"/>
            <w:color w:val="000000"/>
            <w:u w:val="single" w:color="000000"/>
          </w:rPr>
          <w:t>17069</w:t>
        </w:r>
      </w:hyperlink>
      <w:r>
        <w:rPr>
          <w:color w:val="000000"/>
        </w:rPr>
        <w:t xml:space="preserve">; </w:t>
      </w:r>
      <w:r>
        <w:rPr>
          <w:rStyle w:val="any"/>
          <w:color w:val="000000"/>
        </w:rPr>
        <w:t xml:space="preserve">NJW 2004, </w:t>
      </w:r>
      <w:hyperlink r:id="rId248" w:history="1">
        <w:r>
          <w:rPr>
            <w:rStyle w:val="bocontentwrapperbocenteranotbeck-btn"/>
            <w:color w:val="000000"/>
            <w:u w:val="single" w:color="000000"/>
          </w:rPr>
          <w:t>3706</w:t>
        </w:r>
      </w:hyperlink>
      <w:r>
        <w:rPr>
          <w:rStyle w:val="any"/>
          <w:color w:val="000000"/>
        </w:rPr>
        <w:t xml:space="preserve"> (</w:t>
      </w:r>
      <w:hyperlink r:id="rId249" w:history="1">
        <w:r>
          <w:rPr>
            <w:rStyle w:val="bocontentwrapperbocenteranotbeck-btn"/>
            <w:color w:val="000000"/>
            <w:u w:val="single" w:color="000000"/>
          </w:rPr>
          <w:t>3709</w:t>
        </w:r>
      </w:hyperlink>
      <w:r>
        <w:rPr>
          <w:rStyle w:val="any"/>
          <w:color w:val="000000"/>
        </w:rPr>
        <w:t> f.)</w:t>
      </w:r>
      <w:r>
        <w:rPr>
          <w:color w:val="000000"/>
        </w:rPr>
        <w:t xml:space="preserve">; </w:t>
      </w:r>
      <w:r>
        <w:rPr>
          <w:rStyle w:val="any"/>
          <w:color w:val="000000"/>
        </w:rPr>
        <w:t xml:space="preserve">NJW-RR 2015, </w:t>
      </w:r>
      <w:hyperlink r:id="rId250" w:history="1">
        <w:r>
          <w:rPr>
            <w:rStyle w:val="bocontentwrapperbocenteranotbeck-btn"/>
            <w:color w:val="000000"/>
            <w:u w:val="single" w:color="000000"/>
          </w:rPr>
          <w:t>675</w:t>
        </w:r>
      </w:hyperlink>
      <w:r>
        <w:rPr>
          <w:rStyle w:val="any"/>
          <w:color w:val="000000"/>
        </w:rPr>
        <w:t xml:space="preserve"> Rn. </w:t>
      </w:r>
      <w:hyperlink r:id="rId251" w:history="1">
        <w:r>
          <w:rPr>
            <w:rStyle w:val="bocontentwrapperbocenteranotbeck-btn"/>
            <w:color w:val="000000"/>
            <w:u w:val="single" w:color="000000"/>
          </w:rPr>
          <w:t>10</w:t>
        </w:r>
      </w:hyperlink>
      <w:r>
        <w:rPr>
          <w:color w:val="000000"/>
        </w:rPr>
        <w:t xml:space="preserve">; </w:t>
      </w:r>
      <w:r>
        <w:rPr>
          <w:rStyle w:val="any"/>
          <w:color w:val="000000"/>
        </w:rPr>
        <w:t xml:space="preserve">ZIP 2015, </w:t>
      </w:r>
      <w:hyperlink r:id="rId252" w:history="1">
        <w:r>
          <w:rPr>
            <w:rStyle w:val="bocontentwrapperbocenteranotbeck-btn"/>
            <w:color w:val="000000"/>
            <w:u w:val="single" w:color="000000"/>
          </w:rPr>
          <w:t>2169</w:t>
        </w:r>
      </w:hyperlink>
      <w:r>
        <w:rPr>
          <w:rStyle w:val="any"/>
          <w:color w:val="000000"/>
        </w:rPr>
        <w:t xml:space="preserve"> Rn. </w:t>
      </w:r>
      <w:hyperlink r:id="rId253" w:history="1">
        <w:r>
          <w:rPr>
            <w:rStyle w:val="bocontentwrapperbocenteranotbeck-btn"/>
            <w:color w:val="000000"/>
            <w:u w:val="single" w:color="000000"/>
          </w:rPr>
          <w:t>24</w:t>
        </w:r>
      </w:hyperlink>
      <w:r>
        <w:rPr>
          <w:color w:val="000000"/>
        </w:rPr>
        <w:t xml:space="preserve"> = </w:t>
      </w:r>
      <w:r>
        <w:rPr>
          <w:rStyle w:val="any"/>
          <w:color w:val="000000"/>
        </w:rPr>
        <w:t xml:space="preserve">NJW-RR 2016, </w:t>
      </w:r>
      <w:hyperlink r:id="rId254" w:history="1">
        <w:r>
          <w:rPr>
            <w:rStyle w:val="bocontentwrapperbocenteranotbeck-btn"/>
            <w:color w:val="000000"/>
            <w:u w:val="single" w:color="000000"/>
          </w:rPr>
          <w:t>153</w:t>
        </w:r>
      </w:hyperlink>
      <w:r>
        <w:rPr>
          <w:color w:val="000000"/>
        </w:rPr>
        <w:t xml:space="preserve"> Ls.; </w:t>
      </w:r>
      <w:r>
        <w:rPr>
          <w:rStyle w:val="any"/>
          <w:color w:val="000000"/>
        </w:rPr>
        <w:t xml:space="preserve">NJW 2021, </w:t>
      </w:r>
      <w:hyperlink r:id="rId255" w:history="1">
        <w:r>
          <w:rPr>
            <w:rStyle w:val="bocontentwrapperbocenteranotbeck-btn"/>
            <w:color w:val="000000"/>
            <w:u w:val="single" w:color="000000"/>
          </w:rPr>
          <w:t>1759</w:t>
        </w:r>
      </w:hyperlink>
      <w:r>
        <w:rPr>
          <w:rStyle w:val="any"/>
          <w:color w:val="000000"/>
        </w:rPr>
        <w:t xml:space="preserve"> Rn. </w:t>
      </w:r>
      <w:hyperlink r:id="rId256" w:history="1">
        <w:r>
          <w:rPr>
            <w:rStyle w:val="bocontentwrapperbocenteranotbeck-btn"/>
            <w:color w:val="000000"/>
            <w:u w:val="single" w:color="000000"/>
          </w:rPr>
          <w:t>16</w:t>
        </w:r>
      </w:hyperlink>
      <w:r>
        <w:rPr>
          <w:rStyle w:val="any"/>
          <w:color w:val="000000"/>
        </w:rPr>
        <w:t> ff.</w:t>
      </w:r>
      <w:r>
        <w:rPr>
          <w:color w:val="000000"/>
        </w:rPr>
        <w:t>) hat das BerGer. im Ergebnis zu Recht verneint. Insoweit fehlt es bereits an einem haftungsbegründenden sittenwidrigen Verhalten des Erblassers.</w:t>
      </w:r>
    </w:p>
    <w:p w14:paraId="7F27548E" w14:textId="77777777" w:rsidR="00CF061C" w:rsidRDefault="00000000">
      <w:pPr>
        <w:pStyle w:val="divbocontentwrapperbocenterpParagraph"/>
        <w:spacing w:after="120" w:line="360" w:lineRule="auto"/>
        <w:ind w:left="600" w:right="150"/>
        <w:jc w:val="both"/>
        <w:rPr>
          <w:color w:val="000000"/>
        </w:rPr>
      </w:pPr>
      <w:bookmarkStart w:id="59" w:name="Y-300-Z-NZI-B-2025-S-885-RN-67"/>
      <w:bookmarkEnd w:id="59"/>
      <w:r>
        <w:rPr>
          <w:rStyle w:val="printcontentemrandnr"/>
          <w:rFonts w:ascii="Verdana" w:eastAsia="Verdana" w:hAnsi="Verdana" w:cs="Verdana"/>
          <w:b/>
          <w:bCs/>
          <w:color w:val="000000"/>
          <w:sz w:val="19"/>
          <w:szCs w:val="19"/>
        </w:rPr>
        <w:t>67</w:t>
      </w:r>
      <w:r>
        <w:rPr>
          <w:color w:val="000000"/>
        </w:rPr>
        <w:t xml:space="preserve">Nach der Rechtsprechung des BGH besteht die Haftung wegen sittenwidrigen vorsätzlichen Betreibens eines Schneeballsystems gem. </w:t>
      </w:r>
      <w:r>
        <w:rPr>
          <w:rStyle w:val="any"/>
          <w:color w:val="000000"/>
        </w:rPr>
        <w:t xml:space="preserve">§ </w:t>
      </w:r>
      <w:hyperlink r:id="rId257" w:history="1">
        <w:r>
          <w:rPr>
            <w:rStyle w:val="bocontentwrapperbocenteranotbeck-btn"/>
            <w:color w:val="000000"/>
            <w:u w:val="single" w:color="000000"/>
          </w:rPr>
          <w:t>826</w:t>
        </w:r>
      </w:hyperlink>
      <w:r>
        <w:rPr>
          <w:rStyle w:val="any"/>
          <w:color w:val="000000"/>
        </w:rPr>
        <w:t xml:space="preserve"> BGB</w:t>
      </w:r>
      <w:r>
        <w:rPr>
          <w:color w:val="000000"/>
        </w:rPr>
        <w:t xml:space="preserve"> bei Unterstützung eines objektiv unzulässigen Vertriebssystems in herausgehobener und für dieses unerlässlicher Funktion, wenn der Funktionsträger sich für dieses System hat einspannen lassen und es zugleich zumindest leichtfertig unterlassen hat, sich über die rechtlichen Rahmenbedingungen des Vertriebs zu vergewissern (vgl. </w:t>
      </w:r>
      <w:r>
        <w:rPr>
          <w:rStyle w:val="any"/>
          <w:color w:val="000000"/>
        </w:rPr>
        <w:t xml:space="preserve">NJW 2004, </w:t>
      </w:r>
      <w:hyperlink r:id="rId258" w:history="1">
        <w:r>
          <w:rPr>
            <w:rStyle w:val="bocontentwrapperbocenteranotbeck-btn"/>
            <w:color w:val="000000"/>
            <w:u w:val="single" w:color="000000"/>
          </w:rPr>
          <w:t>3706</w:t>
        </w:r>
      </w:hyperlink>
      <w:r>
        <w:rPr>
          <w:rStyle w:val="any"/>
          <w:color w:val="000000"/>
        </w:rPr>
        <w:t xml:space="preserve"> (</w:t>
      </w:r>
      <w:hyperlink r:id="rId259" w:history="1">
        <w:r>
          <w:rPr>
            <w:rStyle w:val="bocontentwrapperbocenteranotbeck-btn"/>
            <w:color w:val="000000"/>
            <w:u w:val="single" w:color="000000"/>
          </w:rPr>
          <w:t>3709</w:t>
        </w:r>
      </w:hyperlink>
      <w:r>
        <w:rPr>
          <w:rStyle w:val="any"/>
          <w:color w:val="000000"/>
        </w:rPr>
        <w:t> f.)</w:t>
      </w:r>
      <w:r>
        <w:rPr>
          <w:color w:val="000000"/>
        </w:rPr>
        <w:t xml:space="preserve">; </w:t>
      </w:r>
      <w:r>
        <w:rPr>
          <w:rStyle w:val="any"/>
          <w:color w:val="000000"/>
        </w:rPr>
        <w:t xml:space="preserve">NJW-RR 2015, </w:t>
      </w:r>
      <w:hyperlink r:id="rId260" w:history="1">
        <w:r>
          <w:rPr>
            <w:rStyle w:val="bocontentwrapperbocenteranotbeck-btn"/>
            <w:color w:val="000000"/>
            <w:u w:val="single" w:color="000000"/>
          </w:rPr>
          <w:t>675</w:t>
        </w:r>
      </w:hyperlink>
      <w:r>
        <w:rPr>
          <w:rStyle w:val="any"/>
          <w:color w:val="000000"/>
        </w:rPr>
        <w:t xml:space="preserve"> Rn. </w:t>
      </w:r>
      <w:hyperlink r:id="rId261" w:history="1">
        <w:r>
          <w:rPr>
            <w:rStyle w:val="bocontentwrapperbocenteranotbeck-btn"/>
            <w:color w:val="000000"/>
            <w:u w:val="single" w:color="000000"/>
          </w:rPr>
          <w:t>10</w:t>
        </w:r>
      </w:hyperlink>
      <w:r>
        <w:rPr>
          <w:color w:val="000000"/>
        </w:rPr>
        <w:t xml:space="preserve">). Die Haftung knüpft demnach an eine Tätigkeit in der Eigenschaft als Funktionsträger des Vertriebssystems an, die der Erblasser ab seiner Abberufung als Geschäftsführer der Vertriebsgesellschaften und </w:t>
      </w:r>
      <w:r>
        <w:rPr>
          <w:color w:val="000000"/>
        </w:rPr>
        <w:lastRenderedPageBreak/>
        <w:t>damit bei Abschluss der Verträge des Kl. mit der P Transport-Container GmbH jedoch nicht mehr besaß. Dass er danach noch in anderer tragender Funktion innerhalb des Systems tätig gewesen wäre oder die Vertragsschlüsse des Kl. mit der P Transport-Container GmbH noch während der Zeit der Geschäftsführertätigkeit des Erblassers in die Wege geleitet worden wären, ist nicht festgestellt.</w:t>
      </w:r>
    </w:p>
    <w:p w14:paraId="22E3D0E3" w14:textId="77777777" w:rsidR="00CF061C" w:rsidRDefault="00000000">
      <w:pPr>
        <w:pStyle w:val="divbocontentwrapperbocenterpParagraph"/>
        <w:spacing w:after="120" w:line="360" w:lineRule="auto"/>
        <w:ind w:left="600" w:right="150"/>
        <w:jc w:val="both"/>
        <w:rPr>
          <w:color w:val="000000"/>
        </w:rPr>
      </w:pPr>
      <w:bookmarkStart w:id="60" w:name="Y-300-Z-NZI-B-2025-S-885-RN-68"/>
      <w:bookmarkEnd w:id="60"/>
      <w:r>
        <w:rPr>
          <w:rStyle w:val="printcontentemrandnr"/>
          <w:rFonts w:ascii="Verdana" w:eastAsia="Verdana" w:hAnsi="Verdana" w:cs="Verdana"/>
          <w:b/>
          <w:bCs/>
          <w:color w:val="000000"/>
          <w:sz w:val="19"/>
          <w:szCs w:val="19"/>
        </w:rPr>
        <w:t>68</w:t>
      </w:r>
      <w:r>
        <w:rPr>
          <w:color w:val="000000"/>
        </w:rPr>
        <w:t xml:space="preserve">c) Soweit das BerGer. eine Haftung der Bekl. für die Verträge mit der P Transport-Container GmbH wegen Insolvenzverschleppung durch den Erblasser nach </w:t>
      </w:r>
      <w:r>
        <w:rPr>
          <w:rStyle w:val="any"/>
          <w:color w:val="000000"/>
        </w:rPr>
        <w:t xml:space="preserve">§§ </w:t>
      </w:r>
      <w:hyperlink r:id="rId262" w:history="1">
        <w:r>
          <w:rPr>
            <w:rStyle w:val="bocontentwrapperbocenteranotbeck-btn"/>
            <w:color w:val="000000"/>
            <w:u w:val="single" w:color="000000"/>
          </w:rPr>
          <w:t>1967</w:t>
        </w:r>
      </w:hyperlink>
      <w:r>
        <w:rPr>
          <w:rStyle w:val="any"/>
          <w:color w:val="000000"/>
        </w:rPr>
        <w:t xml:space="preserve"> </w:t>
      </w:r>
      <w:hyperlink r:id="rId263" w:history="1">
        <w:r>
          <w:rPr>
            <w:rStyle w:val="bocontentwrapperbocenteranotbeck-btn"/>
            <w:color w:val="000000"/>
            <w:u w:val="single" w:color="000000"/>
          </w:rPr>
          <w:t>I</w:t>
        </w:r>
      </w:hyperlink>
      <w:r>
        <w:rPr>
          <w:rStyle w:val="any"/>
          <w:color w:val="000000"/>
        </w:rPr>
        <w:t xml:space="preserve">, </w:t>
      </w:r>
      <w:hyperlink r:id="rId264" w:history="1">
        <w:r>
          <w:rPr>
            <w:rStyle w:val="bocontentwrapperbocenteranotbeck-btn"/>
            <w:color w:val="000000"/>
            <w:u w:val="single" w:color="000000"/>
          </w:rPr>
          <w:t>823</w:t>
        </w:r>
      </w:hyperlink>
      <w:r>
        <w:rPr>
          <w:rStyle w:val="any"/>
          <w:color w:val="000000"/>
        </w:rPr>
        <w:t xml:space="preserve"> </w:t>
      </w:r>
      <w:hyperlink r:id="rId265"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xml:space="preserve">§ </w:t>
      </w:r>
      <w:hyperlink r:id="rId266" w:history="1">
        <w:r>
          <w:rPr>
            <w:rStyle w:val="bocontentwrapperbocenteranotbeck-btn"/>
            <w:color w:val="000000"/>
            <w:u w:val="single" w:color="000000"/>
          </w:rPr>
          <w:t>15a</w:t>
        </w:r>
      </w:hyperlink>
      <w:r>
        <w:rPr>
          <w:rStyle w:val="any"/>
          <w:color w:val="000000"/>
        </w:rPr>
        <w:t xml:space="preserve"> </w:t>
      </w:r>
      <w:hyperlink r:id="rId267" w:history="1">
        <w:r>
          <w:rPr>
            <w:rStyle w:val="bocontentwrapperbocenteranotbeck-btn"/>
            <w:color w:val="000000"/>
            <w:u w:val="single" w:color="000000"/>
          </w:rPr>
          <w:t>I</w:t>
        </w:r>
      </w:hyperlink>
      <w:r>
        <w:rPr>
          <w:rStyle w:val="any"/>
          <w:color w:val="000000"/>
        </w:rPr>
        <w:t xml:space="preserve"> 1 InsO</w:t>
      </w:r>
      <w:r>
        <w:rPr>
          <w:color w:val="000000"/>
        </w:rPr>
        <w:t xml:space="preserve"> oder nach </w:t>
      </w:r>
      <w:r>
        <w:rPr>
          <w:rStyle w:val="any"/>
          <w:color w:val="000000"/>
        </w:rPr>
        <w:t xml:space="preserve">§§ </w:t>
      </w:r>
      <w:hyperlink r:id="rId268" w:history="1">
        <w:r>
          <w:rPr>
            <w:rStyle w:val="bocontentwrapperbocenteranotbeck-btn"/>
            <w:color w:val="000000"/>
            <w:u w:val="single" w:color="000000"/>
          </w:rPr>
          <w:t>1967</w:t>
        </w:r>
      </w:hyperlink>
      <w:r>
        <w:rPr>
          <w:rStyle w:val="any"/>
          <w:color w:val="000000"/>
        </w:rPr>
        <w:t xml:space="preserve"> </w:t>
      </w:r>
      <w:hyperlink r:id="rId269" w:history="1">
        <w:r>
          <w:rPr>
            <w:rStyle w:val="bocontentwrapperbocenteranotbeck-btn"/>
            <w:color w:val="000000"/>
            <w:u w:val="single" w:color="000000"/>
          </w:rPr>
          <w:t>I</w:t>
        </w:r>
      </w:hyperlink>
      <w:r>
        <w:rPr>
          <w:rStyle w:val="any"/>
          <w:color w:val="000000"/>
        </w:rPr>
        <w:t xml:space="preserve">, </w:t>
      </w:r>
      <w:hyperlink r:id="rId270" w:history="1">
        <w:r>
          <w:rPr>
            <w:rStyle w:val="bocontentwrapperbocenteranotbeck-btn"/>
            <w:color w:val="000000"/>
            <w:u w:val="single" w:color="000000"/>
          </w:rPr>
          <w:t>826</w:t>
        </w:r>
      </w:hyperlink>
      <w:r>
        <w:rPr>
          <w:rStyle w:val="any"/>
          <w:color w:val="000000"/>
        </w:rPr>
        <w:t xml:space="preserve"> BGB</w:t>
      </w:r>
      <w:r>
        <w:rPr>
          <w:color w:val="000000"/>
        </w:rPr>
        <w:t xml:space="preserve"> wegen vorsätzlicher Insolvenzverschleppung (vgl. BGH </w:t>
      </w:r>
      <w:r>
        <w:rPr>
          <w:rStyle w:val="any"/>
          <w:color w:val="000000"/>
        </w:rPr>
        <w:t xml:space="preserve">NZI 2021, </w:t>
      </w:r>
      <w:hyperlink r:id="rId271" w:history="1">
        <w:r>
          <w:rPr>
            <w:rStyle w:val="bocontentwrapperbocenteranotbeck-btn"/>
            <w:color w:val="000000"/>
            <w:u w:val="single" w:color="000000"/>
          </w:rPr>
          <w:t>940</w:t>
        </w:r>
      </w:hyperlink>
      <w:r>
        <w:rPr>
          <w:rStyle w:val="any"/>
          <w:color w:val="000000"/>
        </w:rPr>
        <w:t xml:space="preserve"> Rn. </w:t>
      </w:r>
      <w:hyperlink r:id="rId272" w:history="1">
        <w:r>
          <w:rPr>
            <w:rStyle w:val="bocontentwrapperbocenteranotbeck-btn"/>
            <w:color w:val="000000"/>
            <w:u w:val="single" w:color="000000"/>
          </w:rPr>
          <w:t>20</w:t>
        </w:r>
      </w:hyperlink>
      <w:r>
        <w:rPr>
          <w:color w:val="000000"/>
        </w:rPr>
        <w:t xml:space="preserve"> mwN) bereits dem Grunde nach mit der Begründung verneint hat, dass sämtliche nach der Abberufung des Erblassers geschlossenen Verträge von vornherein nicht mehr von dessen Insolvenzverschleppungshaftung umfasst seien, trifft das aus den oben genannten Gründen nicht zu.</w:t>
      </w:r>
    </w:p>
    <w:p w14:paraId="18D14D57" w14:textId="77777777" w:rsidR="00CF061C" w:rsidRDefault="00000000">
      <w:pPr>
        <w:pStyle w:val="divbocontentwrapperbocenterpParagraph"/>
        <w:spacing w:after="120" w:line="360" w:lineRule="auto"/>
        <w:ind w:left="600" w:right="150"/>
        <w:jc w:val="both"/>
        <w:rPr>
          <w:color w:val="000000"/>
        </w:rPr>
      </w:pPr>
      <w:bookmarkStart w:id="61" w:name="Y-300-Z-NZI-B-2025-S-885-RN-69"/>
      <w:bookmarkEnd w:id="61"/>
      <w:r>
        <w:rPr>
          <w:rStyle w:val="printcontentemrandnr"/>
          <w:rFonts w:ascii="Verdana" w:eastAsia="Verdana" w:hAnsi="Verdana" w:cs="Verdana"/>
          <w:b/>
          <w:bCs/>
          <w:color w:val="000000"/>
          <w:sz w:val="19"/>
          <w:szCs w:val="19"/>
        </w:rPr>
        <w:t>69</w:t>
      </w:r>
      <w:r>
        <w:rPr>
          <w:color w:val="000000"/>
        </w:rPr>
        <w:t>Ob eine Haftung der Bekl. für die Verträge mit der P Transport-Container GmbH unter dem Gesichtspunkt der Insolvenzverschleppungshaftung besteht, vermag der Senat nicht abschließend zu beurteilen, weil es diesbezüglich an Feststellungen zu einer haftungsbegründenden Verletzung der Insolvenzantragspflicht durch den Erblasser fehlt.</w:t>
      </w:r>
    </w:p>
    <w:p w14:paraId="3090B0EA" w14:textId="77777777" w:rsidR="00CF061C" w:rsidRDefault="00000000">
      <w:pPr>
        <w:pStyle w:val="divbocontentwrapperbocenterpParagraph"/>
        <w:spacing w:after="120" w:line="360" w:lineRule="auto"/>
        <w:ind w:left="600" w:right="150"/>
        <w:jc w:val="both"/>
        <w:rPr>
          <w:color w:val="000000"/>
        </w:rPr>
      </w:pPr>
      <w:bookmarkStart w:id="62" w:name="Y-300-Z-NZI-B-2025-S-885-RN-70"/>
      <w:bookmarkEnd w:id="62"/>
      <w:r>
        <w:rPr>
          <w:rStyle w:val="printcontentemrandnr"/>
          <w:rFonts w:ascii="Verdana" w:eastAsia="Verdana" w:hAnsi="Verdana" w:cs="Verdana"/>
          <w:b/>
          <w:bCs/>
          <w:color w:val="000000"/>
          <w:sz w:val="19"/>
          <w:szCs w:val="19"/>
        </w:rPr>
        <w:t>70</w:t>
      </w:r>
      <w:r>
        <w:rPr>
          <w:color w:val="000000"/>
        </w:rPr>
        <w:t xml:space="preserve">Dass die P Transport-Container GmbH bei Ausscheiden des Erblassers als Geschäftsführer bereits insolvenzreif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02FE9406" w14:textId="77777777">
        <w:tc>
          <w:tcPr>
            <w:tcW w:w="4000" w:type="pct"/>
            <w:shd w:val="clear" w:color="auto" w:fill="F0F0F0"/>
            <w:tcMar>
              <w:top w:w="0" w:type="dxa"/>
              <w:left w:w="0" w:type="dxa"/>
              <w:bottom w:w="0" w:type="dxa"/>
              <w:right w:w="0" w:type="dxa"/>
            </w:tcMar>
            <w:vAlign w:val="center"/>
            <w:hideMark/>
          </w:tcPr>
          <w:p w14:paraId="39DFBE3A"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579179E8"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891</w:t>
            </w:r>
          </w:p>
        </w:tc>
      </w:tr>
    </w:tbl>
    <w:p w14:paraId="7B815C61" w14:textId="77777777" w:rsidR="00CF061C" w:rsidRDefault="00000000">
      <w:pPr>
        <w:pStyle w:val="divbocontentwrapperbocenterpParagraph"/>
        <w:spacing w:after="120" w:line="360" w:lineRule="auto"/>
        <w:ind w:left="600" w:right="150"/>
        <w:jc w:val="both"/>
        <w:rPr>
          <w:color w:val="000000"/>
        </w:rPr>
      </w:pPr>
      <w:r>
        <w:rPr>
          <w:color w:val="000000"/>
        </w:rPr>
        <w:t>war, hat das BerGer. nicht festgestellt. Nach seinem rechtlichen Standpunkt kam es auf diesen Punkt nicht an. Eine solche Feststellung ergibt sich auch nicht aus den Ausführungen des BerGer. zur Frage eines sittenwidrigen Verhaltens des Erblassers, die P Transport-Container GmbH „habe“ „nach den Ausführungen“ in dem vom Kl. vorgelegten Gutachten vom 12.9.2018 erst seit Aufnahme des operativen Betriebs einen „negativen Überschuldungsstatus aufgewiesen“. Eine eigene Feststellung hat das BerGer. damit nicht getroffen. Dass die Gesellschaft vor dem Ausscheiden des Erblassers als Geschäftsführer zahlungsunfähig (</w:t>
      </w:r>
      <w:r>
        <w:rPr>
          <w:rStyle w:val="any"/>
          <w:color w:val="000000"/>
        </w:rPr>
        <w:t xml:space="preserve">§ </w:t>
      </w:r>
      <w:hyperlink r:id="rId273" w:history="1">
        <w:r>
          <w:rPr>
            <w:rStyle w:val="bocontentwrapperbocenteranotbeck-btn"/>
            <w:color w:val="000000"/>
            <w:u w:val="single" w:color="000000"/>
          </w:rPr>
          <w:t>17</w:t>
        </w:r>
      </w:hyperlink>
      <w:r>
        <w:rPr>
          <w:rStyle w:val="any"/>
          <w:color w:val="000000"/>
        </w:rPr>
        <w:t xml:space="preserve"> InsO</w:t>
      </w:r>
      <w:r>
        <w:rPr>
          <w:color w:val="000000"/>
        </w:rPr>
        <w:t>) gewesen wäre, ist weder festgestellt noch vom Kl. behauptet.</w:t>
      </w:r>
    </w:p>
    <w:p w14:paraId="2CC1E9E8" w14:textId="77777777" w:rsidR="00CF061C" w:rsidRDefault="00000000">
      <w:pPr>
        <w:pStyle w:val="divbocontentwrapperbocenterpParagraph"/>
        <w:spacing w:after="120" w:line="360" w:lineRule="auto"/>
        <w:ind w:left="600" w:right="150"/>
        <w:jc w:val="both"/>
        <w:rPr>
          <w:color w:val="000000"/>
        </w:rPr>
      </w:pPr>
      <w:bookmarkStart w:id="63" w:name="Y-200-Ge-BGH-Az-IIZR16523-D-2025-07-08-R"/>
      <w:bookmarkStart w:id="64" w:name="Y-200-ecli-ECLI:DE:BGH:2025:290425UIIZR1"/>
      <w:bookmarkStart w:id="65" w:name="Y-300-Z-NZI-B-2025-S-885-RN-71"/>
      <w:bookmarkEnd w:id="63"/>
      <w:bookmarkEnd w:id="64"/>
      <w:bookmarkEnd w:id="65"/>
      <w:r>
        <w:rPr>
          <w:rStyle w:val="printcontentemrandnr"/>
          <w:rFonts w:ascii="Verdana" w:eastAsia="Verdana" w:hAnsi="Verdana" w:cs="Verdana"/>
          <w:b/>
          <w:bCs/>
          <w:color w:val="000000"/>
          <w:sz w:val="19"/>
          <w:szCs w:val="19"/>
        </w:rPr>
        <w:t>71</w:t>
      </w:r>
      <w:r>
        <w:rPr>
          <w:color w:val="000000"/>
        </w:rPr>
        <w:t>III. Das Berufungsurteil ist danach aufzuheben (</w:t>
      </w:r>
      <w:r>
        <w:rPr>
          <w:rStyle w:val="any"/>
          <w:color w:val="000000"/>
        </w:rPr>
        <w:t xml:space="preserve">§ </w:t>
      </w:r>
      <w:hyperlink r:id="rId274" w:history="1">
        <w:r>
          <w:rPr>
            <w:rStyle w:val="bocontentwrapperbocenteranotbeck-btn"/>
            <w:color w:val="000000"/>
            <w:u w:val="single" w:color="000000"/>
          </w:rPr>
          <w:t>562</w:t>
        </w:r>
      </w:hyperlink>
      <w:r>
        <w:rPr>
          <w:rStyle w:val="any"/>
          <w:color w:val="000000"/>
        </w:rPr>
        <w:t xml:space="preserve"> </w:t>
      </w:r>
      <w:hyperlink r:id="rId275" w:history="1">
        <w:r>
          <w:rPr>
            <w:rStyle w:val="bocontentwrapperbocenteranotbeck-btn"/>
            <w:color w:val="000000"/>
            <w:u w:val="single" w:color="000000"/>
          </w:rPr>
          <w:t>I</w:t>
        </w:r>
      </w:hyperlink>
      <w:r>
        <w:rPr>
          <w:rStyle w:val="any"/>
          <w:color w:val="000000"/>
        </w:rPr>
        <w:t xml:space="preserve"> ZPO</w:t>
      </w:r>
      <w:r>
        <w:rPr>
          <w:color w:val="000000"/>
        </w:rPr>
        <w:t>). Der Rechtsstreit ist an das BerGer. zurückzuverweisen bzw. weiterhin unterbrochen.</w:t>
      </w:r>
      <w:bookmarkStart w:id="66" w:name="Y-300-Z-NZI-B-2025-S-885-N-1-Gl-4"/>
      <w:bookmarkEnd w:id="66"/>
    </w:p>
    <w:p w14:paraId="26372CA5" w14:textId="77777777" w:rsidR="00CF061C"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 xml:space="preserve">Anmerkung von Prof. Dr. Andreas J. Baumert [Fn. *: Der Autor ist Rechtsanwalt, Fachanwalt für Handels- und Gesellschaftsrecht und Partner </w:t>
      </w:r>
      <w:r>
        <w:rPr>
          <w:color w:val="000000"/>
          <w:sz w:val="24"/>
          <w:szCs w:val="24"/>
        </w:rPr>
        <w:lastRenderedPageBreak/>
        <w:t>bei Schultze &amp; Braun GmbH in Achern sowie Honorarprofessor an der Hochschule für öffentliche Verwaltung Kehl und Lehrbeauftragter an der Albert-Ludwigs-Universität Freiburg.]</w:t>
      </w:r>
    </w:p>
    <w:p w14:paraId="2DB874BC"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1.</w:t>
      </w:r>
      <w:r>
        <w:rPr>
          <w:color w:val="000000"/>
        </w:rPr>
        <w:t> Der II. Zivilsenat hatte mit Urteil vom 23.7.2024 (</w:t>
      </w:r>
      <w:r>
        <w:rPr>
          <w:rStyle w:val="any"/>
          <w:color w:val="000000"/>
        </w:rPr>
        <w:t xml:space="preserve">NZI 2024, </w:t>
      </w:r>
      <w:hyperlink r:id="rId276" w:history="1">
        <w:r>
          <w:rPr>
            <w:rStyle w:val="bocontentwrapperbocenteranotbeck-btn"/>
            <w:color w:val="000000"/>
            <w:u w:val="single" w:color="000000"/>
          </w:rPr>
          <w:t>840</w:t>
        </w:r>
      </w:hyperlink>
      <w:r>
        <w:rPr>
          <w:color w:val="000000"/>
        </w:rPr>
        <w:t xml:space="preserve"> mAnm Wazlawik </w:t>
      </w:r>
      <w:r>
        <w:rPr>
          <w:rStyle w:val="any"/>
          <w:color w:val="000000"/>
        </w:rPr>
        <w:t xml:space="preserve">NZI 2024, </w:t>
      </w:r>
      <w:hyperlink r:id="rId277" w:history="1">
        <w:r>
          <w:rPr>
            <w:rStyle w:val="bocontentwrapperbocenteranotbeck-btn"/>
            <w:color w:val="000000"/>
            <w:u w:val="single" w:color="000000"/>
          </w:rPr>
          <w:t>849</w:t>
        </w:r>
      </w:hyperlink>
      <w:r>
        <w:rPr>
          <w:color w:val="000000"/>
        </w:rPr>
        <w:t xml:space="preserve">) entschieden, dass der aus dem Amt ausgeschiedene Geschäftsführer gem. </w:t>
      </w:r>
      <w:r>
        <w:rPr>
          <w:rStyle w:val="any"/>
          <w:color w:val="000000"/>
        </w:rPr>
        <w:t>§ </w:t>
      </w:r>
      <w:hyperlink r:id="rId278" w:history="1">
        <w:r>
          <w:rPr>
            <w:rStyle w:val="bocontentwrapperbocenteranotbeck-btn"/>
            <w:color w:val="000000"/>
            <w:u w:val="single" w:color="000000"/>
          </w:rPr>
          <w:t>823</w:t>
        </w:r>
      </w:hyperlink>
      <w:r>
        <w:rPr>
          <w:rStyle w:val="any"/>
          <w:color w:val="000000"/>
        </w:rPr>
        <w:t> </w:t>
      </w:r>
      <w:hyperlink r:id="rId279"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w:t>
      </w:r>
      <w:hyperlink r:id="rId280" w:history="1">
        <w:r>
          <w:rPr>
            <w:rStyle w:val="bocontentwrapperbocenteranotbeck-btn"/>
            <w:color w:val="000000"/>
            <w:u w:val="single" w:color="000000"/>
          </w:rPr>
          <w:t>15a</w:t>
        </w:r>
      </w:hyperlink>
      <w:r>
        <w:rPr>
          <w:rStyle w:val="any"/>
          <w:color w:val="000000"/>
        </w:rPr>
        <w:t xml:space="preserve"> InsO</w:t>
      </w:r>
      <w:r>
        <w:rPr>
          <w:color w:val="000000"/>
        </w:rPr>
        <w:t xml:space="preserve"> grundsätzlich auch für Schäden von Neugläubigern haftet, die erst nach seinem Ausscheiden in vertragliche Beziehungen zu der Gesellschaft getreten sind (BGH </w:t>
      </w:r>
      <w:r>
        <w:rPr>
          <w:rStyle w:val="any"/>
          <w:color w:val="000000"/>
        </w:rPr>
        <w:t xml:space="preserve">NZI 2024, </w:t>
      </w:r>
      <w:hyperlink r:id="rId281" w:history="1">
        <w:r>
          <w:rPr>
            <w:rStyle w:val="bocontentwrapperbocenteranotbeck-btn"/>
            <w:color w:val="000000"/>
            <w:u w:val="single" w:color="000000"/>
          </w:rPr>
          <w:t>840</w:t>
        </w:r>
      </w:hyperlink>
      <w:r>
        <w:rPr>
          <w:rStyle w:val="any"/>
          <w:color w:val="000000"/>
        </w:rPr>
        <w:t xml:space="preserve"> Ls. 2</w:t>
      </w:r>
      <w:r>
        <w:rPr>
          <w:color w:val="000000"/>
        </w:rPr>
        <w:t xml:space="preserve">). Voraussetzung sei lediglich, dass die durch seine Antragspflichtverletzung geschaffene verschleppungsbedingte Gefahrenlage im Zeitpunkt der Schadensentstehung noch fortbestehe (BGH </w:t>
      </w:r>
      <w:r>
        <w:rPr>
          <w:rStyle w:val="any"/>
          <w:color w:val="000000"/>
        </w:rPr>
        <w:t xml:space="preserve">NZI 2024, </w:t>
      </w:r>
      <w:hyperlink r:id="rId282" w:history="1">
        <w:r>
          <w:rPr>
            <w:rStyle w:val="bocontentwrapperbocenteranotbeck-btn"/>
            <w:color w:val="000000"/>
            <w:u w:val="single" w:color="000000"/>
          </w:rPr>
          <w:t>840</w:t>
        </w:r>
      </w:hyperlink>
      <w:r>
        <w:rPr>
          <w:rStyle w:val="any"/>
          <w:color w:val="000000"/>
        </w:rPr>
        <w:t xml:space="preserve"> Ls. 2</w:t>
      </w:r>
      <w:r>
        <w:rPr>
          <w:color w:val="000000"/>
        </w:rPr>
        <w:t>).</w:t>
      </w:r>
    </w:p>
    <w:p w14:paraId="18630C04" w14:textId="77777777" w:rsidR="00CF061C" w:rsidRDefault="00000000">
      <w:pPr>
        <w:pStyle w:val="divbocontentwrapperbocenterpParagraph"/>
        <w:spacing w:after="120" w:line="360" w:lineRule="auto"/>
        <w:ind w:left="600" w:right="150"/>
        <w:jc w:val="both"/>
        <w:rPr>
          <w:color w:val="000000"/>
        </w:rPr>
      </w:pPr>
      <w:r>
        <w:rPr>
          <w:color w:val="000000"/>
        </w:rPr>
        <w:t xml:space="preserve">Dieser Rechtsprechung war zuzustimmen (so auch Lieder </w:t>
      </w:r>
      <w:r>
        <w:rPr>
          <w:rStyle w:val="any"/>
          <w:color w:val="000000"/>
        </w:rPr>
        <w:t xml:space="preserve">ZPG 2025, </w:t>
      </w:r>
      <w:hyperlink r:id="rId283" w:history="1">
        <w:r>
          <w:rPr>
            <w:rStyle w:val="bocontentwrapperbocenteranotbeck-btn"/>
            <w:color w:val="000000"/>
            <w:u w:val="single" w:color="000000"/>
          </w:rPr>
          <w:t>344</w:t>
        </w:r>
      </w:hyperlink>
      <w:r>
        <w:rPr>
          <w:color w:val="000000"/>
        </w:rPr>
        <w:t xml:space="preserve">), nachdem das Dazwischentreten eines Dritten, hier des neuen Geschäftsführers, nicht die haftungsausfüllende Kausalität beseitigt (Baumert </w:t>
      </w:r>
      <w:r>
        <w:rPr>
          <w:rStyle w:val="any"/>
          <w:color w:val="000000"/>
        </w:rPr>
        <w:t xml:space="preserve">LMK 2024, </w:t>
      </w:r>
      <w:hyperlink r:id="rId284" w:history="1">
        <w:r>
          <w:rPr>
            <w:rStyle w:val="bocontentwrapperbocenteranotbeck-btn"/>
            <w:color w:val="000000"/>
            <w:u w:val="single" w:color="000000"/>
          </w:rPr>
          <w:t>820513</w:t>
        </w:r>
      </w:hyperlink>
      <w:r>
        <w:rPr>
          <w:color w:val="000000"/>
        </w:rPr>
        <w:t xml:space="preserve"> mwN). An dieser Rechtsprechung wurde Kritik geübt für den Fall, dass der ausgeschiedene Geschäftsführer lediglich fahrlässig die Antragspflicht verletzt hat und der nach seinem Ausscheiden entstandene Neugläubigerschaden unmittelbar auf einer vorsätzlichen Verschleppung des Amtsnachfolgers beruht (Rühle/Klein </w:t>
      </w:r>
      <w:r>
        <w:rPr>
          <w:rStyle w:val="any"/>
          <w:color w:val="000000"/>
        </w:rPr>
        <w:t xml:space="preserve">DZWIR 2025, </w:t>
      </w:r>
      <w:hyperlink r:id="rId285" w:history="1">
        <w:r>
          <w:rPr>
            <w:rStyle w:val="bocontentwrapperbocenteranotbeck-btn"/>
            <w:color w:val="000000"/>
            <w:u w:val="single" w:color="000000"/>
          </w:rPr>
          <w:t>18</w:t>
        </w:r>
      </w:hyperlink>
      <w:r>
        <w:rPr>
          <w:rStyle w:val="any"/>
          <w:color w:val="000000"/>
        </w:rPr>
        <w:t xml:space="preserve"> (</w:t>
      </w:r>
      <w:hyperlink r:id="rId286" w:history="1">
        <w:r>
          <w:rPr>
            <w:rStyle w:val="bocontentwrapperbocenteranotbeck-btn"/>
            <w:color w:val="000000"/>
            <w:u w:val="single" w:color="000000"/>
          </w:rPr>
          <w:t>20</w:t>
        </w:r>
      </w:hyperlink>
      <w:r>
        <w:rPr>
          <w:rStyle w:val="any"/>
          <w:color w:val="000000"/>
        </w:rPr>
        <w:t>)</w:t>
      </w:r>
      <w:r>
        <w:rPr>
          <w:color w:val="000000"/>
        </w:rPr>
        <w:t xml:space="preserve">; vgl. auch Straubmeier </w:t>
      </w:r>
      <w:r>
        <w:rPr>
          <w:rStyle w:val="any"/>
          <w:color w:val="000000"/>
        </w:rPr>
        <w:t xml:space="preserve">FD-InsR 2024, </w:t>
      </w:r>
      <w:hyperlink r:id="rId287" w:history="1">
        <w:r>
          <w:rPr>
            <w:rStyle w:val="bocontentwrapperbocenteranotbeck-btn"/>
            <w:color w:val="000000"/>
            <w:u w:val="single" w:color="000000"/>
          </w:rPr>
          <w:t>816325</w:t>
        </w:r>
      </w:hyperlink>
      <w:r>
        <w:rPr>
          <w:color w:val="000000"/>
        </w:rPr>
        <w:t xml:space="preserve">). Der BGH hat diese Kritik nicht aufgegriffen. Zu Recht: Auch bei vorsätzlichem Verhalten eines Dritten genügt es, dass „im Zweitangriff“ sich das Schadensrisiko des „Ersteingriffs“ verwirklicht (BGH </w:t>
      </w:r>
      <w:r>
        <w:rPr>
          <w:rStyle w:val="any"/>
          <w:color w:val="000000"/>
        </w:rPr>
        <w:t xml:space="preserve">NJW-RR 2020, </w:t>
      </w:r>
      <w:hyperlink r:id="rId288" w:history="1">
        <w:r>
          <w:rPr>
            <w:rStyle w:val="bocontentwrapperbocenteranotbeck-btn"/>
            <w:color w:val="000000"/>
            <w:u w:val="single" w:color="000000"/>
          </w:rPr>
          <w:t>1099</w:t>
        </w:r>
      </w:hyperlink>
      <w:r>
        <w:rPr>
          <w:rStyle w:val="any"/>
          <w:color w:val="000000"/>
        </w:rPr>
        <w:t xml:space="preserve"> Rn. </w:t>
      </w:r>
      <w:hyperlink r:id="rId289" w:history="1">
        <w:r>
          <w:rPr>
            <w:rStyle w:val="bocontentwrapperbocenteranotbeck-btn"/>
            <w:color w:val="000000"/>
            <w:u w:val="single" w:color="000000"/>
          </w:rPr>
          <w:t>13</w:t>
        </w:r>
      </w:hyperlink>
      <w:r>
        <w:rPr>
          <w:color w:val="000000"/>
        </w:rPr>
        <w:t xml:space="preserve">; zust. bereits Baumert </w:t>
      </w:r>
      <w:r>
        <w:rPr>
          <w:rStyle w:val="any"/>
          <w:color w:val="000000"/>
        </w:rPr>
        <w:t xml:space="preserve">LMK 2024, </w:t>
      </w:r>
      <w:hyperlink r:id="rId290" w:history="1">
        <w:r>
          <w:rPr>
            <w:rStyle w:val="bocontentwrapperbocenteranotbeck-btn"/>
            <w:color w:val="000000"/>
            <w:u w:val="single" w:color="000000"/>
          </w:rPr>
          <w:t>8020513</w:t>
        </w:r>
      </w:hyperlink>
      <w:r>
        <w:rPr>
          <w:color w:val="000000"/>
        </w:rPr>
        <w:t xml:space="preserve">). </w:t>
      </w:r>
    </w:p>
    <w:p w14:paraId="2AD0C661"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2.</w:t>
      </w:r>
      <w:r>
        <w:rPr>
          <w:color w:val="000000"/>
        </w:rPr>
        <w:t xml:space="preserve"> Dagegen greift der II. Senat in einem obiter dictum eine mögliche anderweitige Einschränkung der Haftung gegenüber Neugläubigern auf. Er erwägt, ob aufgrund „fortwirkender Pflichten nach Beendigung der Organstellung“ das Einwirken des früheren Geschäftsführers auf den nachfolgenden Geschäftsführer eine Unterbrechung des Zurechnungszusammenhangs (Urteil Rn. 53 mwN) begründen könnte (dazu jetzt auch Lieder </w:t>
      </w:r>
      <w:r>
        <w:rPr>
          <w:rStyle w:val="any"/>
          <w:color w:val="000000"/>
        </w:rPr>
        <w:t xml:space="preserve">ZPG 2025, </w:t>
      </w:r>
      <w:hyperlink r:id="rId291" w:history="1">
        <w:r>
          <w:rPr>
            <w:rStyle w:val="bocontentwrapperbocenteranotbeck-btn"/>
            <w:color w:val="000000"/>
            <w:u w:val="single" w:color="000000"/>
          </w:rPr>
          <w:t>344</w:t>
        </w:r>
      </w:hyperlink>
      <w:r>
        <w:rPr>
          <w:rStyle w:val="any"/>
          <w:color w:val="000000"/>
        </w:rPr>
        <w:t xml:space="preserve"> (</w:t>
      </w:r>
      <w:hyperlink r:id="rId292" w:history="1">
        <w:r>
          <w:rPr>
            <w:rStyle w:val="bocontentwrapperbocenteranotbeck-btn"/>
            <w:color w:val="000000"/>
            <w:u w:val="single" w:color="000000"/>
          </w:rPr>
          <w:t>345</w:t>
        </w:r>
      </w:hyperlink>
      <w:r>
        <w:rPr>
          <w:rStyle w:val="any"/>
          <w:color w:val="000000"/>
        </w:rPr>
        <w:t>)</w:t>
      </w:r>
      <w:r>
        <w:rPr>
          <w:color w:val="000000"/>
        </w:rPr>
        <w:t>).</w:t>
      </w:r>
    </w:p>
    <w:p w14:paraId="2657314F"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a)</w:t>
      </w:r>
      <w:r>
        <w:rPr>
          <w:color w:val="000000"/>
        </w:rPr>
        <w:t xml:space="preserve"> Im Ausgangspunkt ist auf der Ebene des objektiven Tatbestandes des </w:t>
      </w:r>
      <w:r>
        <w:rPr>
          <w:rStyle w:val="any"/>
          <w:color w:val="000000"/>
        </w:rPr>
        <w:t>§ </w:t>
      </w:r>
      <w:hyperlink r:id="rId293" w:history="1">
        <w:r>
          <w:rPr>
            <w:rStyle w:val="bocontentwrapperbocenteranotbeck-btn"/>
            <w:color w:val="000000"/>
            <w:u w:val="single" w:color="000000"/>
          </w:rPr>
          <w:t>15a</w:t>
        </w:r>
      </w:hyperlink>
      <w:r>
        <w:rPr>
          <w:rStyle w:val="any"/>
          <w:color w:val="000000"/>
        </w:rPr>
        <w:t xml:space="preserve"> InsO</w:t>
      </w:r>
      <w:r>
        <w:rPr>
          <w:color w:val="000000"/>
        </w:rPr>
        <w:t xml:space="preserve"> klar, dass mit Beendigung der Organstellung auch die Insolvenzantragspflicht entfällt, eine bereits entstandene Pflichtverletzung oder Strafbarkeit aber nicht mehr rückwirkend beseitigt werden kann (Uhlenbruck/Hirte InsO, 16. Aufl. 2025, InsO § 15b Rn. 12). Soweit weitergehend angenommen wird, dass trotz der Beendigung der Organstellung fortwirkende Pflichten bestehen, insbesondere zur Information und Veranlassung der ehemaligen Kollegen oder des Nachfolgers zur Antragstellung (</w:t>
      </w:r>
      <w:r>
        <w:rPr>
          <w:rStyle w:val="any"/>
          <w:color w:val="000000"/>
        </w:rPr>
        <w:t>MüKoInsO/Klöhn, 5. Aufl. 2025, InsO § 15a Rn. </w:t>
      </w:r>
      <w:hyperlink r:id="rId294" w:history="1">
        <w:r>
          <w:rPr>
            <w:rStyle w:val="bocontentwrapperbocenteranotbeck-btn"/>
            <w:color w:val="000000"/>
            <w:u w:val="single" w:color="000000"/>
          </w:rPr>
          <w:t>12</w:t>
        </w:r>
      </w:hyperlink>
      <w:r>
        <w:rPr>
          <w:color w:val="000000"/>
        </w:rPr>
        <w:t xml:space="preserve">; </w:t>
      </w:r>
      <w:r>
        <w:rPr>
          <w:rStyle w:val="any"/>
          <w:color w:val="000000"/>
        </w:rPr>
        <w:t>BeckOK InsR/Wolfer, 1.8.2025, InsO § 15a Rn. </w:t>
      </w:r>
      <w:hyperlink r:id="rId295" w:history="1">
        <w:r>
          <w:rPr>
            <w:rStyle w:val="bocontentwrapperbocenteranotbeck-btn"/>
            <w:color w:val="000000"/>
            <w:u w:val="single" w:color="000000"/>
          </w:rPr>
          <w:t>8 a</w:t>
        </w:r>
      </w:hyperlink>
      <w:r>
        <w:rPr>
          <w:color w:val="000000"/>
        </w:rPr>
        <w:t xml:space="preserve">; Anders/Leithaus/Leithaus InsO, 5. Aufl. 2025, InsO § 15a Rn. 4: </w:t>
      </w:r>
      <w:r>
        <w:rPr>
          <w:color w:val="000000"/>
        </w:rPr>
        <w:lastRenderedPageBreak/>
        <w:t xml:space="preserve">Braun/Erbe InsO, 10. Aufl. 2024, InsO § 15a Rn. 12; KPB/Steffek InsO, 104 EL 6/2025, InsO § 15a Rn. 30; Noack/Servatius/Haas GmbHG, 24. Aufl. 2025, InsO § 15b Rn. 235; </w:t>
      </w:r>
      <w:r>
        <w:rPr>
          <w:rStyle w:val="any"/>
          <w:color w:val="000000"/>
        </w:rPr>
        <w:t>FK-InsO/Bruder, 10. Aufl. 2024, InsO § 15a Rn. 36</w:t>
      </w:r>
      <w:r>
        <w:rPr>
          <w:color w:val="000000"/>
        </w:rPr>
        <w:t xml:space="preserve">; ohne Begründung aus strafrechtlicher Sicht bereits </w:t>
      </w:r>
      <w:r>
        <w:rPr>
          <w:rStyle w:val="any"/>
          <w:color w:val="000000"/>
        </w:rPr>
        <w:t xml:space="preserve">BGHSt 2, </w:t>
      </w:r>
      <w:hyperlink r:id="rId296"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297" w:history="1">
        <w:r>
          <w:rPr>
            <w:rStyle w:val="bocontentwrapperbocenteranotbeck-btn"/>
            <w:color w:val="000000"/>
            <w:u w:val="single" w:color="000000"/>
          </w:rPr>
          <w:t>103037</w:t>
        </w:r>
      </w:hyperlink>
      <w:r>
        <w:rPr>
          <w:rStyle w:val="any"/>
          <w:color w:val="000000"/>
        </w:rPr>
        <w:t xml:space="preserve"> Rn. </w:t>
      </w:r>
      <w:hyperlink r:id="rId298" w:history="1">
        <w:r>
          <w:rPr>
            <w:rStyle w:val="bocontentwrapperbocenteranotbeck-btn"/>
            <w:color w:val="000000"/>
            <w:u w:val="single" w:color="000000"/>
          </w:rPr>
          <w:t>10</w:t>
        </w:r>
      </w:hyperlink>
      <w:r>
        <w:rPr>
          <w:color w:val="000000"/>
        </w:rPr>
        <w:t xml:space="preserve">), ist dies in dieser Allgemeinheit nicht überzeugend (krit. auch </w:t>
      </w:r>
      <w:r>
        <w:rPr>
          <w:rStyle w:val="any"/>
          <w:color w:val="000000"/>
        </w:rPr>
        <w:t>BK-InsO/Haas, 3/2016, InsO § 15a Rn. 11</w:t>
      </w:r>
      <w:r>
        <w:rPr>
          <w:color w:val="000000"/>
        </w:rPr>
        <w:t xml:space="preserve">; Noack/Servatius/Haas GmbHG, 24. Aufl. 2025, InsO § 15b Rn. 235 für den Fall der Niederlegung innerhalb der Antragshöchstfrist). Das Argument, zwar ergebe sich eine Pflicht nicht aus dem Wortlaut der Vorschrift des </w:t>
      </w:r>
      <w:r>
        <w:rPr>
          <w:rStyle w:val="any"/>
          <w:color w:val="000000"/>
        </w:rPr>
        <w:t>§ </w:t>
      </w:r>
      <w:hyperlink r:id="rId299" w:history="1">
        <w:r>
          <w:rPr>
            <w:rStyle w:val="bocontentwrapperbocenteranotbeck-btn"/>
            <w:color w:val="000000"/>
            <w:u w:val="single" w:color="000000"/>
          </w:rPr>
          <w:t>15a</w:t>
        </w:r>
      </w:hyperlink>
      <w:r>
        <w:rPr>
          <w:rStyle w:val="any"/>
          <w:color w:val="000000"/>
        </w:rPr>
        <w:t xml:space="preserve"> InsO</w:t>
      </w:r>
      <w:r>
        <w:rPr>
          <w:color w:val="000000"/>
        </w:rPr>
        <w:t>, aber entsprechende insolvenzrechtliche Pflichten seien im Wertungsabgleich zur Dogmatik oder aus deliktischen Verkehrspflichten herzuleiten (</w:t>
      </w:r>
      <w:r>
        <w:rPr>
          <w:rStyle w:val="any"/>
          <w:color w:val="000000"/>
        </w:rPr>
        <w:t>MüKoInsO/Klöhn, 5. Aufl. 2025, InsO § 15a Rn. </w:t>
      </w:r>
      <w:hyperlink r:id="rId300" w:history="1">
        <w:r>
          <w:rPr>
            <w:rStyle w:val="bocontentwrapperbocenteranotbeck-btn"/>
            <w:color w:val="000000"/>
            <w:u w:val="single" w:color="000000"/>
          </w:rPr>
          <w:t>12</w:t>
        </w:r>
      </w:hyperlink>
      <w:r>
        <w:rPr>
          <w:color w:val="000000"/>
        </w:rPr>
        <w:t xml:space="preserve">), ist, nachdem es sich bei </w:t>
      </w:r>
      <w:r>
        <w:rPr>
          <w:rStyle w:val="any"/>
          <w:color w:val="000000"/>
        </w:rPr>
        <w:t>§ </w:t>
      </w:r>
      <w:hyperlink r:id="rId301" w:history="1">
        <w:r>
          <w:rPr>
            <w:rStyle w:val="bocontentwrapperbocenteranotbeck-btn"/>
            <w:color w:val="000000"/>
            <w:u w:val="single" w:color="000000"/>
          </w:rPr>
          <w:t>15a</w:t>
        </w:r>
      </w:hyperlink>
      <w:r>
        <w:rPr>
          <w:rStyle w:val="any"/>
          <w:color w:val="000000"/>
        </w:rPr>
        <w:t xml:space="preserve"> InsO</w:t>
      </w:r>
      <w:r>
        <w:rPr>
          <w:color w:val="000000"/>
        </w:rPr>
        <w:t xml:space="preserve"> auch um eine Strafrechtsnorm handelt (</w:t>
      </w:r>
      <w:r>
        <w:rPr>
          <w:rStyle w:val="any"/>
          <w:color w:val="000000"/>
        </w:rPr>
        <w:t>§ </w:t>
      </w:r>
      <w:hyperlink r:id="rId302" w:history="1">
        <w:r>
          <w:rPr>
            <w:rStyle w:val="bocontentwrapperbocenteranotbeck-btn"/>
            <w:color w:val="000000"/>
            <w:u w:val="single" w:color="000000"/>
          </w:rPr>
          <w:t>15a</w:t>
        </w:r>
      </w:hyperlink>
      <w:r>
        <w:rPr>
          <w:rStyle w:val="any"/>
          <w:color w:val="000000"/>
        </w:rPr>
        <w:t> </w:t>
      </w:r>
      <w:hyperlink r:id="rId303" w:history="1">
        <w:r>
          <w:rPr>
            <w:rStyle w:val="bocontentwrapperbocenteranotbeck-btn"/>
            <w:color w:val="000000"/>
            <w:u w:val="single" w:color="000000"/>
          </w:rPr>
          <w:t>IV</w:t>
        </w:r>
      </w:hyperlink>
      <w:r>
        <w:rPr>
          <w:rStyle w:val="any"/>
          <w:color w:val="000000"/>
        </w:rPr>
        <w:t xml:space="preserve"> InsO</w:t>
      </w:r>
      <w:r>
        <w:rPr>
          <w:color w:val="000000"/>
        </w:rPr>
        <w:t xml:space="preserve">), unter rechtsstaatlichen Gesichtspunkten nicht begründbar (aA iE für Amtsniederlegung innerhalb des Drei-Wochen-Zeitraums bei </w:t>
      </w:r>
      <w:r>
        <w:rPr>
          <w:rStyle w:val="any"/>
          <w:color w:val="000000"/>
        </w:rPr>
        <w:t>§ 64 X</w:t>
      </w:r>
      <w:r>
        <w:rPr>
          <w:color w:val="000000"/>
        </w:rPr>
        <w:t xml:space="preserve"> GmbH aF </w:t>
      </w:r>
      <w:r>
        <w:rPr>
          <w:rStyle w:val="any"/>
          <w:color w:val="000000"/>
        </w:rPr>
        <w:t xml:space="preserve">BGHSt 2, </w:t>
      </w:r>
      <w:hyperlink r:id="rId304"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305" w:history="1">
        <w:r>
          <w:rPr>
            <w:rStyle w:val="bocontentwrapperbocenteranotbeck-btn"/>
            <w:color w:val="000000"/>
            <w:u w:val="single" w:color="000000"/>
          </w:rPr>
          <w:t>103037</w:t>
        </w:r>
      </w:hyperlink>
      <w:r>
        <w:rPr>
          <w:rStyle w:val="any"/>
          <w:color w:val="000000"/>
        </w:rPr>
        <w:t xml:space="preserve"> Rn. </w:t>
      </w:r>
      <w:hyperlink r:id="rId306" w:history="1">
        <w:r>
          <w:rPr>
            <w:rStyle w:val="bocontentwrapperbocenteranotbeck-btn"/>
            <w:color w:val="000000"/>
            <w:u w:val="single" w:color="000000"/>
          </w:rPr>
          <w:t>10</w:t>
        </w:r>
      </w:hyperlink>
      <w:r>
        <w:rPr>
          <w:color w:val="000000"/>
        </w:rPr>
        <w:t xml:space="preserve">). Eine solche Erweiterung der Pflichten ist auch nicht geboten (aA iE BGH </w:t>
      </w:r>
      <w:r>
        <w:rPr>
          <w:rStyle w:val="any"/>
          <w:color w:val="000000"/>
        </w:rPr>
        <w:t xml:space="preserve">BGHSt 2, </w:t>
      </w:r>
      <w:hyperlink r:id="rId307"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308" w:history="1">
        <w:r>
          <w:rPr>
            <w:rStyle w:val="bocontentwrapperbocenteranotbeck-btn"/>
            <w:color w:val="000000"/>
            <w:u w:val="single" w:color="000000"/>
          </w:rPr>
          <w:t>103037</w:t>
        </w:r>
      </w:hyperlink>
      <w:r>
        <w:rPr>
          <w:rStyle w:val="any"/>
          <w:color w:val="000000"/>
        </w:rPr>
        <w:t xml:space="preserve"> Rn. </w:t>
      </w:r>
      <w:hyperlink r:id="rId309" w:history="1">
        <w:r>
          <w:rPr>
            <w:rStyle w:val="bocontentwrapperbocenteranotbeck-btn"/>
            <w:color w:val="000000"/>
            <w:u w:val="single" w:color="000000"/>
          </w:rPr>
          <w:t>10</w:t>
        </w:r>
      </w:hyperlink>
      <w:r>
        <w:rPr>
          <w:color w:val="000000"/>
        </w:rPr>
        <w:t xml:space="preserve">). Der frühere Geschäftsführer hat sich wegen Verschleppung der Insolvenz nach </w:t>
      </w:r>
      <w:r>
        <w:rPr>
          <w:rStyle w:val="any"/>
          <w:color w:val="000000"/>
        </w:rPr>
        <w:t>§ </w:t>
      </w:r>
      <w:hyperlink r:id="rId310" w:history="1">
        <w:r>
          <w:rPr>
            <w:rStyle w:val="bocontentwrapperbocenteranotbeck-btn"/>
            <w:color w:val="000000"/>
            <w:u w:val="single" w:color="000000"/>
          </w:rPr>
          <w:t>15a</w:t>
        </w:r>
      </w:hyperlink>
      <w:r>
        <w:rPr>
          <w:rStyle w:val="any"/>
          <w:color w:val="000000"/>
        </w:rPr>
        <w:t xml:space="preserve"> InsO</w:t>
      </w:r>
      <w:r>
        <w:rPr>
          <w:color w:val="000000"/>
        </w:rPr>
        <w:t xml:space="preserve"> strafbar und nach </w:t>
      </w:r>
      <w:r>
        <w:rPr>
          <w:rStyle w:val="any"/>
          <w:color w:val="000000"/>
        </w:rPr>
        <w:t>§ </w:t>
      </w:r>
      <w:hyperlink r:id="rId311" w:history="1">
        <w:r>
          <w:rPr>
            <w:rStyle w:val="bocontentwrapperbocenteranotbeck-btn"/>
            <w:color w:val="000000"/>
            <w:u w:val="single" w:color="000000"/>
          </w:rPr>
          <w:t>823</w:t>
        </w:r>
      </w:hyperlink>
      <w:r>
        <w:rPr>
          <w:rStyle w:val="any"/>
          <w:color w:val="000000"/>
        </w:rPr>
        <w:t> </w:t>
      </w:r>
      <w:hyperlink r:id="rId312" w:history="1">
        <w:r>
          <w:rPr>
            <w:rStyle w:val="bocontentwrapperbocenteranotbeck-btn"/>
            <w:color w:val="000000"/>
            <w:u w:val="single" w:color="000000"/>
          </w:rPr>
          <w:t>II</w:t>
        </w:r>
      </w:hyperlink>
      <w:r>
        <w:rPr>
          <w:rStyle w:val="any"/>
          <w:color w:val="000000"/>
        </w:rPr>
        <w:t xml:space="preserve"> BGB</w:t>
      </w:r>
      <w:r>
        <w:rPr>
          <w:color w:val="000000"/>
        </w:rPr>
        <w:t xml:space="preserve">, </w:t>
      </w:r>
      <w:r>
        <w:rPr>
          <w:rStyle w:val="any"/>
          <w:color w:val="000000"/>
        </w:rPr>
        <w:t>§ </w:t>
      </w:r>
      <w:hyperlink r:id="rId313" w:history="1">
        <w:r>
          <w:rPr>
            <w:rStyle w:val="bocontentwrapperbocenteranotbeck-btn"/>
            <w:color w:val="000000"/>
            <w:u w:val="single" w:color="000000"/>
          </w:rPr>
          <w:t>15a</w:t>
        </w:r>
      </w:hyperlink>
      <w:r>
        <w:rPr>
          <w:rStyle w:val="any"/>
          <w:color w:val="000000"/>
        </w:rPr>
        <w:t xml:space="preserve"> InsO</w:t>
      </w:r>
      <w:r>
        <w:rPr>
          <w:color w:val="000000"/>
        </w:rPr>
        <w:t xml:space="preserve"> haftbar gemacht, wenn er das Amt innerhalb der laufenden Höchstfrist niederlegt, da dann Missbräuchlichkeit vorliegt, so dass die Niederlegung nicht zur Beendigung der Organstellung führt (K. Schmidt/K. Schmidt/Herrchen InsO, 20. Aufl. 2023, InsO § 15a Rn. 30 mwN; insoweit zutr. </w:t>
      </w:r>
      <w:r>
        <w:rPr>
          <w:rStyle w:val="any"/>
          <w:color w:val="000000"/>
        </w:rPr>
        <w:t xml:space="preserve">BGHSt 2, </w:t>
      </w:r>
      <w:hyperlink r:id="rId314"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315" w:history="1">
        <w:r>
          <w:rPr>
            <w:rStyle w:val="bocontentwrapperbocenteranotbeck-btn"/>
            <w:color w:val="000000"/>
            <w:u w:val="single" w:color="000000"/>
          </w:rPr>
          <w:t>103037</w:t>
        </w:r>
      </w:hyperlink>
      <w:r>
        <w:rPr>
          <w:rStyle w:val="any"/>
          <w:color w:val="000000"/>
        </w:rPr>
        <w:t xml:space="preserve"> Rn. </w:t>
      </w:r>
      <w:hyperlink r:id="rId316" w:history="1">
        <w:r>
          <w:rPr>
            <w:rStyle w:val="bocontentwrapperbocenteranotbeck-btn"/>
            <w:color w:val="000000"/>
            <w:u w:val="single" w:color="000000"/>
          </w:rPr>
          <w:t>10</w:t>
        </w:r>
      </w:hyperlink>
      <w:r>
        <w:rPr>
          <w:color w:val="000000"/>
        </w:rPr>
        <w:t xml:space="preserve">; </w:t>
      </w:r>
      <w:r>
        <w:rPr>
          <w:rStyle w:val="any"/>
          <w:color w:val="000000"/>
        </w:rPr>
        <w:t xml:space="preserve">BGHSt 48, </w:t>
      </w:r>
      <w:hyperlink r:id="rId317" w:history="1">
        <w:r>
          <w:rPr>
            <w:rStyle w:val="bocontentwrapperbocenteranotbeck-btn"/>
            <w:color w:val="000000"/>
            <w:u w:val="single" w:color="000000"/>
          </w:rPr>
          <w:t>307</w:t>
        </w:r>
      </w:hyperlink>
      <w:r>
        <w:rPr>
          <w:color w:val="000000"/>
        </w:rPr>
        <w:t xml:space="preserve"> = </w:t>
      </w:r>
      <w:r>
        <w:rPr>
          <w:rStyle w:val="any"/>
          <w:color w:val="000000"/>
        </w:rPr>
        <w:t xml:space="preserve">BeckRS 2002, </w:t>
      </w:r>
      <w:hyperlink r:id="rId318" w:history="1">
        <w:r>
          <w:rPr>
            <w:rStyle w:val="bocontentwrapperbocenteranotbeck-btn"/>
            <w:color w:val="000000"/>
            <w:u w:val="single" w:color="000000"/>
          </w:rPr>
          <w:t>5132</w:t>
        </w:r>
      </w:hyperlink>
      <w:r>
        <w:rPr>
          <w:rStyle w:val="any"/>
          <w:color w:val="000000"/>
        </w:rPr>
        <w:t xml:space="preserve"> Rn. </w:t>
      </w:r>
      <w:hyperlink r:id="rId319" w:history="1">
        <w:r>
          <w:rPr>
            <w:rStyle w:val="bocontentwrapperbocenteranotbeck-btn"/>
            <w:color w:val="000000"/>
            <w:u w:val="single" w:color="000000"/>
          </w:rPr>
          <w:t>25</w:t>
        </w:r>
      </w:hyperlink>
      <w:r>
        <w:rPr>
          <w:color w:val="000000"/>
        </w:rPr>
        <w:t xml:space="preserve">, offengelassen aber mangels Entscheidungserheblichkeit bei Neubestellung eines Organs; Noack/Servatius/Haas GmbHG, 24. Aufl. 2025, InsO § 15b Rn. 235 nur für Niederlegung innerhalb der Antragsfrist, nicht aber allgemein bei Missbräuchlichkeit). Stellt nachfolgend auch der neue Geschäftsführer nicht innerhalb der noch offenen Frist einen Antrag, ist </w:t>
      </w:r>
      <w:r>
        <w:rPr>
          <w:rStyle w:val="any"/>
          <w:color w:val="000000"/>
        </w:rPr>
        <w:t>§ </w:t>
      </w:r>
      <w:hyperlink r:id="rId320" w:history="1">
        <w:r>
          <w:rPr>
            <w:rStyle w:val="bocontentwrapperbocenteranotbeck-btn"/>
            <w:color w:val="000000"/>
            <w:u w:val="single" w:color="000000"/>
          </w:rPr>
          <w:t>15a</w:t>
        </w:r>
      </w:hyperlink>
      <w:r>
        <w:rPr>
          <w:rStyle w:val="any"/>
          <w:color w:val="000000"/>
        </w:rPr>
        <w:t> </w:t>
      </w:r>
      <w:hyperlink r:id="rId321" w:history="1">
        <w:r>
          <w:rPr>
            <w:rStyle w:val="bocontentwrapperbocenteranotbeck-btn"/>
            <w:color w:val="000000"/>
            <w:u w:val="single" w:color="000000"/>
          </w:rPr>
          <w:t>I</w:t>
        </w:r>
      </w:hyperlink>
      <w:r>
        <w:rPr>
          <w:rStyle w:val="any"/>
          <w:color w:val="000000"/>
        </w:rPr>
        <w:t xml:space="preserve"> u. </w:t>
      </w:r>
      <w:hyperlink r:id="rId322" w:history="1">
        <w:r>
          <w:rPr>
            <w:rStyle w:val="bocontentwrapperbocenteranotbeck-btn"/>
            <w:color w:val="000000"/>
            <w:u w:val="single" w:color="000000"/>
          </w:rPr>
          <w:t>IV</w:t>
        </w:r>
      </w:hyperlink>
      <w:r>
        <w:rPr>
          <w:rStyle w:val="any"/>
          <w:color w:val="000000"/>
        </w:rPr>
        <w:t xml:space="preserve"> InsO</w:t>
      </w:r>
      <w:r>
        <w:rPr>
          <w:color w:val="000000"/>
        </w:rPr>
        <w:t xml:space="preserve"> tatbestandsmäßig erfüllt (aA </w:t>
      </w:r>
      <w:r>
        <w:rPr>
          <w:rStyle w:val="any"/>
          <w:color w:val="000000"/>
        </w:rPr>
        <w:t xml:space="preserve">BGHSt 2, </w:t>
      </w:r>
      <w:hyperlink r:id="rId323"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324" w:history="1">
        <w:r>
          <w:rPr>
            <w:rStyle w:val="bocontentwrapperbocenteranotbeck-btn"/>
            <w:color w:val="000000"/>
            <w:u w:val="single" w:color="000000"/>
          </w:rPr>
          <w:t>103037</w:t>
        </w:r>
      </w:hyperlink>
      <w:r>
        <w:rPr>
          <w:rStyle w:val="any"/>
          <w:color w:val="000000"/>
        </w:rPr>
        <w:t xml:space="preserve"> Rn. </w:t>
      </w:r>
      <w:hyperlink r:id="rId325" w:history="1">
        <w:r>
          <w:rPr>
            <w:rStyle w:val="bocontentwrapperbocenteranotbeck-btn"/>
            <w:color w:val="000000"/>
            <w:u w:val="single" w:color="000000"/>
          </w:rPr>
          <w:t>10</w:t>
        </w:r>
      </w:hyperlink>
      <w:r>
        <w:rPr>
          <w:color w:val="000000"/>
        </w:rPr>
        <w:t xml:space="preserve">, der bei Einwirkung auf den neuen Geschäftsführer zur fristgemäßen Antragsstellung die Strafbarkeit verneinen will, ohne zu differenzieren, ob die Einwirkung erfolgreich war oder nicht; vgl. auch </w:t>
      </w:r>
      <w:r>
        <w:rPr>
          <w:rStyle w:val="any"/>
          <w:color w:val="000000"/>
        </w:rPr>
        <w:t xml:space="preserve">BGHSt 48, </w:t>
      </w:r>
      <w:hyperlink r:id="rId326" w:history="1">
        <w:r>
          <w:rPr>
            <w:rStyle w:val="bocontentwrapperbocenteranotbeck-btn"/>
            <w:color w:val="000000"/>
            <w:u w:val="single" w:color="000000"/>
          </w:rPr>
          <w:t>307</w:t>
        </w:r>
      </w:hyperlink>
      <w:r>
        <w:rPr>
          <w:color w:val="000000"/>
        </w:rPr>
        <w:t xml:space="preserve"> = </w:t>
      </w:r>
      <w:r>
        <w:rPr>
          <w:rStyle w:val="any"/>
          <w:color w:val="000000"/>
        </w:rPr>
        <w:t xml:space="preserve">BeckRS 2002, </w:t>
      </w:r>
      <w:hyperlink r:id="rId327" w:history="1">
        <w:r>
          <w:rPr>
            <w:rStyle w:val="bocontentwrapperbocenteranotbeck-btn"/>
            <w:color w:val="000000"/>
            <w:u w:val="single" w:color="000000"/>
          </w:rPr>
          <w:t>5132</w:t>
        </w:r>
      </w:hyperlink>
      <w:r>
        <w:rPr>
          <w:rStyle w:val="any"/>
          <w:color w:val="000000"/>
        </w:rPr>
        <w:t xml:space="preserve"> Rn. </w:t>
      </w:r>
      <w:hyperlink r:id="rId328" w:history="1">
        <w:r>
          <w:rPr>
            <w:rStyle w:val="bocontentwrapperbocenteranotbeck-btn"/>
            <w:color w:val="000000"/>
            <w:u w:val="single" w:color="000000"/>
          </w:rPr>
          <w:t>25</w:t>
        </w:r>
      </w:hyperlink>
      <w:r>
        <w:rPr>
          <w:color w:val="000000"/>
        </w:rPr>
        <w:t xml:space="preserve"> – offengelassen mangels Entscheidungserheblichkeit bei Neubestellung eines anderen Geschäftsführers). Der Annahme einer solchen nachwirkenden Pflicht bedarf es auch nicht für den Fall, dass der Geschäftsführer nicht mit seinem Willen abberufen wurde. Hier scheitert eine Strafbarkeit daran, dass der Organvertreter die Höchstfrist zur Antragsstellung nicht mehr nutzen konnte, so dass es bereits am objektiven Tatbestand des </w:t>
      </w:r>
      <w:r>
        <w:rPr>
          <w:rStyle w:val="any"/>
          <w:color w:val="000000"/>
        </w:rPr>
        <w:t>§ </w:t>
      </w:r>
      <w:hyperlink r:id="rId329" w:history="1">
        <w:r>
          <w:rPr>
            <w:rStyle w:val="bocontentwrapperbocenteranotbeck-btn"/>
            <w:color w:val="000000"/>
            <w:u w:val="single" w:color="000000"/>
          </w:rPr>
          <w:t>15a</w:t>
        </w:r>
      </w:hyperlink>
      <w:r>
        <w:rPr>
          <w:rStyle w:val="any"/>
          <w:color w:val="000000"/>
        </w:rPr>
        <w:t> </w:t>
      </w:r>
      <w:hyperlink r:id="rId330" w:history="1">
        <w:r>
          <w:rPr>
            <w:rStyle w:val="bocontentwrapperbocenteranotbeck-btn"/>
            <w:color w:val="000000"/>
            <w:u w:val="single" w:color="000000"/>
          </w:rPr>
          <w:t>I</w:t>
        </w:r>
      </w:hyperlink>
      <w:r>
        <w:rPr>
          <w:rStyle w:val="any"/>
          <w:color w:val="000000"/>
        </w:rPr>
        <w:t xml:space="preserve"> InsO</w:t>
      </w:r>
      <w:r>
        <w:rPr>
          <w:color w:val="000000"/>
        </w:rPr>
        <w:t xml:space="preserve"> fehlt.</w:t>
      </w:r>
    </w:p>
    <w:p w14:paraId="7A0B74C5"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b)</w:t>
      </w:r>
      <w:r>
        <w:rPr>
          <w:color w:val="000000"/>
        </w:rPr>
        <w:t xml:space="preserve"> Bezüglich der spezifischen haftungsrechtlichen Frage der Unterbrechung des Zurechnungszusammenhangs ist wie folgt zu differenzieren. </w:t>
      </w:r>
    </w:p>
    <w:p w14:paraId="248B97F0"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lastRenderedPageBreak/>
        <w:t>aa)</w:t>
      </w:r>
      <w:r>
        <w:rPr>
          <w:color w:val="000000"/>
        </w:rPr>
        <w:t xml:space="preserve"> Wirkt der frühere Geschäftsführer – obgleich er dazu, wie dargelegt, nicht die Pflicht hat – innerhalb der noch offenen Antragsfrist des </w:t>
      </w:r>
      <w:r>
        <w:rPr>
          <w:rStyle w:val="any"/>
          <w:color w:val="000000"/>
        </w:rPr>
        <w:t>§ </w:t>
      </w:r>
      <w:hyperlink r:id="rId331" w:history="1">
        <w:r>
          <w:rPr>
            <w:rStyle w:val="bocontentwrapperbocenteranotbeck-btn"/>
            <w:color w:val="000000"/>
            <w:u w:val="single" w:color="000000"/>
          </w:rPr>
          <w:t>15a</w:t>
        </w:r>
      </w:hyperlink>
      <w:r>
        <w:rPr>
          <w:rStyle w:val="any"/>
          <w:color w:val="000000"/>
        </w:rPr>
        <w:t xml:space="preserve"> InsO</w:t>
      </w:r>
      <w:r>
        <w:rPr>
          <w:color w:val="000000"/>
        </w:rPr>
        <w:t xml:space="preserve"> erfolgreich auf den neuen Geschäftsführer ein, gibt es keine Zurechnungsproblematik. Eine Insolvenzverschleppung liegt nicht vor. Ist dagegen die Einwirkung auf den neuen Geschäftsführer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CF061C" w14:paraId="303C4E15" w14:textId="77777777">
        <w:tc>
          <w:tcPr>
            <w:tcW w:w="4000" w:type="pct"/>
            <w:shd w:val="clear" w:color="auto" w:fill="F0F0F0"/>
            <w:tcMar>
              <w:top w:w="0" w:type="dxa"/>
              <w:left w:w="0" w:type="dxa"/>
              <w:bottom w:w="0" w:type="dxa"/>
              <w:right w:w="0" w:type="dxa"/>
            </w:tcMar>
            <w:vAlign w:val="center"/>
            <w:hideMark/>
          </w:tcPr>
          <w:p w14:paraId="1A509B18" w14:textId="77777777" w:rsidR="00CF061C" w:rsidRDefault="00000000">
            <w:pPr>
              <w:pStyle w:val="divpgdescrpspantitel"/>
              <w:spacing w:after="120"/>
              <w:ind w:left="330"/>
              <w:rPr>
                <w:color w:val="000000"/>
              </w:rPr>
            </w:pPr>
            <w:r>
              <w:rPr>
                <w:color w:val="000000"/>
              </w:rPr>
              <w:t>BGH: Haftung des ausgeschiedenen Geschäftsführers für Insolvenzverschleppungsschäden von Neugläubigern – vorsätzliche sittenwidrige Schädigung durch Schneeballsystem</w:t>
            </w:r>
            <w:r>
              <w:rPr>
                <w:rStyle w:val="citation"/>
                <w:color w:val="000000"/>
              </w:rPr>
              <w:t>(NZI 2025, 885)</w:t>
            </w:r>
          </w:p>
        </w:tc>
        <w:tc>
          <w:tcPr>
            <w:tcW w:w="1000" w:type="pct"/>
            <w:shd w:val="clear" w:color="auto" w:fill="F0F0F0"/>
            <w:tcMar>
              <w:top w:w="0" w:type="dxa"/>
              <w:left w:w="0" w:type="dxa"/>
              <w:bottom w:w="0" w:type="dxa"/>
              <w:right w:w="0" w:type="dxa"/>
            </w:tcMar>
            <w:vAlign w:val="center"/>
            <w:hideMark/>
          </w:tcPr>
          <w:p w14:paraId="215AB772" w14:textId="77777777" w:rsidR="00CF061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892</w:t>
            </w:r>
          </w:p>
        </w:tc>
      </w:tr>
    </w:tbl>
    <w:p w14:paraId="148C41EA" w14:textId="77777777" w:rsidR="00CF061C" w:rsidRDefault="00000000">
      <w:pPr>
        <w:pStyle w:val="divbocontentwrapperbocenterpParagraph"/>
        <w:spacing w:after="120" w:line="360" w:lineRule="auto"/>
        <w:ind w:left="600" w:right="150"/>
        <w:jc w:val="both"/>
        <w:rPr>
          <w:color w:val="000000"/>
        </w:rPr>
      </w:pPr>
      <w:r>
        <w:rPr>
          <w:color w:val="000000"/>
        </w:rPr>
        <w:t xml:space="preserve">erfolglos, genügt dieser gescheiterte Versuch nicht für eine Unterbrechung des Zurechnungszusammenhangs, wenn er das Amt selbst freiwillig – also mit seinem Willen – niedergelegt hatte. Der Geschäftsführer hätte – wenn er nicht zur Unzeit niedergelegt hätte – noch einen Antrag stellen können. Legt er vorher die Organstellung nieder, ist es nicht nur sein strafrechtliches (s. oben unter 2a), sondern erst recht sein haftungsrechtliches Risiko, wenn nicht fristgemäß doch noch ein Antrag gestellt wird; der erfolglose Versuch hilft ihm nicht (aA iE </w:t>
      </w:r>
      <w:r>
        <w:rPr>
          <w:rStyle w:val="any"/>
          <w:color w:val="000000"/>
        </w:rPr>
        <w:t xml:space="preserve">BGHSt 2, </w:t>
      </w:r>
      <w:hyperlink r:id="rId332" w:history="1">
        <w:r>
          <w:rPr>
            <w:rStyle w:val="bocontentwrapperbocenteranotbeck-btn"/>
            <w:color w:val="000000"/>
            <w:u w:val="single" w:color="000000"/>
          </w:rPr>
          <w:t>53</w:t>
        </w:r>
      </w:hyperlink>
      <w:r>
        <w:rPr>
          <w:color w:val="000000"/>
        </w:rPr>
        <w:t xml:space="preserve"> = </w:t>
      </w:r>
      <w:r>
        <w:rPr>
          <w:rStyle w:val="any"/>
          <w:color w:val="000000"/>
        </w:rPr>
        <w:t xml:space="preserve">BeckRS 1951, </w:t>
      </w:r>
      <w:hyperlink r:id="rId333" w:history="1">
        <w:r>
          <w:rPr>
            <w:rStyle w:val="bocontentwrapperbocenteranotbeck-btn"/>
            <w:color w:val="000000"/>
            <w:u w:val="single" w:color="000000"/>
          </w:rPr>
          <w:t>103037</w:t>
        </w:r>
      </w:hyperlink>
      <w:r>
        <w:rPr>
          <w:rStyle w:val="any"/>
          <w:color w:val="000000"/>
        </w:rPr>
        <w:t xml:space="preserve"> Rn. </w:t>
      </w:r>
      <w:hyperlink r:id="rId334" w:history="1">
        <w:r>
          <w:rPr>
            <w:rStyle w:val="bocontentwrapperbocenteranotbeck-btn"/>
            <w:color w:val="000000"/>
            <w:u w:val="single" w:color="000000"/>
          </w:rPr>
          <w:t>10</w:t>
        </w:r>
      </w:hyperlink>
      <w:r>
        <w:rPr>
          <w:color w:val="000000"/>
        </w:rPr>
        <w:t xml:space="preserve"> zur strafrechtlichen Antragspflicht, ohne zu differenzieren, ob eine Amtsniederlegung oder Abberufung vorliegt). Der Zurechnungszusammenhang wird nicht unterbrochen, er hat das Schadensrisiko auch bezüglich des Neugläubigerschadens (mit-)verursacht (s. oben 1 aE). </w:t>
      </w:r>
    </w:p>
    <w:p w14:paraId="63C97005"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bb)</w:t>
      </w:r>
      <w:r>
        <w:rPr>
          <w:color w:val="000000"/>
        </w:rPr>
        <w:t xml:space="preserve"> Bei Abberufung gilt: Wird der Geschäftsführer innerhalb der laufenden Höchstfrist zur Antragsstellung gegen seinen Willen abberufen, so ist er nicht einer Haftung nach </w:t>
      </w:r>
      <w:r>
        <w:rPr>
          <w:rStyle w:val="any"/>
          <w:color w:val="000000"/>
        </w:rPr>
        <w:t>§ </w:t>
      </w:r>
      <w:hyperlink r:id="rId335" w:history="1">
        <w:r>
          <w:rPr>
            <w:rStyle w:val="bocontentwrapperbocenteranotbeck-btn"/>
            <w:color w:val="000000"/>
            <w:u w:val="single" w:color="000000"/>
          </w:rPr>
          <w:t>823</w:t>
        </w:r>
      </w:hyperlink>
      <w:r>
        <w:rPr>
          <w:rStyle w:val="any"/>
          <w:color w:val="000000"/>
        </w:rPr>
        <w:t> </w:t>
      </w:r>
      <w:hyperlink r:id="rId336" w:history="1">
        <w:r>
          <w:rPr>
            <w:rStyle w:val="bocontentwrapperbocenteranotbeck-btn"/>
            <w:color w:val="000000"/>
            <w:u w:val="single" w:color="000000"/>
          </w:rPr>
          <w:t>II</w:t>
        </w:r>
      </w:hyperlink>
      <w:r>
        <w:rPr>
          <w:rStyle w:val="any"/>
          <w:color w:val="000000"/>
        </w:rPr>
        <w:t xml:space="preserve"> BGB</w:t>
      </w:r>
      <w:r>
        <w:rPr>
          <w:color w:val="000000"/>
        </w:rPr>
        <w:t xml:space="preserve"> iVm </w:t>
      </w:r>
      <w:r>
        <w:rPr>
          <w:rStyle w:val="any"/>
          <w:color w:val="000000"/>
        </w:rPr>
        <w:t>§ </w:t>
      </w:r>
      <w:hyperlink r:id="rId337" w:history="1">
        <w:r>
          <w:rPr>
            <w:rStyle w:val="bocontentwrapperbocenteranotbeck-btn"/>
            <w:color w:val="000000"/>
            <w:u w:val="single" w:color="000000"/>
          </w:rPr>
          <w:t>15a</w:t>
        </w:r>
      </w:hyperlink>
      <w:r>
        <w:rPr>
          <w:rStyle w:val="any"/>
          <w:color w:val="000000"/>
        </w:rPr>
        <w:t xml:space="preserve"> InsO</w:t>
      </w:r>
      <w:r>
        <w:rPr>
          <w:color w:val="000000"/>
        </w:rPr>
        <w:t xml:space="preserve"> ausgesetzt, weil er zum Zeitpunkt der Abberufung noch nicht Insolvenzantrag stellen musste; die Frist war noch nicht abgelaufen! Er haftet damit auch nicht für Neugläubigerschäden, weil bereits keine Pflichtverletzung und damit kein tatbestandsmäßiges Verhalten seinerseits gegeben ist.</w:t>
      </w:r>
    </w:p>
    <w:p w14:paraId="41DB4AA1"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cc)</w:t>
      </w:r>
      <w:r>
        <w:rPr>
          <w:color w:val="000000"/>
        </w:rPr>
        <w:t xml:space="preserve"> Liegt dagegen ein Fall vor, bei dem schon die Höchstfrist für die Antragsstellung bei Beendigung des Amts, sei es durch Niederlegung oder durch Abberufung, abgelaufen ist, hilft auch eine erfolgreiche Einwirkung auf den neuen Geschäftsführer, einen Antrag zu stellen, nicht. Bei der Frage nach der haftungsausfüllenden Kausalität ist nicht ersichtlich, wieso nunmehr der Zurechnungszusammenhang bei Neugläubigerschäden entfallen sollte, weil erfolgreich auf den Nachfolger eingewirkt wird, damit nunmehr – und damit noch verspäteter – der Antragspflicht (endlich) nachgekommen wird. </w:t>
      </w:r>
    </w:p>
    <w:p w14:paraId="14CAE206" w14:textId="77777777" w:rsidR="00CF061C" w:rsidRDefault="00000000">
      <w:pPr>
        <w:pStyle w:val="divbocontentwrapperbocenterpParagraph"/>
        <w:spacing w:after="120" w:line="360" w:lineRule="auto"/>
        <w:ind w:left="600" w:right="150"/>
        <w:jc w:val="both"/>
        <w:rPr>
          <w:color w:val="000000"/>
        </w:rPr>
      </w:pPr>
      <w:r>
        <w:rPr>
          <w:rStyle w:val="printcontentemboldon"/>
          <w:color w:val="000000"/>
        </w:rPr>
        <w:t>3. </w:t>
      </w:r>
      <w:r>
        <w:rPr>
          <w:color w:val="000000"/>
        </w:rPr>
        <w:t xml:space="preserve">Diesseits wurde die Frage aufgeworfen, ob die neue Rechtsprechung des BGH auch auf die Haftung nach </w:t>
      </w:r>
      <w:r>
        <w:rPr>
          <w:rStyle w:val="any"/>
          <w:color w:val="000000"/>
        </w:rPr>
        <w:t>§ </w:t>
      </w:r>
      <w:hyperlink r:id="rId338" w:history="1">
        <w:r>
          <w:rPr>
            <w:rStyle w:val="bocontentwrapperbocenteranotbeck-btn"/>
            <w:color w:val="000000"/>
            <w:u w:val="single" w:color="000000"/>
          </w:rPr>
          <w:t>15b</w:t>
        </w:r>
      </w:hyperlink>
      <w:r>
        <w:rPr>
          <w:rStyle w:val="any"/>
          <w:color w:val="000000"/>
        </w:rPr>
        <w:t xml:space="preserve"> InsO</w:t>
      </w:r>
      <w:r>
        <w:rPr>
          <w:color w:val="000000"/>
        </w:rPr>
        <w:t xml:space="preserve"> übertragen werden könnte (Baumert </w:t>
      </w:r>
      <w:r>
        <w:rPr>
          <w:rStyle w:val="any"/>
          <w:color w:val="000000"/>
        </w:rPr>
        <w:t xml:space="preserve">LMK 2024, </w:t>
      </w:r>
      <w:hyperlink r:id="rId339" w:history="1">
        <w:r>
          <w:rPr>
            <w:rStyle w:val="bocontentwrapperbocenteranotbeck-btn"/>
            <w:color w:val="000000"/>
            <w:u w:val="single" w:color="000000"/>
          </w:rPr>
          <w:t>820513</w:t>
        </w:r>
      </w:hyperlink>
      <w:r>
        <w:rPr>
          <w:color w:val="000000"/>
        </w:rPr>
        <w:t xml:space="preserve">). Dies wurde verneint, nachdem auf Tatbestandsebene die Haftung nach </w:t>
      </w:r>
      <w:r>
        <w:rPr>
          <w:rStyle w:val="any"/>
          <w:color w:val="000000"/>
        </w:rPr>
        <w:t>§ </w:t>
      </w:r>
      <w:hyperlink r:id="rId340" w:history="1">
        <w:r>
          <w:rPr>
            <w:rStyle w:val="bocontentwrapperbocenteranotbeck-btn"/>
            <w:color w:val="000000"/>
            <w:u w:val="single" w:color="000000"/>
          </w:rPr>
          <w:t>15b</w:t>
        </w:r>
      </w:hyperlink>
      <w:r>
        <w:rPr>
          <w:rStyle w:val="any"/>
          <w:color w:val="000000"/>
        </w:rPr>
        <w:t xml:space="preserve"> InsO</w:t>
      </w:r>
      <w:r>
        <w:rPr>
          <w:color w:val="000000"/>
        </w:rPr>
        <w:t xml:space="preserve"> eine Veranlassung oder Nichthinderung der Zahlung im Betriebsablauf </w:t>
      </w:r>
      <w:r>
        <w:rPr>
          <w:color w:val="000000"/>
        </w:rPr>
        <w:lastRenderedPageBreak/>
        <w:t xml:space="preserve">voraussetzt, so dass eine Zurechnung später erfolgter Zahlungen nicht erfolgen kann (Baumert </w:t>
      </w:r>
      <w:r>
        <w:rPr>
          <w:rStyle w:val="any"/>
          <w:color w:val="000000"/>
        </w:rPr>
        <w:t xml:space="preserve">LMK 2024, </w:t>
      </w:r>
      <w:hyperlink r:id="rId341" w:history="1">
        <w:r>
          <w:rPr>
            <w:rStyle w:val="bocontentwrapperbocenteranotbeck-btn"/>
            <w:color w:val="000000"/>
            <w:u w:val="single" w:color="000000"/>
          </w:rPr>
          <w:t>820513</w:t>
        </w:r>
      </w:hyperlink>
      <w:r>
        <w:rPr>
          <w:color w:val="000000"/>
        </w:rPr>
        <w:t xml:space="preserve">; ebenso Rühle/Klein </w:t>
      </w:r>
      <w:r>
        <w:rPr>
          <w:rStyle w:val="any"/>
          <w:color w:val="000000"/>
        </w:rPr>
        <w:t xml:space="preserve">DZWIR 2025, </w:t>
      </w:r>
      <w:hyperlink r:id="rId342" w:history="1">
        <w:r>
          <w:rPr>
            <w:rStyle w:val="bocontentwrapperbocenteranotbeck-btn"/>
            <w:color w:val="000000"/>
            <w:u w:val="single" w:color="000000"/>
          </w:rPr>
          <w:t>18</w:t>
        </w:r>
      </w:hyperlink>
      <w:r>
        <w:rPr>
          <w:rStyle w:val="any"/>
          <w:color w:val="000000"/>
        </w:rPr>
        <w:t> f.</w:t>
      </w:r>
      <w:r>
        <w:rPr>
          <w:color w:val="000000"/>
        </w:rPr>
        <w:t xml:space="preserve">; Lieder </w:t>
      </w:r>
      <w:r>
        <w:rPr>
          <w:rStyle w:val="any"/>
          <w:color w:val="000000"/>
        </w:rPr>
        <w:t xml:space="preserve">ZPG 2025, </w:t>
      </w:r>
      <w:hyperlink r:id="rId343" w:history="1">
        <w:r>
          <w:rPr>
            <w:rStyle w:val="bocontentwrapperbocenteranotbeck-btn"/>
            <w:color w:val="000000"/>
            <w:u w:val="single" w:color="000000"/>
          </w:rPr>
          <w:t>344</w:t>
        </w:r>
      </w:hyperlink>
      <w:r>
        <w:rPr>
          <w:rStyle w:val="any"/>
          <w:color w:val="000000"/>
        </w:rPr>
        <w:t xml:space="preserve"> (</w:t>
      </w:r>
      <w:hyperlink r:id="rId344" w:history="1">
        <w:r>
          <w:rPr>
            <w:rStyle w:val="bocontentwrapperbocenteranotbeck-btn"/>
            <w:color w:val="000000"/>
            <w:u w:val="single" w:color="000000"/>
          </w:rPr>
          <w:t>346</w:t>
        </w:r>
      </w:hyperlink>
      <w:r>
        <w:rPr>
          <w:rStyle w:val="any"/>
          <w:color w:val="000000"/>
        </w:rPr>
        <w:t>)</w:t>
      </w:r>
      <w:r>
        <w:rPr>
          <w:color w:val="000000"/>
        </w:rPr>
        <w:t xml:space="preserve">). Der ausgeschiedene Geschäftsführer kann keine Zahlungen mehr veranlassen, was aber der objektive Tatbestand für eine Haftung voraussetzt (zutr. Rühle/Klein </w:t>
      </w:r>
      <w:r>
        <w:rPr>
          <w:rStyle w:val="any"/>
          <w:color w:val="000000"/>
        </w:rPr>
        <w:t xml:space="preserve">DZWIR 2025, </w:t>
      </w:r>
      <w:hyperlink r:id="rId345" w:history="1">
        <w:r>
          <w:rPr>
            <w:rStyle w:val="bocontentwrapperbocenteranotbeck-btn"/>
            <w:color w:val="000000"/>
            <w:u w:val="single" w:color="000000"/>
          </w:rPr>
          <w:t>18</w:t>
        </w:r>
      </w:hyperlink>
      <w:r>
        <w:rPr>
          <w:rStyle w:val="any"/>
          <w:color w:val="000000"/>
        </w:rPr>
        <w:t> f.</w:t>
      </w:r>
      <w:r>
        <w:rPr>
          <w:color w:val="000000"/>
        </w:rPr>
        <w:t xml:space="preserve">; Lieder </w:t>
      </w:r>
      <w:r>
        <w:rPr>
          <w:rStyle w:val="any"/>
          <w:color w:val="000000"/>
        </w:rPr>
        <w:t xml:space="preserve">ZPG 2025, </w:t>
      </w:r>
      <w:hyperlink r:id="rId346" w:history="1">
        <w:r>
          <w:rPr>
            <w:rStyle w:val="bocontentwrapperbocenteranotbeck-btn"/>
            <w:color w:val="000000"/>
            <w:u w:val="single" w:color="000000"/>
          </w:rPr>
          <w:t>344</w:t>
        </w:r>
      </w:hyperlink>
      <w:r>
        <w:rPr>
          <w:rStyle w:val="any"/>
          <w:color w:val="000000"/>
        </w:rPr>
        <w:t xml:space="preserve"> (</w:t>
      </w:r>
      <w:hyperlink r:id="rId347" w:history="1">
        <w:r>
          <w:rPr>
            <w:rStyle w:val="bocontentwrapperbocenteranotbeck-btn"/>
            <w:color w:val="000000"/>
            <w:u w:val="single" w:color="000000"/>
          </w:rPr>
          <w:t>346</w:t>
        </w:r>
      </w:hyperlink>
      <w:r>
        <w:rPr>
          <w:rStyle w:val="any"/>
          <w:color w:val="000000"/>
        </w:rPr>
        <w:t>)</w:t>
      </w:r>
      <w:r>
        <w:rPr>
          <w:color w:val="000000"/>
        </w:rPr>
        <w:t>).</w:t>
      </w:r>
    </w:p>
    <w:p w14:paraId="464DCA5C" w14:textId="77777777" w:rsidR="00CF061C" w:rsidRDefault="00000000">
      <w:pPr>
        <w:pStyle w:val="divbocontentwrapperbocenterpParagraph"/>
        <w:spacing w:after="120" w:line="360" w:lineRule="auto"/>
        <w:ind w:left="600" w:right="150"/>
        <w:jc w:val="both"/>
        <w:rPr>
          <w:color w:val="000000"/>
        </w:rPr>
      </w:pPr>
      <w:r>
        <w:rPr>
          <w:color w:val="000000"/>
        </w:rPr>
        <w:t xml:space="preserve">Der BGH musste sich mit dieser Frage nicht beschäftigen. Seine Ausführungen zur Verneinung der Haftung für nach der Abberufung als Geschäftsführer geschlossene Verträge wegen vorsätzlicher sittenwidriger Schädigung gem. § 826 BGB (Rn. 66, 67) beruhen jedoch auf den gleichen rechtssystematischen Überlegungen. Der Senat betont, dass die Haftung nach </w:t>
      </w:r>
      <w:r>
        <w:rPr>
          <w:rStyle w:val="any"/>
          <w:color w:val="000000"/>
        </w:rPr>
        <w:t>§ </w:t>
      </w:r>
      <w:hyperlink r:id="rId348" w:history="1">
        <w:r>
          <w:rPr>
            <w:rStyle w:val="bocontentwrapperbocenteranotbeck-btn"/>
            <w:color w:val="000000"/>
            <w:u w:val="single" w:color="000000"/>
          </w:rPr>
          <w:t>826</w:t>
        </w:r>
      </w:hyperlink>
      <w:r>
        <w:rPr>
          <w:rStyle w:val="any"/>
          <w:color w:val="000000"/>
        </w:rPr>
        <w:t xml:space="preserve"> BGB</w:t>
      </w:r>
      <w:r>
        <w:rPr>
          <w:color w:val="000000"/>
        </w:rPr>
        <w:t xml:space="preserve"> an eine Tätigkeit in der Eigenschaft als Funktionsträger des Vertriebssystems anknüpft und nach dem Ausscheiden nicht mehr vorliegt (Rn. 67). Danach liegt bereits der objektive Tatbestand einer sittenwidrigen Schädigung nicht vor. So ist es auch bei </w:t>
      </w:r>
      <w:r>
        <w:rPr>
          <w:rStyle w:val="any"/>
          <w:color w:val="000000"/>
        </w:rPr>
        <w:t>§ </w:t>
      </w:r>
      <w:hyperlink r:id="rId349" w:history="1">
        <w:r>
          <w:rPr>
            <w:rStyle w:val="bocontentwrapperbocenteranotbeck-btn"/>
            <w:color w:val="000000"/>
            <w:u w:val="single" w:color="000000"/>
          </w:rPr>
          <w:t>15b</w:t>
        </w:r>
      </w:hyperlink>
      <w:r>
        <w:rPr>
          <w:rStyle w:val="any"/>
          <w:color w:val="000000"/>
        </w:rPr>
        <w:t xml:space="preserve"> InsO</w:t>
      </w:r>
      <w:r>
        <w:rPr>
          <w:color w:val="000000"/>
        </w:rPr>
        <w:t xml:space="preserve">. Es fehlt ebenfalls bereits an der Tatbestandsmäßigkeit des Handelns des ehemaligen Organs, so dass sich Fragen der haftungsausfüllenden Kausalität nicht stellen. </w:t>
      </w:r>
    </w:p>
    <w:p w14:paraId="3158FE85" w14:textId="77777777" w:rsidR="00CF061C" w:rsidRDefault="00000000">
      <w:pPr>
        <w:pStyle w:val="printcontenth3"/>
        <w:spacing w:line="360" w:lineRule="auto"/>
        <w:ind w:left="150" w:right="150"/>
        <w:outlineLvl w:val="2"/>
        <w:rPr>
          <w:b/>
          <w:bCs/>
        </w:rPr>
      </w:pPr>
      <w:r>
        <w:rPr>
          <w:b/>
          <w:bCs/>
        </w:rPr>
        <w:t>Vorinstanz:</w:t>
      </w:r>
    </w:p>
    <w:p w14:paraId="3E28F8A7" w14:textId="77777777" w:rsidR="00CF061C" w:rsidRDefault="00000000">
      <w:pPr>
        <w:pStyle w:val="printcontentdivnotlawversion"/>
        <w:spacing w:line="360" w:lineRule="auto"/>
        <w:ind w:left="150" w:right="150"/>
      </w:pPr>
      <w:r>
        <w:t>OLG München | 13 U 1950/20 | 19.04.2023</w:t>
      </w:r>
    </w:p>
    <w:p w14:paraId="44D7EB52" w14:textId="77777777" w:rsidR="00CF061C" w:rsidRDefault="00000000">
      <w:pPr>
        <w:pStyle w:val="printcontenth3"/>
        <w:spacing w:line="360" w:lineRule="auto"/>
        <w:ind w:left="150" w:right="150"/>
        <w:outlineLvl w:val="2"/>
        <w:rPr>
          <w:b/>
          <w:bCs/>
        </w:rPr>
      </w:pPr>
      <w:r>
        <w:rPr>
          <w:b/>
          <w:bCs/>
        </w:rPr>
        <w:t>Entscheidung zitiert in:</w:t>
      </w:r>
    </w:p>
    <w:p w14:paraId="2A6B7BA9" w14:textId="77777777" w:rsidR="00CF061C" w:rsidRDefault="00000000">
      <w:pPr>
        <w:pStyle w:val="printcontentdivnotlawversion"/>
        <w:spacing w:line="360" w:lineRule="auto"/>
        <w:ind w:left="150" w:right="150"/>
      </w:pPr>
      <w:r>
        <w:t>Büchern | Braun, Insolvenzordnung, 11. A. 2026 | Koch, Aktiengesetz, 20. A. 2026 | Rechtsprechung | Verwaltungsvorschriften | Aufsätzen | Meldungen</w:t>
      </w:r>
    </w:p>
    <w:p w14:paraId="7873D82F" w14:textId="77777777" w:rsidR="00CF061C" w:rsidRDefault="00000000">
      <w:pPr>
        <w:pStyle w:val="printcontenth3"/>
        <w:spacing w:line="360" w:lineRule="auto"/>
        <w:ind w:left="150" w:right="150"/>
        <w:outlineLvl w:val="2"/>
        <w:rPr>
          <w:b/>
          <w:bCs/>
        </w:rPr>
      </w:pPr>
      <w:r>
        <w:rPr>
          <w:b/>
          <w:bCs/>
        </w:rPr>
        <w:t>Parallelfundstellen:</w:t>
      </w:r>
    </w:p>
    <w:p w14:paraId="0F398275" w14:textId="77777777" w:rsidR="00CF061C" w:rsidRDefault="00000000">
      <w:pPr>
        <w:pStyle w:val="printcontentdivnotlawversion"/>
        <w:spacing w:line="360" w:lineRule="auto"/>
        <w:ind w:left="150" w:right="150"/>
      </w:pPr>
      <w:r>
        <w:t>Entscheidungen | NZG 2025, 1233 | ZPG 2025, 340 (m. Anm. Prof. Dr. Jan Lieder) | DStR 2025, 1955 | BB 2025, 2575 (m. Anm. Zoller) | BeckRS 2025, 18243 | FD-InsR 2025, 018243 (Ls.) | LSK 2025, 18243 (Ls.) | Entscheidungsbesprechungen | GWR 2025, 403 (Prof. Dr. Alexander Eufinger) | FD-InsR 2025, 815865 (Robert Straubmeier) | Weitere Fundstellen | DB 2025, 2160 | DZWir 2026, 105 | GmbHR 2026, 20 | GmbH-Stpr 2026, 27 | MDR 2025, 1276 | ZInsO 2025, 1878 | ZIP 2025, 1980 | ZIP 2026, 25 (m. Anm. Dr. Daniel Meyer, Carolin Röskes)</w:t>
      </w:r>
    </w:p>
    <w:p w14:paraId="2C4E6DE4" w14:textId="3EBC7EAC" w:rsidR="00CF061C" w:rsidRDefault="00CF061C">
      <w:pPr>
        <w:pStyle w:val="tdm-long"/>
        <w:spacing w:before="225" w:after="2"/>
        <w:ind w:right="150"/>
        <w:rPr>
          <w:sz w:val="16"/>
          <w:szCs w:val="16"/>
        </w:rPr>
      </w:pPr>
    </w:p>
    <w:sectPr w:rsidR="00CF061C">
      <w:headerReference w:type="even" r:id="rId350"/>
      <w:headerReference w:type="default" r:id="rId351"/>
      <w:footerReference w:type="even" r:id="rId352"/>
      <w:footerReference w:type="default" r:id="rId353"/>
      <w:headerReference w:type="first" r:id="rId354"/>
      <w:footerReference w:type="first" r:id="rId355"/>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1969D1" w14:textId="77777777" w:rsidR="00E35835" w:rsidRDefault="00E35835">
      <w:r>
        <w:separator/>
      </w:r>
    </w:p>
  </w:endnote>
  <w:endnote w:type="continuationSeparator" w:id="0">
    <w:p w14:paraId="2B500090" w14:textId="77777777" w:rsidR="00E35835" w:rsidRDefault="00E3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F919BF" w14:textId="77777777" w:rsidR="00ED1AAD" w:rsidRDefault="00ED1AA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4A583" w14:textId="30562E91" w:rsidR="00CF061C" w:rsidRDefault="00CF06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F7B33" w14:textId="77777777" w:rsidR="00ED1AAD" w:rsidRDefault="00ED1AA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1923BC" w14:textId="77777777" w:rsidR="00E35835" w:rsidRDefault="00E35835">
      <w:r>
        <w:separator/>
      </w:r>
    </w:p>
  </w:footnote>
  <w:footnote w:type="continuationSeparator" w:id="0">
    <w:p w14:paraId="22B4DE58" w14:textId="77777777" w:rsidR="00E35835" w:rsidRDefault="00E35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D631F" w14:textId="77777777" w:rsidR="009B3EAF" w:rsidRDefault="009B3EA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C5E3A" w14:textId="04294804" w:rsidR="00CF061C" w:rsidRDefault="00CF061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552CD" w14:textId="77777777" w:rsidR="009B3EAF" w:rsidRDefault="009B3EAF">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61C"/>
    <w:rsid w:val="009B3EAF"/>
    <w:rsid w:val="00CD3831"/>
    <w:rsid w:val="00CF061C"/>
    <w:rsid w:val="00E35835"/>
    <w:rsid w:val="00ED1A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0A38B"/>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character" w:customStyle="1" w:styleId="printcontentemboldon">
    <w:name w:val="printcontent_em_bold_on"/>
    <w:basedOn w:val="Absatz-Standardschriftart"/>
    <w:rPr>
      <w:b/>
      <w:bCs/>
      <w:i w:val="0"/>
      <w:iCs w:val="0"/>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9B3EAF"/>
    <w:pPr>
      <w:tabs>
        <w:tab w:val="center" w:pos="4536"/>
        <w:tab w:val="right" w:pos="9072"/>
      </w:tabs>
    </w:pPr>
  </w:style>
  <w:style w:type="character" w:customStyle="1" w:styleId="KopfzeileZchn">
    <w:name w:val="Kopfzeile Zchn"/>
    <w:basedOn w:val="Absatz-Standardschriftart"/>
    <w:link w:val="Kopfzeile"/>
    <w:uiPriority w:val="99"/>
    <w:rsid w:val="009B3EAF"/>
    <w:rPr>
      <w:color w:val="141414"/>
      <w:sz w:val="22"/>
      <w:szCs w:val="22"/>
    </w:rPr>
  </w:style>
  <w:style w:type="paragraph" w:styleId="Fuzeile">
    <w:name w:val="footer"/>
    <w:basedOn w:val="Standard"/>
    <w:link w:val="FuzeileZchn"/>
    <w:uiPriority w:val="99"/>
    <w:unhideWhenUsed/>
    <w:rsid w:val="009B3EAF"/>
    <w:pPr>
      <w:tabs>
        <w:tab w:val="center" w:pos="4536"/>
        <w:tab w:val="right" w:pos="9072"/>
      </w:tabs>
    </w:pPr>
  </w:style>
  <w:style w:type="character" w:customStyle="1" w:styleId="FuzeileZchn">
    <w:name w:val="Fußzeile Zchn"/>
    <w:basedOn w:val="Absatz-Standardschriftart"/>
    <w:link w:val="Fuzeile"/>
    <w:uiPriority w:val="99"/>
    <w:rsid w:val="009B3EAF"/>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100&amp;g=ZPO&amp;p=562" TargetMode="External"/><Relationship Id="rId299" Type="http://schemas.openxmlformats.org/officeDocument/2006/relationships/hyperlink" Target="https://beck-online.beck.de/?typ=reference&amp;y=100&amp;g=INSO&amp;p=15A" TargetMode="External"/><Relationship Id="rId21" Type="http://schemas.openxmlformats.org/officeDocument/2006/relationships/hyperlink" Target="https://beck-online.beck.de/?typ=reference&amp;y=100&amp;g=BGB&amp;p=826" TargetMode="External"/><Relationship Id="rId63" Type="http://schemas.openxmlformats.org/officeDocument/2006/relationships/hyperlink" Target="https://beck-online.beck.de/?typ=reference&amp;y=100&amp;g=INSO&amp;p=184&amp;x=2" TargetMode="External"/><Relationship Id="rId159" Type="http://schemas.openxmlformats.org/officeDocument/2006/relationships/hyperlink" Target="https://beck-online.beck.de/?typ=reference&amp;y=100&amp;g=INSO&amp;p=15A&amp;x=1" TargetMode="External"/><Relationship Id="rId324" Type="http://schemas.openxmlformats.org/officeDocument/2006/relationships/hyperlink" Target="https://beck-online.beck.de/?typ=reference&amp;y=300&amp;z=BECKRS&amp;b=1951&amp;n=103037" TargetMode="External"/><Relationship Id="rId170" Type="http://schemas.openxmlformats.org/officeDocument/2006/relationships/hyperlink" Target="https://beck-online.beck.de/?typ=reference&amp;y=100&amp;g=INSO&amp;p=15A" TargetMode="External"/><Relationship Id="rId226" Type="http://schemas.openxmlformats.org/officeDocument/2006/relationships/hyperlink" Target="https://beck-online.beck.de/?typ=reference&amp;y=100&amp;g=ZPO&amp;p=563" TargetMode="External"/><Relationship Id="rId268" Type="http://schemas.openxmlformats.org/officeDocument/2006/relationships/hyperlink" Target="https://beck-online.beck.de/?typ=reference&amp;y=100&amp;g=BGB&amp;p=1967" TargetMode="External"/><Relationship Id="rId32" Type="http://schemas.openxmlformats.org/officeDocument/2006/relationships/hyperlink" Target="https://beck-online.beck.de/?typ=reference&amp;y=300&amp;z=BGHZ&amp;b=37&amp;sx=81" TargetMode="External"/><Relationship Id="rId74" Type="http://schemas.openxmlformats.org/officeDocument/2006/relationships/hyperlink" Target="https://beck-online.beck.de/?typ=reference&amp;y=100&amp;g=INSO&amp;p=184&amp;x=1" TargetMode="External"/><Relationship Id="rId128" Type="http://schemas.openxmlformats.org/officeDocument/2006/relationships/hyperlink" Target="https://beck-online.beck.de/?typ=reference&amp;y=100&amp;g=INSO&amp;p=15A" TargetMode="External"/><Relationship Id="rId335" Type="http://schemas.openxmlformats.org/officeDocument/2006/relationships/hyperlink" Target="https://beck-online.beck.de/?typ=reference&amp;y=100&amp;g=BGB&amp;p=823" TargetMode="External"/><Relationship Id="rId5" Type="http://schemas.openxmlformats.org/officeDocument/2006/relationships/endnotes" Target="endnotes.xml"/><Relationship Id="rId181" Type="http://schemas.openxmlformats.org/officeDocument/2006/relationships/hyperlink" Target="https://beck-online.beck.de/?typ=reference&amp;y=300&amp;z=NZI&amp;b=2024&amp;s=840" TargetMode="External"/><Relationship Id="rId237" Type="http://schemas.openxmlformats.org/officeDocument/2006/relationships/hyperlink" Target="https://beck-online.beck.de/?typ=reference&amp;y=300&amp;z=BGHZ&amp;b=164&amp;s=50&amp;rn=16" TargetMode="External"/><Relationship Id="rId279" Type="http://schemas.openxmlformats.org/officeDocument/2006/relationships/hyperlink" Target="https://beck-online.beck.de/?typ=reference&amp;y=100&amp;g=BGB&amp;p=823&amp;x=2" TargetMode="External"/><Relationship Id="rId43" Type="http://schemas.openxmlformats.org/officeDocument/2006/relationships/hyperlink" Target="https://beck-online.beck.de/?typ=reference&amp;y=100&amp;g=BGB&amp;p=1967" TargetMode="External"/><Relationship Id="rId139" Type="http://schemas.openxmlformats.org/officeDocument/2006/relationships/hyperlink" Target="https://beck-online.beck.de/?typ=reference&amp;y=100&amp;g=ZPO&amp;p=138" TargetMode="External"/><Relationship Id="rId290" Type="http://schemas.openxmlformats.org/officeDocument/2006/relationships/hyperlink" Target="https://beck-online.beck.de/?typ=reference&amp;y=300&amp;z=LMK&amp;b=2024&amp;n=8020513" TargetMode="External"/><Relationship Id="rId304" Type="http://schemas.openxmlformats.org/officeDocument/2006/relationships/hyperlink" Target="https://beck-online.beck.de/?typ=reference&amp;y=300&amp;z=BGHST&amp;b=2&amp;s=53" TargetMode="External"/><Relationship Id="rId346" Type="http://schemas.openxmlformats.org/officeDocument/2006/relationships/hyperlink" Target="https://beck-online.beck.de/?typ=reference&amp;y=300&amp;z=ZPG&amp;b=2025&amp;s=344" TargetMode="External"/><Relationship Id="rId85" Type="http://schemas.openxmlformats.org/officeDocument/2006/relationships/hyperlink" Target="https://beck-online.beck.de/?typ=reference&amp;y=300&amp;z=NZI&amp;b=2017&amp;s=300" TargetMode="External"/><Relationship Id="rId150" Type="http://schemas.openxmlformats.org/officeDocument/2006/relationships/hyperlink" Target="https://beck-online.beck.de/?typ=reference&amp;y=300&amp;z=BECKRS&amp;b=2022&amp;n=6327" TargetMode="External"/><Relationship Id="rId192" Type="http://schemas.openxmlformats.org/officeDocument/2006/relationships/hyperlink" Target="https://beck-online.beck.de/?typ=reference&amp;y=300&amp;z=NZI&amp;b=2024&amp;s=840" TargetMode="External"/><Relationship Id="rId206" Type="http://schemas.openxmlformats.org/officeDocument/2006/relationships/hyperlink" Target="https://beck-online.beck.de/?typ=reference&amp;y=300&amp;z=BGHZ&amp;b=164&amp;sx=58" TargetMode="External"/><Relationship Id="rId248" Type="http://schemas.openxmlformats.org/officeDocument/2006/relationships/hyperlink" Target="https://beck-online.beck.de/?typ=reference&amp;y=300&amp;z=NJW&amp;b=2004&amp;s=3706" TargetMode="External"/><Relationship Id="rId12" Type="http://schemas.openxmlformats.org/officeDocument/2006/relationships/hyperlink" Target="https://beck-online.beck.de/?typ=reference&amp;y=100&amp;g=ZPO&amp;p=240" TargetMode="External"/><Relationship Id="rId108" Type="http://schemas.openxmlformats.org/officeDocument/2006/relationships/hyperlink" Target="https://beck-online.beck.de/?typ=reference&amp;y=300&amp;z=BGHZ&amp;b=241&amp;s=127" TargetMode="External"/><Relationship Id="rId315" Type="http://schemas.openxmlformats.org/officeDocument/2006/relationships/hyperlink" Target="https://beck-online.beck.de/?typ=reference&amp;y=300&amp;z=BECKRS&amp;b=1951&amp;n=103037" TargetMode="External"/><Relationship Id="rId357" Type="http://schemas.openxmlformats.org/officeDocument/2006/relationships/theme" Target="theme/theme1.xml"/><Relationship Id="rId54" Type="http://schemas.openxmlformats.org/officeDocument/2006/relationships/hyperlink" Target="https://beck-online.beck.de/?typ=reference&amp;y=100&amp;g=BGB&amp;p=826" TargetMode="External"/><Relationship Id="rId96" Type="http://schemas.openxmlformats.org/officeDocument/2006/relationships/hyperlink" Target="https://beck-online.beck.de/?typ=reference&amp;y=100&amp;g=INSO&amp;p=174" TargetMode="External"/><Relationship Id="rId161" Type="http://schemas.openxmlformats.org/officeDocument/2006/relationships/hyperlink" Target="https://beck-online.beck.de/?typ=reference&amp;y=100&amp;g=BGB&amp;p=1967&amp;x=1" TargetMode="External"/><Relationship Id="rId217" Type="http://schemas.openxmlformats.org/officeDocument/2006/relationships/hyperlink" Target="https://beck-online.beck.de/?typ=reference&amp;y=300&amp;z=NJW&amp;b=1982&amp;s=2669" TargetMode="External"/><Relationship Id="rId259" Type="http://schemas.openxmlformats.org/officeDocument/2006/relationships/hyperlink" Target="https://beck-online.beck.de/?typ=reference&amp;y=300&amp;z=NJW&amp;b=2004&amp;sx=3709" TargetMode="External"/><Relationship Id="rId23" Type="http://schemas.openxmlformats.org/officeDocument/2006/relationships/hyperlink" Target="https://beck-online.beck.de/?typ=reference&amp;y=100&amp;g=BGB&amp;p=823&amp;x=2" TargetMode="External"/><Relationship Id="rId119" Type="http://schemas.openxmlformats.org/officeDocument/2006/relationships/hyperlink" Target="https://beck-online.beck.de/?typ=reference&amp;y=100&amp;g=ZPO&amp;p=563" TargetMode="External"/><Relationship Id="rId270" Type="http://schemas.openxmlformats.org/officeDocument/2006/relationships/hyperlink" Target="https://beck-online.beck.de/?typ=reference&amp;y=100&amp;g=BGB&amp;p=826" TargetMode="External"/><Relationship Id="rId326" Type="http://schemas.openxmlformats.org/officeDocument/2006/relationships/hyperlink" Target="https://beck-online.beck.de/?typ=reference&amp;y=300&amp;z=BGHST&amp;b=48&amp;s=307" TargetMode="External"/><Relationship Id="rId65" Type="http://schemas.openxmlformats.org/officeDocument/2006/relationships/hyperlink" Target="https://beck-online.beck.de/?typ=reference&amp;y=300&amp;z=NJOZ&amp;b=2018&amp;s=1924" TargetMode="External"/><Relationship Id="rId130" Type="http://schemas.openxmlformats.org/officeDocument/2006/relationships/hyperlink" Target="https://beck-online.beck.de/?typ=reference&amp;y=100&amp;g=INSO&amp;p=19" TargetMode="External"/><Relationship Id="rId172" Type="http://schemas.openxmlformats.org/officeDocument/2006/relationships/hyperlink" Target="https://beck-online.beck.de/?typ=reference&amp;y=100&amp;g=ZPO&amp;p=562" TargetMode="External"/><Relationship Id="rId228" Type="http://schemas.openxmlformats.org/officeDocument/2006/relationships/hyperlink" Target="https://beck-online.beck.de/?typ=reference&amp;y=100&amp;g=BGB&amp;p=823" TargetMode="External"/><Relationship Id="rId281" Type="http://schemas.openxmlformats.org/officeDocument/2006/relationships/hyperlink" Target="https://beck-online.beck.de/?typ=reference&amp;y=300&amp;z=NZI&amp;b=2024&amp;s=840" TargetMode="External"/><Relationship Id="rId337" Type="http://schemas.openxmlformats.org/officeDocument/2006/relationships/hyperlink" Target="https://beck-online.beck.de/?typ=reference&amp;y=100&amp;g=INSO&amp;p=15A" TargetMode="External"/><Relationship Id="rId34" Type="http://schemas.openxmlformats.org/officeDocument/2006/relationships/hyperlink" Target="https://beck-online.beck.de/?typ=reference&amp;y=300&amp;z=NZG&amp;b=2024&amp;s=345" TargetMode="External"/><Relationship Id="rId76" Type="http://schemas.openxmlformats.org/officeDocument/2006/relationships/hyperlink" Target="https://beck-online.beck.de/?typ=reference&amp;y=100&amp;g=INSO&amp;p=184&amp;x=2" TargetMode="External"/><Relationship Id="rId141" Type="http://schemas.openxmlformats.org/officeDocument/2006/relationships/hyperlink" Target="https://beck-online.beck.de/?typ=reference&amp;y=100&amp;g=ZPO&amp;p=138&amp;x=2" TargetMode="External"/><Relationship Id="rId7" Type="http://schemas.openxmlformats.org/officeDocument/2006/relationships/hyperlink" Target="https://beck-online.beck.de/?typ=reference&amp;y=100&amp;g=INSO&amp;p=17" TargetMode="External"/><Relationship Id="rId183" Type="http://schemas.openxmlformats.org/officeDocument/2006/relationships/hyperlink" Target="https://beck-online.beck.de/?typ=reference&amp;y=100&amp;g=BGB&amp;p=823" TargetMode="External"/><Relationship Id="rId239" Type="http://schemas.openxmlformats.org/officeDocument/2006/relationships/hyperlink" Target="https://beck-online.beck.de/?typ=reference&amp;y=300&amp;z=NZI&amp;b=2006&amp;s=58" TargetMode="External"/><Relationship Id="rId250" Type="http://schemas.openxmlformats.org/officeDocument/2006/relationships/hyperlink" Target="https://beck-online.beck.de/?typ=reference&amp;y=300&amp;z=NJW-RR&amp;b=2015&amp;s=675" TargetMode="External"/><Relationship Id="rId292" Type="http://schemas.openxmlformats.org/officeDocument/2006/relationships/hyperlink" Target="https://beck-online.beck.de/?typ=reference&amp;y=300&amp;z=ZPG&amp;b=2025&amp;sx=345" TargetMode="External"/><Relationship Id="rId306" Type="http://schemas.openxmlformats.org/officeDocument/2006/relationships/hyperlink" Target="https://beck-online.beck.de/?typ=reference&amp;y=300&amp;z=BECKRS&amp;b=1951&amp;n=103037&amp;rn=10" TargetMode="External"/><Relationship Id="rId45" Type="http://schemas.openxmlformats.org/officeDocument/2006/relationships/hyperlink" Target="https://beck-online.beck.de/?typ=reference&amp;y=100&amp;g=BGB&amp;p=823" TargetMode="External"/><Relationship Id="rId87" Type="http://schemas.openxmlformats.org/officeDocument/2006/relationships/hyperlink" Target="https://beck-online.beck.de/?typ=reference&amp;y=300&amp;z=NZI&amp;b=2020&amp;s=782&amp;rn=28" TargetMode="External"/><Relationship Id="rId110" Type="http://schemas.openxmlformats.org/officeDocument/2006/relationships/hyperlink" Target="https://beck-online.beck.de/?typ=reference&amp;y=300&amp;z=NZI&amp;b=2024&amp;s=840&amp;rn=51" TargetMode="External"/><Relationship Id="rId348" Type="http://schemas.openxmlformats.org/officeDocument/2006/relationships/hyperlink" Target="https://beck-online.beck.de/?typ=reference&amp;y=100&amp;g=BGB&amp;p=826" TargetMode="External"/><Relationship Id="rId152" Type="http://schemas.openxmlformats.org/officeDocument/2006/relationships/hyperlink" Target="https://beck-online.beck.de/?typ=reference&amp;y=300&amp;z=NZI&amp;b=2020&amp;s=167&amp;rn=24" TargetMode="External"/><Relationship Id="rId194" Type="http://schemas.openxmlformats.org/officeDocument/2006/relationships/hyperlink" Target="https://beck-online.beck.de/?typ=reference&amp;y=300&amp;z=BGHZ&amp;b=199&amp;s=237&amp;rn=55" TargetMode="External"/><Relationship Id="rId208" Type="http://schemas.openxmlformats.org/officeDocument/2006/relationships/hyperlink" Target="https://beck-online.beck.de/?typ=reference&amp;y=300&amp;z=BGHZ&amp;b=241&amp;s=127" TargetMode="External"/><Relationship Id="rId261" Type="http://schemas.openxmlformats.org/officeDocument/2006/relationships/hyperlink" Target="https://beck-online.beck.de/?typ=reference&amp;y=300&amp;z=NJW-RR&amp;b=2015&amp;s=675&amp;rn=10" TargetMode="External"/><Relationship Id="rId14" Type="http://schemas.openxmlformats.org/officeDocument/2006/relationships/hyperlink" Target="https://beck-online.beck.de/?typ=reference&amp;y=100&amp;g=BGB&amp;p=823" TargetMode="External"/><Relationship Id="rId56" Type="http://schemas.openxmlformats.org/officeDocument/2006/relationships/hyperlink" Target="https://beck-online.beck.de/?typ=reference&amp;y=100&amp;g=INSO&amp;p=22&amp;x=1" TargetMode="External"/><Relationship Id="rId317" Type="http://schemas.openxmlformats.org/officeDocument/2006/relationships/hyperlink" Target="https://beck-online.beck.de/?typ=reference&amp;y=300&amp;z=BGHST&amp;b=48&amp;s=307" TargetMode="External"/><Relationship Id="rId98" Type="http://schemas.openxmlformats.org/officeDocument/2006/relationships/hyperlink" Target="https://beck-online.beck.de/?typ=reference&amp;y=300&amp;z=BGHZ&amp;b=241&amp;s=127" TargetMode="External"/><Relationship Id="rId121" Type="http://schemas.openxmlformats.org/officeDocument/2006/relationships/hyperlink" Target="https://beck-online.beck.de/?typ=reference&amp;y=100&amp;g=ZPO&amp;p=563&amp;x=3" TargetMode="External"/><Relationship Id="rId163" Type="http://schemas.openxmlformats.org/officeDocument/2006/relationships/hyperlink" Target="https://beck-online.beck.de/?typ=reference&amp;y=100&amp;g=INSO&amp;p=45" TargetMode="External"/><Relationship Id="rId219" Type="http://schemas.openxmlformats.org/officeDocument/2006/relationships/hyperlink" Target="https://beck-online.beck.de/?typ=reference&amp;y=300&amp;z=NJW&amp;b=2019&amp;s=2227&amp;rn=9" TargetMode="External"/><Relationship Id="rId230" Type="http://schemas.openxmlformats.org/officeDocument/2006/relationships/hyperlink" Target="https://beck-online.beck.de/?typ=reference&amp;y=100&amp;g=INSO&amp;p=15A" TargetMode="External"/><Relationship Id="rId25" Type="http://schemas.openxmlformats.org/officeDocument/2006/relationships/hyperlink" Target="https://beck-online.beck.de/?typ=reference&amp;y=200&amp;ge=LGMUENCHENI&amp;az=27O1112119&amp;d=2020-03-12" TargetMode="External"/><Relationship Id="rId46" Type="http://schemas.openxmlformats.org/officeDocument/2006/relationships/hyperlink" Target="https://beck-online.beck.de/?typ=reference&amp;y=100&amp;g=BGB&amp;p=823&amp;x=2" TargetMode="External"/><Relationship Id="rId67" Type="http://schemas.openxmlformats.org/officeDocument/2006/relationships/hyperlink" Target="https://beck-online.beck.de/?typ=reference&amp;y=100&amp;g=ZPO&amp;p=525" TargetMode="External"/><Relationship Id="rId272" Type="http://schemas.openxmlformats.org/officeDocument/2006/relationships/hyperlink" Target="https://beck-online.beck.de/?typ=reference&amp;y=300&amp;z=NZI&amp;b=2021&amp;s=940&amp;rn=20" TargetMode="External"/><Relationship Id="rId293" Type="http://schemas.openxmlformats.org/officeDocument/2006/relationships/hyperlink" Target="https://beck-online.beck.de/?typ=reference&amp;y=100&amp;g=INSO&amp;p=15A" TargetMode="External"/><Relationship Id="rId307" Type="http://schemas.openxmlformats.org/officeDocument/2006/relationships/hyperlink" Target="https://beck-online.beck.de/?typ=reference&amp;y=300&amp;z=BGHST&amp;b=2&amp;s=53" TargetMode="External"/><Relationship Id="rId328" Type="http://schemas.openxmlformats.org/officeDocument/2006/relationships/hyperlink" Target="https://beck-online.beck.de/?typ=reference&amp;y=300&amp;z=BECKRS&amp;b=2002&amp;n=5132&amp;rn=25" TargetMode="External"/><Relationship Id="rId349" Type="http://schemas.openxmlformats.org/officeDocument/2006/relationships/hyperlink" Target="https://beck-online.beck.de/?typ=reference&amp;y=100&amp;g=INSO&amp;p=15B" TargetMode="External"/><Relationship Id="rId88" Type="http://schemas.openxmlformats.org/officeDocument/2006/relationships/hyperlink" Target="https://beck-online.beck.de/?typ=reference&amp;y=100&amp;g=INSO&amp;p=174" TargetMode="External"/><Relationship Id="rId111" Type="http://schemas.openxmlformats.org/officeDocument/2006/relationships/hyperlink" Target="https://beck-online.beck.de/?typ=reference&amp;y=100&amp;g=INSO&amp;p=184" TargetMode="External"/><Relationship Id="rId132" Type="http://schemas.openxmlformats.org/officeDocument/2006/relationships/hyperlink" Target="https://beck-online.beck.de/?typ=reference&amp;y=100&amp;g=ZPO&amp;p=286" TargetMode="External"/><Relationship Id="rId153" Type="http://schemas.openxmlformats.org/officeDocument/2006/relationships/hyperlink" Target="https://beck-online.beck.de/?typ=reference&amp;y=300&amp;z=BGHZ&amp;b=241&amp;s=127" TargetMode="External"/><Relationship Id="rId174" Type="http://schemas.openxmlformats.org/officeDocument/2006/relationships/hyperlink" Target="https://beck-online.beck.de/?typ=reference&amp;y=100&amp;g=ZPO&amp;p=563" TargetMode="External"/><Relationship Id="rId195" Type="http://schemas.openxmlformats.org/officeDocument/2006/relationships/hyperlink" Target="https://beck-online.beck.de/?typ=reference&amp;y=300&amp;z=NJW&amp;b=2014&amp;s=2029" TargetMode="External"/><Relationship Id="rId209" Type="http://schemas.openxmlformats.org/officeDocument/2006/relationships/hyperlink" Target="https://beck-online.beck.de/?typ=reference&amp;y=300&amp;z=BGHZ&amp;b=241&amp;s=127&amp;rn=86" TargetMode="External"/><Relationship Id="rId220" Type="http://schemas.openxmlformats.org/officeDocument/2006/relationships/hyperlink" Target="https://beck-online.beck.de/?typ=reference&amp;y=300&amp;z=BGHZ&amp;b=241&amp;s=127" TargetMode="External"/><Relationship Id="rId241" Type="http://schemas.openxmlformats.org/officeDocument/2006/relationships/hyperlink" Target="https://beck-online.beck.de/?typ=reference&amp;y=300&amp;z=DSTR&amp;b=2015&amp;s=368" TargetMode="External"/><Relationship Id="rId15" Type="http://schemas.openxmlformats.org/officeDocument/2006/relationships/hyperlink" Target="https://beck-online.beck.de/?typ=reference&amp;y=100&amp;g=BGB&amp;p=823&amp;x=2" TargetMode="External"/><Relationship Id="rId36" Type="http://schemas.openxmlformats.org/officeDocument/2006/relationships/hyperlink" Target="https://beck-online.beck.de/?typ=reference&amp;y=100&amp;g=BGB&amp;p=823" TargetMode="External"/><Relationship Id="rId57" Type="http://schemas.openxmlformats.org/officeDocument/2006/relationships/hyperlink" Target="https://beck-online.beck.de/?typ=reference&amp;y=100&amp;g=BGB&amp;p=1967" TargetMode="External"/><Relationship Id="rId262" Type="http://schemas.openxmlformats.org/officeDocument/2006/relationships/hyperlink" Target="https://beck-online.beck.de/?typ=reference&amp;y=100&amp;g=BGB&amp;p=1967" TargetMode="External"/><Relationship Id="rId283" Type="http://schemas.openxmlformats.org/officeDocument/2006/relationships/hyperlink" Target="https://beck-online.beck.de/?typ=reference&amp;y=300&amp;z=ZPG&amp;b=2025&amp;s=344" TargetMode="External"/><Relationship Id="rId318" Type="http://schemas.openxmlformats.org/officeDocument/2006/relationships/hyperlink" Target="https://beck-online.beck.de/?typ=reference&amp;y=300&amp;z=BECKRS&amp;b=2002&amp;n=5132" TargetMode="External"/><Relationship Id="rId339" Type="http://schemas.openxmlformats.org/officeDocument/2006/relationships/hyperlink" Target="https://beck-online.beck.de/?typ=reference&amp;y=300&amp;z=LMK&amp;b=2024&amp;n=820513" TargetMode="External"/><Relationship Id="rId78" Type="http://schemas.openxmlformats.org/officeDocument/2006/relationships/hyperlink" Target="https://beck-online.beck.de/?typ=reference&amp;y=100&amp;g=INSO&amp;p=174" TargetMode="External"/><Relationship Id="rId99" Type="http://schemas.openxmlformats.org/officeDocument/2006/relationships/hyperlink" Target="https://beck-online.beck.de/?typ=reference&amp;y=300&amp;z=NZI&amp;b=2024&amp;s=840" TargetMode="External"/><Relationship Id="rId101" Type="http://schemas.openxmlformats.org/officeDocument/2006/relationships/hyperlink" Target="https://beck-online.beck.de/?typ=reference&amp;y=300&amp;z=BGHZ&amp;b=241&amp;s=127" TargetMode="External"/><Relationship Id="rId122" Type="http://schemas.openxmlformats.org/officeDocument/2006/relationships/hyperlink" Target="https://beck-online.beck.de/?typ=reference&amp;y=100&amp;g=BGB&amp;p=1967" TargetMode="External"/><Relationship Id="rId143" Type="http://schemas.openxmlformats.org/officeDocument/2006/relationships/hyperlink" Target="https://beck-online.beck.de/?typ=reference&amp;y=300&amp;z=FAMRZ&amp;b=2020&amp;s=287" TargetMode="External"/><Relationship Id="rId164" Type="http://schemas.openxmlformats.org/officeDocument/2006/relationships/hyperlink" Target="https://beck-online.beck.de/?typ=reference&amp;y=100&amp;g=INSO&amp;p=129" TargetMode="External"/><Relationship Id="rId185" Type="http://schemas.openxmlformats.org/officeDocument/2006/relationships/hyperlink" Target="https://beck-online.beck.de/?typ=reference&amp;y=100&amp;g=INSO&amp;p=15A" TargetMode="External"/><Relationship Id="rId350" Type="http://schemas.openxmlformats.org/officeDocument/2006/relationships/header" Target="header1.xml"/><Relationship Id="rId9" Type="http://schemas.openxmlformats.org/officeDocument/2006/relationships/hyperlink" Target="https://beck-online.beck.de/?typ=reference&amp;y=100&amp;g=INSO&amp;p=184" TargetMode="External"/><Relationship Id="rId210" Type="http://schemas.openxmlformats.org/officeDocument/2006/relationships/hyperlink" Target="https://beck-online.beck.de/?typ=reference&amp;y=300&amp;z=NZI&amp;b=2024&amp;s=840" TargetMode="External"/><Relationship Id="rId26" Type="http://schemas.openxmlformats.org/officeDocument/2006/relationships/hyperlink" Target="https://beck-online.beck.de/?typ=reference&amp;y=300&amp;z=BECKRS&amp;b=2020&amp;n=065182" TargetMode="External"/><Relationship Id="rId231" Type="http://schemas.openxmlformats.org/officeDocument/2006/relationships/hyperlink" Target="https://beck-online.beck.de/?typ=reference&amp;y=100&amp;g=INSO&amp;p=15A&amp;x=1" TargetMode="External"/><Relationship Id="rId252" Type="http://schemas.openxmlformats.org/officeDocument/2006/relationships/hyperlink" Target="https://beck-online.beck.de/?typ=reference&amp;y=300&amp;z=ZIP&amp;b=2015&amp;s=2169" TargetMode="External"/><Relationship Id="rId273" Type="http://schemas.openxmlformats.org/officeDocument/2006/relationships/hyperlink" Target="https://beck-online.beck.de/?typ=reference&amp;y=100&amp;g=INSO&amp;p=17" TargetMode="External"/><Relationship Id="rId294" Type="http://schemas.openxmlformats.org/officeDocument/2006/relationships/hyperlink" Target="https://beck-online.beck.de/?typ=reference&amp;y=400&amp;w=MUEKOINSO&amp;aufl=5&amp;g=INSO&amp;p=15A&amp;rn=12" TargetMode="External"/><Relationship Id="rId308" Type="http://schemas.openxmlformats.org/officeDocument/2006/relationships/hyperlink" Target="https://beck-online.beck.de/?typ=reference&amp;y=300&amp;z=BECKRS&amp;b=1951&amp;n=103037" TargetMode="External"/><Relationship Id="rId329" Type="http://schemas.openxmlformats.org/officeDocument/2006/relationships/hyperlink" Target="https://beck-online.beck.de/?typ=reference&amp;y=100&amp;g=INSO&amp;p=15A" TargetMode="External"/><Relationship Id="rId47" Type="http://schemas.openxmlformats.org/officeDocument/2006/relationships/hyperlink" Target="https://beck-online.beck.de/?typ=reference&amp;y=100&amp;g=INSO&amp;p=15A" TargetMode="External"/><Relationship Id="rId68" Type="http://schemas.openxmlformats.org/officeDocument/2006/relationships/hyperlink" Target="https://beck-online.beck.de/?typ=reference&amp;y=100&amp;g=ZPO&amp;p=295" TargetMode="External"/><Relationship Id="rId89" Type="http://schemas.openxmlformats.org/officeDocument/2006/relationships/hyperlink" Target="https://beck-online.beck.de/?typ=reference&amp;y=100&amp;g=INSO&amp;p=174&amp;x=2" TargetMode="External"/><Relationship Id="rId112" Type="http://schemas.openxmlformats.org/officeDocument/2006/relationships/hyperlink" Target="https://beck-online.beck.de/?typ=reference&amp;y=100&amp;g=INSO&amp;p=184&amp;x=1" TargetMode="External"/><Relationship Id="rId133" Type="http://schemas.openxmlformats.org/officeDocument/2006/relationships/hyperlink" Target="https://beck-online.beck.de/?typ=reference&amp;y=100&amp;g=ZPO&amp;p=138" TargetMode="External"/><Relationship Id="rId154" Type="http://schemas.openxmlformats.org/officeDocument/2006/relationships/hyperlink" Target="https://beck-online.beck.de/?typ=reference&amp;y=300&amp;z=NZI&amp;b=2024&amp;s=840" TargetMode="External"/><Relationship Id="rId175" Type="http://schemas.openxmlformats.org/officeDocument/2006/relationships/hyperlink" Target="https://beck-online.beck.de/?typ=reference&amp;y=100&amp;g=ZPO&amp;p=563&amp;x=1" TargetMode="External"/><Relationship Id="rId340" Type="http://schemas.openxmlformats.org/officeDocument/2006/relationships/hyperlink" Target="https://beck-online.beck.de/?typ=reference&amp;y=100&amp;g=INSO&amp;p=15B" TargetMode="External"/><Relationship Id="rId196" Type="http://schemas.openxmlformats.org/officeDocument/2006/relationships/hyperlink" Target="https://beck-online.beck.de/?typ=reference&amp;y=300&amp;z=NJW&amp;b=2019&amp;s=2227" TargetMode="External"/><Relationship Id="rId200" Type="http://schemas.openxmlformats.org/officeDocument/2006/relationships/hyperlink" Target="https://beck-online.beck.de/?typ=reference&amp;y=300&amp;z=NJW&amp;b=2019&amp;s=2227&amp;rn=12" TargetMode="External"/><Relationship Id="rId16" Type="http://schemas.openxmlformats.org/officeDocument/2006/relationships/hyperlink" Target="https://beck-online.beck.de/?typ=reference&amp;y=100&amp;g=INSO&amp;p=15A" TargetMode="External"/><Relationship Id="rId221" Type="http://schemas.openxmlformats.org/officeDocument/2006/relationships/hyperlink" Target="https://beck-online.beck.de/?typ=reference&amp;y=300&amp;z=BGHZ&amp;b=241&amp;s=127&amp;rn=86" TargetMode="External"/><Relationship Id="rId242" Type="http://schemas.openxmlformats.org/officeDocument/2006/relationships/hyperlink" Target="https://beck-online.beck.de/?typ=reference&amp;y=300&amp;z=DSTR&amp;b=2015&amp;s=368&amp;rn=11" TargetMode="External"/><Relationship Id="rId263" Type="http://schemas.openxmlformats.org/officeDocument/2006/relationships/hyperlink" Target="https://beck-online.beck.de/?typ=reference&amp;y=100&amp;g=BGB&amp;p=1967&amp;x=1" TargetMode="External"/><Relationship Id="rId284" Type="http://schemas.openxmlformats.org/officeDocument/2006/relationships/hyperlink" Target="https://beck-online.beck.de/?typ=reference&amp;y=300&amp;z=LMK&amp;b=2024&amp;n=820513" TargetMode="External"/><Relationship Id="rId319" Type="http://schemas.openxmlformats.org/officeDocument/2006/relationships/hyperlink" Target="https://beck-online.beck.de/?typ=reference&amp;y=300&amp;z=BECKRS&amp;b=2002&amp;n=5132&amp;rn=25" TargetMode="External"/><Relationship Id="rId37" Type="http://schemas.openxmlformats.org/officeDocument/2006/relationships/hyperlink" Target="https://beck-online.beck.de/?typ=reference&amp;y=100&amp;g=BGB&amp;p=823&amp;x=2" TargetMode="External"/><Relationship Id="rId58" Type="http://schemas.openxmlformats.org/officeDocument/2006/relationships/hyperlink" Target="https://beck-online.beck.de/?typ=reference&amp;y=300&amp;z=BGHZ&amp;b=241&amp;s=127" TargetMode="External"/><Relationship Id="rId79" Type="http://schemas.openxmlformats.org/officeDocument/2006/relationships/hyperlink" Target="https://beck-online.beck.de/?typ=reference&amp;y=100&amp;g=ZPO&amp;p=555" TargetMode="External"/><Relationship Id="rId102" Type="http://schemas.openxmlformats.org/officeDocument/2006/relationships/hyperlink" Target="https://beck-online.beck.de/?typ=reference&amp;y=300&amp;z=NZI&amp;b=2024&amp;s=840" TargetMode="External"/><Relationship Id="rId123" Type="http://schemas.openxmlformats.org/officeDocument/2006/relationships/hyperlink" Target="https://beck-online.beck.de/?typ=reference&amp;y=100&amp;g=BGB&amp;p=1967&amp;x=1" TargetMode="External"/><Relationship Id="rId144" Type="http://schemas.openxmlformats.org/officeDocument/2006/relationships/hyperlink" Target="https://beck-online.beck.de/?typ=reference&amp;y=300&amp;z=BECKRS&amp;b=2019&amp;n=5474" TargetMode="External"/><Relationship Id="rId330" Type="http://schemas.openxmlformats.org/officeDocument/2006/relationships/hyperlink" Target="https://beck-online.beck.de/?typ=reference&amp;y=100&amp;g=INSO&amp;p=15A&amp;x=1" TargetMode="External"/><Relationship Id="rId90" Type="http://schemas.openxmlformats.org/officeDocument/2006/relationships/hyperlink" Target="https://beck-online.beck.de/?typ=reference&amp;y=300&amp;z=BGHZ&amp;b=241&amp;s=127" TargetMode="External"/><Relationship Id="rId165" Type="http://schemas.openxmlformats.org/officeDocument/2006/relationships/hyperlink" Target="https://beck-online.beck.de/?typ=reference&amp;y=100&amp;g=INSO&amp;p=45" TargetMode="External"/><Relationship Id="rId186" Type="http://schemas.openxmlformats.org/officeDocument/2006/relationships/hyperlink" Target="https://beck-online.beck.de/?typ=reference&amp;y=100&amp;g=INSO&amp;p=15A" TargetMode="External"/><Relationship Id="rId351" Type="http://schemas.openxmlformats.org/officeDocument/2006/relationships/header" Target="header2.xml"/><Relationship Id="rId211" Type="http://schemas.openxmlformats.org/officeDocument/2006/relationships/hyperlink" Target="https://beck-online.beck.de/?typ=reference&amp;y=400&amp;w=BECKOKINSO&amp;stand=20250201&amp;g=INSO&amp;p=15A&amp;rn=8A" TargetMode="External"/><Relationship Id="rId232" Type="http://schemas.openxmlformats.org/officeDocument/2006/relationships/hyperlink" Target="https://beck-online.beck.de/?typ=reference&amp;y=100&amp;g=INSO&amp;p=15A" TargetMode="External"/><Relationship Id="rId253" Type="http://schemas.openxmlformats.org/officeDocument/2006/relationships/hyperlink" Target="https://beck-online.beck.de/?typ=reference&amp;y=300&amp;z=ZIP&amp;b=2015&amp;s=2169&amp;rn=24" TargetMode="External"/><Relationship Id="rId274" Type="http://schemas.openxmlformats.org/officeDocument/2006/relationships/hyperlink" Target="https://beck-online.beck.de/?typ=reference&amp;y=100&amp;g=ZPO&amp;p=562" TargetMode="External"/><Relationship Id="rId295" Type="http://schemas.openxmlformats.org/officeDocument/2006/relationships/hyperlink" Target="https://beck-online.beck.de/?typ=reference&amp;y=400&amp;w=BECKOKINSO&amp;stand=20250801&amp;g=INSO&amp;p=15A&amp;rn=8A" TargetMode="External"/><Relationship Id="rId309" Type="http://schemas.openxmlformats.org/officeDocument/2006/relationships/hyperlink" Target="https://beck-online.beck.de/?typ=reference&amp;y=300&amp;z=BECKRS&amp;b=1951&amp;n=103037&amp;rn=10" TargetMode="External"/><Relationship Id="rId27" Type="http://schemas.openxmlformats.org/officeDocument/2006/relationships/hyperlink" Target="https://beck-online.beck.de/?typ=reference&amp;y=100&amp;g=INSO&amp;p=184" TargetMode="External"/><Relationship Id="rId48" Type="http://schemas.openxmlformats.org/officeDocument/2006/relationships/hyperlink" Target="https://beck-online.beck.de/?typ=reference&amp;y=100&amp;g=INSO&amp;p=15A&amp;x=1" TargetMode="External"/><Relationship Id="rId69" Type="http://schemas.openxmlformats.org/officeDocument/2006/relationships/hyperlink" Target="https://beck-online.beck.de/?typ=reference&amp;y=100&amp;g=ZPO&amp;p=240" TargetMode="External"/><Relationship Id="rId113" Type="http://schemas.openxmlformats.org/officeDocument/2006/relationships/hyperlink" Target="https://beck-online.beck.de/?typ=reference&amp;y=100&amp;g=INSO&amp;p=184&amp;x=2" TargetMode="External"/><Relationship Id="rId134" Type="http://schemas.openxmlformats.org/officeDocument/2006/relationships/hyperlink" Target="https://beck-online.beck.de/?typ=reference&amp;y=100&amp;g=ZPO&amp;p=138&amp;x=1" TargetMode="External"/><Relationship Id="rId320" Type="http://schemas.openxmlformats.org/officeDocument/2006/relationships/hyperlink" Target="https://beck-online.beck.de/?typ=reference&amp;y=100&amp;g=INSO&amp;p=15A" TargetMode="External"/><Relationship Id="rId80" Type="http://schemas.openxmlformats.org/officeDocument/2006/relationships/hyperlink" Target="https://beck-online.beck.de/?typ=reference&amp;y=100&amp;g=ZPO&amp;p=331" TargetMode="External"/><Relationship Id="rId155" Type="http://schemas.openxmlformats.org/officeDocument/2006/relationships/hyperlink" Target="https://beck-online.beck.de/?typ=reference&amp;y=300&amp;z=NZI&amp;b=2024&amp;s=840&amp;rn=72" TargetMode="External"/><Relationship Id="rId176" Type="http://schemas.openxmlformats.org/officeDocument/2006/relationships/hyperlink" Target="https://beck-online.beck.de/?typ=reference&amp;y=100&amp;g=BGB&amp;p=823" TargetMode="External"/><Relationship Id="rId197" Type="http://schemas.openxmlformats.org/officeDocument/2006/relationships/hyperlink" Target="https://beck-online.beck.de/?typ=reference&amp;y=300&amp;z=NJW&amp;b=2019&amp;s=2227&amp;rn=12" TargetMode="External"/><Relationship Id="rId341" Type="http://schemas.openxmlformats.org/officeDocument/2006/relationships/hyperlink" Target="https://beck-online.beck.de/?typ=reference&amp;y=300&amp;z=LMK&amp;b=2024&amp;n=820513" TargetMode="External"/><Relationship Id="rId201" Type="http://schemas.openxmlformats.org/officeDocument/2006/relationships/hyperlink" Target="https://beck-online.beck.de/?typ=reference&amp;y=300&amp;z=BGHZ&amp;b=241&amp;s=127" TargetMode="External"/><Relationship Id="rId222" Type="http://schemas.openxmlformats.org/officeDocument/2006/relationships/hyperlink" Target="https://beck-online.beck.de/?typ=reference&amp;y=300&amp;z=NZI&amp;b=2024&amp;s=840" TargetMode="External"/><Relationship Id="rId243" Type="http://schemas.openxmlformats.org/officeDocument/2006/relationships/hyperlink" Target="https://beck-online.beck.de/?typ=reference&amp;y=300&amp;z=NZI&amp;b=2015&amp;s=234" TargetMode="External"/><Relationship Id="rId264" Type="http://schemas.openxmlformats.org/officeDocument/2006/relationships/hyperlink" Target="https://beck-online.beck.de/?typ=reference&amp;y=100&amp;g=BGB&amp;p=823" TargetMode="External"/><Relationship Id="rId285" Type="http://schemas.openxmlformats.org/officeDocument/2006/relationships/hyperlink" Target="https://beck-online.beck.de/?typ=reference&amp;y=300&amp;z=DZWIR&amp;b=2025&amp;s=18" TargetMode="External"/><Relationship Id="rId17" Type="http://schemas.openxmlformats.org/officeDocument/2006/relationships/hyperlink" Target="https://beck-online.beck.de/?typ=reference&amp;y=100&amp;g=BGB&amp;p=826" TargetMode="External"/><Relationship Id="rId38" Type="http://schemas.openxmlformats.org/officeDocument/2006/relationships/hyperlink" Target="https://beck-online.beck.de/?typ=reference&amp;y=100&amp;g=INSO&amp;p=15A" TargetMode="External"/><Relationship Id="rId59" Type="http://schemas.openxmlformats.org/officeDocument/2006/relationships/hyperlink" Target="https://beck-online.beck.de/?typ=reference&amp;y=300&amp;z=NZI&amp;b=2024&amp;s=840" TargetMode="External"/><Relationship Id="rId103" Type="http://schemas.openxmlformats.org/officeDocument/2006/relationships/hyperlink" Target="https://beck-online.beck.de/?typ=reference&amp;y=300&amp;z=NZI&amp;b=2024&amp;s=840&amp;rn=40" TargetMode="External"/><Relationship Id="rId124" Type="http://schemas.openxmlformats.org/officeDocument/2006/relationships/hyperlink" Target="https://beck-online.beck.de/?typ=reference&amp;y=100&amp;g=BGB&amp;p=823" TargetMode="External"/><Relationship Id="rId310" Type="http://schemas.openxmlformats.org/officeDocument/2006/relationships/hyperlink" Target="https://beck-online.beck.de/?typ=reference&amp;y=100&amp;g=INSO&amp;p=15A" TargetMode="External"/><Relationship Id="rId70" Type="http://schemas.openxmlformats.org/officeDocument/2006/relationships/hyperlink" Target="https://beck-online.beck.de/?typ=reference&amp;y=100&amp;g=INSO&amp;p=174" TargetMode="External"/><Relationship Id="rId91" Type="http://schemas.openxmlformats.org/officeDocument/2006/relationships/hyperlink" Target="https://beck-online.beck.de/?typ=reference&amp;y=300&amp;z=NZI&amp;b=2024&amp;s=840" TargetMode="External"/><Relationship Id="rId145" Type="http://schemas.openxmlformats.org/officeDocument/2006/relationships/hyperlink" Target="https://beck-online.beck.de/?typ=reference&amp;y=300&amp;z=BECKRS&amp;b=2019&amp;n=5474&amp;rn=11" TargetMode="External"/><Relationship Id="rId166" Type="http://schemas.openxmlformats.org/officeDocument/2006/relationships/hyperlink" Target="https://beck-online.beck.de/?typ=reference&amp;y=100&amp;g=BGB&amp;p=1967" TargetMode="External"/><Relationship Id="rId187" Type="http://schemas.openxmlformats.org/officeDocument/2006/relationships/hyperlink" Target="https://beck-online.beck.de/?typ=reference&amp;y=100&amp;g=BGB&amp;p=823" TargetMode="External"/><Relationship Id="rId331" Type="http://schemas.openxmlformats.org/officeDocument/2006/relationships/hyperlink" Target="https://beck-online.beck.de/?typ=reference&amp;y=100&amp;g=INSO&amp;p=15A" TargetMode="External"/><Relationship Id="rId352" Type="http://schemas.openxmlformats.org/officeDocument/2006/relationships/footer" Target="footer1.xml"/><Relationship Id="rId1" Type="http://schemas.openxmlformats.org/officeDocument/2006/relationships/styles" Target="styles.xml"/><Relationship Id="rId212" Type="http://schemas.openxmlformats.org/officeDocument/2006/relationships/hyperlink" Target="https://beck-online.beck.de/?typ=reference&amp;y=400&amp;w=MUEKOINSO&amp;aufl=4&amp;g=INSO&amp;p=15A&amp;rn=73" TargetMode="External"/><Relationship Id="rId233" Type="http://schemas.openxmlformats.org/officeDocument/2006/relationships/hyperlink" Target="https://beck-online.beck.de/?typ=reference&amp;y=300&amp;z=BGHZ&amp;b=241&amp;s=127" TargetMode="External"/><Relationship Id="rId254" Type="http://schemas.openxmlformats.org/officeDocument/2006/relationships/hyperlink" Target="https://beck-online.beck.de/?typ=reference&amp;y=300&amp;z=NJW-RR&amp;b=2016&amp;s=153" TargetMode="External"/><Relationship Id="rId28" Type="http://schemas.openxmlformats.org/officeDocument/2006/relationships/hyperlink" Target="https://beck-online.beck.de/?typ=reference&amp;y=100&amp;g=INSO&amp;p=184&amp;x=2" TargetMode="External"/><Relationship Id="rId49" Type="http://schemas.openxmlformats.org/officeDocument/2006/relationships/hyperlink" Target="https://beck-online.beck.de/?typ=reference&amp;y=100&amp;g=BGB&amp;p=1967" TargetMode="External"/><Relationship Id="rId114" Type="http://schemas.openxmlformats.org/officeDocument/2006/relationships/hyperlink" Target="https://beck-online.beck.de/?typ=reference&amp;y=300&amp;z=BGHZ&amp;b=241&amp;s=127" TargetMode="External"/><Relationship Id="rId275" Type="http://schemas.openxmlformats.org/officeDocument/2006/relationships/hyperlink" Target="https://beck-online.beck.de/?typ=reference&amp;y=100&amp;g=ZPO&amp;p=562&amp;x=1" TargetMode="External"/><Relationship Id="rId296" Type="http://schemas.openxmlformats.org/officeDocument/2006/relationships/hyperlink" Target="https://beck-online.beck.de/?typ=reference&amp;y=300&amp;z=BGHST&amp;b=2&amp;s=53" TargetMode="External"/><Relationship Id="rId300" Type="http://schemas.openxmlformats.org/officeDocument/2006/relationships/hyperlink" Target="https://beck-online.beck.de/?typ=reference&amp;y=400&amp;w=MUEKOINSO&amp;aufl=5&amp;g=INSO&amp;p=15A&amp;rn=12" TargetMode="External"/><Relationship Id="rId60" Type="http://schemas.openxmlformats.org/officeDocument/2006/relationships/hyperlink" Target="https://beck-online.beck.de/?typ=reference&amp;y=300&amp;z=NZI&amp;b=2024&amp;s=840&amp;rn=18" TargetMode="External"/><Relationship Id="rId81" Type="http://schemas.openxmlformats.org/officeDocument/2006/relationships/hyperlink" Target="https://beck-online.beck.de/?typ=reference&amp;y=100&amp;g=ZPO&amp;p=331&amp;x=1" TargetMode="External"/><Relationship Id="rId135" Type="http://schemas.openxmlformats.org/officeDocument/2006/relationships/hyperlink" Target="https://beck-online.beck.de/?typ=reference&amp;y=100&amp;g=ZPO&amp;p=138&amp;x=2" TargetMode="External"/><Relationship Id="rId156" Type="http://schemas.openxmlformats.org/officeDocument/2006/relationships/hyperlink" Target="https://beck-online.beck.de/?typ=reference&amp;y=100&amp;g=BGB&amp;p=823" TargetMode="External"/><Relationship Id="rId177" Type="http://schemas.openxmlformats.org/officeDocument/2006/relationships/hyperlink" Target="https://beck-online.beck.de/?typ=reference&amp;y=100&amp;g=BGB&amp;p=823&amp;x=2" TargetMode="External"/><Relationship Id="rId198" Type="http://schemas.openxmlformats.org/officeDocument/2006/relationships/hyperlink" Target="https://beck-online.beck.de/?typ=reference&amp;y=300&amp;z=NJW&amp;b=1982&amp;s=2669" TargetMode="External"/><Relationship Id="rId321" Type="http://schemas.openxmlformats.org/officeDocument/2006/relationships/hyperlink" Target="https://beck-online.beck.de/?typ=reference&amp;y=100&amp;g=INSO&amp;p=15A&amp;x=1" TargetMode="External"/><Relationship Id="rId342" Type="http://schemas.openxmlformats.org/officeDocument/2006/relationships/hyperlink" Target="https://beck-online.beck.de/?typ=reference&amp;y=300&amp;z=DZWIR&amp;b=2025&amp;s=18" TargetMode="External"/><Relationship Id="rId202" Type="http://schemas.openxmlformats.org/officeDocument/2006/relationships/hyperlink" Target="https://beck-online.beck.de/?typ=reference&amp;y=300&amp;z=BGHZ&amp;b=241&amp;s=127&amp;rn=85" TargetMode="External"/><Relationship Id="rId223" Type="http://schemas.openxmlformats.org/officeDocument/2006/relationships/hyperlink" Target="https://beck-online.beck.de/?typ=reference&amp;y=100&amp;g=BGB&amp;p=826" TargetMode="External"/><Relationship Id="rId244" Type="http://schemas.openxmlformats.org/officeDocument/2006/relationships/hyperlink" Target="https://beck-online.beck.de/?typ=reference&amp;y=100&amp;g=BGB&amp;p=826" TargetMode="External"/><Relationship Id="rId18" Type="http://schemas.openxmlformats.org/officeDocument/2006/relationships/hyperlink" Target="https://beck-online.beck.de/?typ=reference&amp;y=100&amp;g=BGB&amp;p=823" TargetMode="External"/><Relationship Id="rId39" Type="http://schemas.openxmlformats.org/officeDocument/2006/relationships/hyperlink" Target="https://beck-online.beck.de/?typ=reference&amp;y=100&amp;g=INSO&amp;p=15A&amp;x=1" TargetMode="External"/><Relationship Id="rId265" Type="http://schemas.openxmlformats.org/officeDocument/2006/relationships/hyperlink" Target="https://beck-online.beck.de/?typ=reference&amp;y=100&amp;g=BGB&amp;p=823&amp;x=2" TargetMode="External"/><Relationship Id="rId286" Type="http://schemas.openxmlformats.org/officeDocument/2006/relationships/hyperlink" Target="https://beck-online.beck.de/?typ=reference&amp;y=300&amp;z=DZWIR&amp;b=2025&amp;sx=20" TargetMode="External"/><Relationship Id="rId50" Type="http://schemas.openxmlformats.org/officeDocument/2006/relationships/hyperlink" Target="https://beck-online.beck.de/?typ=reference&amp;y=100&amp;g=BGB&amp;p=1967&amp;x=1" TargetMode="External"/><Relationship Id="rId104" Type="http://schemas.openxmlformats.org/officeDocument/2006/relationships/hyperlink" Target="https://beck-online.beck.de/?typ=reference&amp;y=300&amp;z=NZI&amp;b=2024&amp;s=840&amp;rn=50" TargetMode="External"/><Relationship Id="rId125" Type="http://schemas.openxmlformats.org/officeDocument/2006/relationships/hyperlink" Target="https://beck-online.beck.de/?typ=reference&amp;y=100&amp;g=BGB&amp;p=823&amp;x=2" TargetMode="External"/><Relationship Id="rId146" Type="http://schemas.openxmlformats.org/officeDocument/2006/relationships/hyperlink" Target="https://beck-online.beck.de/?typ=reference&amp;y=300&amp;z=BGHZ&amp;b=241&amp;s=127" TargetMode="External"/><Relationship Id="rId167" Type="http://schemas.openxmlformats.org/officeDocument/2006/relationships/hyperlink" Target="https://beck-online.beck.de/?typ=reference&amp;y=100&amp;g=BGB&amp;p=1967&amp;x=1" TargetMode="External"/><Relationship Id="rId188" Type="http://schemas.openxmlformats.org/officeDocument/2006/relationships/hyperlink" Target="https://beck-online.beck.de/?typ=reference&amp;y=100&amp;g=BGB&amp;p=823&amp;x=2" TargetMode="External"/><Relationship Id="rId311" Type="http://schemas.openxmlformats.org/officeDocument/2006/relationships/hyperlink" Target="https://beck-online.beck.de/?typ=reference&amp;y=100&amp;g=BGB&amp;p=823" TargetMode="External"/><Relationship Id="rId332" Type="http://schemas.openxmlformats.org/officeDocument/2006/relationships/hyperlink" Target="https://beck-online.beck.de/?typ=reference&amp;y=300&amp;z=BGHST&amp;b=2&amp;s=53" TargetMode="External"/><Relationship Id="rId353" Type="http://schemas.openxmlformats.org/officeDocument/2006/relationships/footer" Target="footer2.xml"/><Relationship Id="rId71" Type="http://schemas.openxmlformats.org/officeDocument/2006/relationships/hyperlink" Target="https://beck-online.beck.de/?typ=reference&amp;y=300&amp;z=NZI&amp;b=2024&amp;s=760" TargetMode="External"/><Relationship Id="rId92" Type="http://schemas.openxmlformats.org/officeDocument/2006/relationships/hyperlink" Target="https://beck-online.beck.de/?typ=reference&amp;y=300&amp;z=NZI&amp;b=2024&amp;s=840&amp;rn=34" TargetMode="External"/><Relationship Id="rId213" Type="http://schemas.openxmlformats.org/officeDocument/2006/relationships/hyperlink" Target="https://beck-online.beck.de/?typ=reference&amp;y=400&amp;w=BECKOKGMBHG&amp;stand=20250201&amp;g=GMBHG&amp;p=64&amp;rn=102" TargetMode="External"/><Relationship Id="rId234" Type="http://schemas.openxmlformats.org/officeDocument/2006/relationships/hyperlink" Target="https://beck-online.beck.de/?typ=reference&amp;y=300&amp;z=NZI&amp;b=2024&amp;s=840" TargetMode="External"/><Relationship Id="rId2" Type="http://schemas.openxmlformats.org/officeDocument/2006/relationships/settings" Target="settings.xml"/><Relationship Id="rId29" Type="http://schemas.openxmlformats.org/officeDocument/2006/relationships/hyperlink" Target="https://beck-online.beck.de/?typ=reference&amp;y=200&amp;ge=OLGMUENCHEN&amp;az=13U195020&amp;d=2023-04-19" TargetMode="External"/><Relationship Id="rId255" Type="http://schemas.openxmlformats.org/officeDocument/2006/relationships/hyperlink" Target="https://beck-online.beck.de/?typ=reference&amp;y=300&amp;z=NJW&amp;b=2021&amp;s=1759" TargetMode="External"/><Relationship Id="rId276" Type="http://schemas.openxmlformats.org/officeDocument/2006/relationships/hyperlink" Target="https://beck-online.beck.de/?typ=reference&amp;y=300&amp;z=NZI&amp;b=2024&amp;s=840" TargetMode="External"/><Relationship Id="rId297" Type="http://schemas.openxmlformats.org/officeDocument/2006/relationships/hyperlink" Target="https://beck-online.beck.de/?typ=reference&amp;y=300&amp;z=BECKRS&amp;b=1951&amp;n=103037" TargetMode="External"/><Relationship Id="rId40" Type="http://schemas.openxmlformats.org/officeDocument/2006/relationships/hyperlink" Target="https://beck-online.beck.de/?typ=reference&amp;y=100&amp;g=BGB&amp;p=1967" TargetMode="External"/><Relationship Id="rId115" Type="http://schemas.openxmlformats.org/officeDocument/2006/relationships/hyperlink" Target="https://beck-online.beck.de/?typ=reference&amp;y=300&amp;z=NZI&amp;b=2024&amp;s=840" TargetMode="External"/><Relationship Id="rId136" Type="http://schemas.openxmlformats.org/officeDocument/2006/relationships/hyperlink" Target="https://beck-online.beck.de/?typ=reference&amp;y=100&amp;g=ZPO&amp;p=291" TargetMode="External"/><Relationship Id="rId157" Type="http://schemas.openxmlformats.org/officeDocument/2006/relationships/hyperlink" Target="https://beck-online.beck.de/?typ=reference&amp;y=100&amp;g=BGB&amp;p=823&amp;x=2" TargetMode="External"/><Relationship Id="rId178" Type="http://schemas.openxmlformats.org/officeDocument/2006/relationships/hyperlink" Target="https://beck-online.beck.de/?typ=reference&amp;y=100&amp;g=INSO&amp;p=15A" TargetMode="External"/><Relationship Id="rId301" Type="http://schemas.openxmlformats.org/officeDocument/2006/relationships/hyperlink" Target="https://beck-online.beck.de/?typ=reference&amp;y=100&amp;g=INSO&amp;p=15A" TargetMode="External"/><Relationship Id="rId322" Type="http://schemas.openxmlformats.org/officeDocument/2006/relationships/hyperlink" Target="https://beck-online.beck.de/?typ=reference&amp;y=100&amp;g=INSO&amp;p=15A&amp;x=4" TargetMode="External"/><Relationship Id="rId343" Type="http://schemas.openxmlformats.org/officeDocument/2006/relationships/hyperlink" Target="https://beck-online.beck.de/?typ=reference&amp;y=300&amp;z=ZPG&amp;b=2025&amp;s=344" TargetMode="External"/><Relationship Id="rId61" Type="http://schemas.openxmlformats.org/officeDocument/2006/relationships/hyperlink" Target="https://beck-online.beck.de/?typ=reference&amp;y=100&amp;g=ZPO&amp;p=250" TargetMode="External"/><Relationship Id="rId82" Type="http://schemas.openxmlformats.org/officeDocument/2006/relationships/hyperlink" Target="https://beck-online.beck.de/?typ=reference&amp;y=100&amp;g=ZPO&amp;p=559" TargetMode="External"/><Relationship Id="rId199" Type="http://schemas.openxmlformats.org/officeDocument/2006/relationships/hyperlink" Target="https://beck-online.beck.de/?typ=reference&amp;y=300&amp;z=NJW&amp;b=2019&amp;s=2227" TargetMode="External"/><Relationship Id="rId203" Type="http://schemas.openxmlformats.org/officeDocument/2006/relationships/hyperlink" Target="https://beck-online.beck.de/?typ=reference&amp;y=300&amp;z=NZI&amp;b=2024&amp;s=840" TargetMode="External"/><Relationship Id="rId19" Type="http://schemas.openxmlformats.org/officeDocument/2006/relationships/hyperlink" Target="https://beck-online.beck.de/?typ=reference&amp;y=100&amp;g=BGB&amp;p=823&amp;x=2" TargetMode="External"/><Relationship Id="rId224" Type="http://schemas.openxmlformats.org/officeDocument/2006/relationships/hyperlink" Target="https://beck-online.beck.de/?typ=reference&amp;y=100&amp;g=ZPO&amp;p=562" TargetMode="External"/><Relationship Id="rId245" Type="http://schemas.openxmlformats.org/officeDocument/2006/relationships/hyperlink" Target="https://beck-online.beck.de/?typ=reference&amp;y=300&amp;z=ZIP&amp;b=1989&amp;s=830" TargetMode="External"/><Relationship Id="rId266" Type="http://schemas.openxmlformats.org/officeDocument/2006/relationships/hyperlink" Target="https://beck-online.beck.de/?typ=reference&amp;y=100&amp;g=INSO&amp;p=15A" TargetMode="External"/><Relationship Id="rId287" Type="http://schemas.openxmlformats.org/officeDocument/2006/relationships/hyperlink" Target="https://beck-online.beck.de/?typ=reference&amp;y=300&amp;z=FDINSR&amp;b=2024&amp;n=816325" TargetMode="External"/><Relationship Id="rId30" Type="http://schemas.openxmlformats.org/officeDocument/2006/relationships/hyperlink" Target="https://beck-online.beck.de/?typ=reference&amp;y=300&amp;z=BECKRS&amp;b=2023&amp;n=054049" TargetMode="External"/><Relationship Id="rId105" Type="http://schemas.openxmlformats.org/officeDocument/2006/relationships/hyperlink" Target="https://beck-online.beck.de/?typ=reference&amp;y=300&amp;z=BGHZ&amp;b=241&amp;s=127" TargetMode="External"/><Relationship Id="rId126" Type="http://schemas.openxmlformats.org/officeDocument/2006/relationships/hyperlink" Target="https://beck-online.beck.de/?typ=reference&amp;y=100&amp;g=INSO&amp;p=15A" TargetMode="External"/><Relationship Id="rId147" Type="http://schemas.openxmlformats.org/officeDocument/2006/relationships/hyperlink" Target="https://beck-online.beck.de/?typ=reference&amp;y=300&amp;z=NZI&amp;b=2024&amp;s=840" TargetMode="External"/><Relationship Id="rId168" Type="http://schemas.openxmlformats.org/officeDocument/2006/relationships/hyperlink" Target="https://beck-online.beck.de/?typ=reference&amp;y=100&amp;g=BGB&amp;p=823" TargetMode="External"/><Relationship Id="rId312" Type="http://schemas.openxmlformats.org/officeDocument/2006/relationships/hyperlink" Target="https://beck-online.beck.de/?typ=reference&amp;y=100&amp;g=BGB&amp;p=823&amp;x=2" TargetMode="External"/><Relationship Id="rId333" Type="http://schemas.openxmlformats.org/officeDocument/2006/relationships/hyperlink" Target="https://beck-online.beck.de/?typ=reference&amp;y=300&amp;z=BECKRS&amp;b=1951&amp;n=103037" TargetMode="External"/><Relationship Id="rId354" Type="http://schemas.openxmlformats.org/officeDocument/2006/relationships/header" Target="header3.xml"/><Relationship Id="rId51" Type="http://schemas.openxmlformats.org/officeDocument/2006/relationships/hyperlink" Target="https://beck-online.beck.de/?typ=reference&amp;y=100&amp;g=BGB&amp;p=826" TargetMode="External"/><Relationship Id="rId72" Type="http://schemas.openxmlformats.org/officeDocument/2006/relationships/hyperlink" Target="https://beck-online.beck.de/?typ=reference&amp;y=300&amp;z=NZI&amp;b=2024&amp;s=760&amp;rn=20" TargetMode="External"/><Relationship Id="rId93" Type="http://schemas.openxmlformats.org/officeDocument/2006/relationships/hyperlink" Target="https://beck-online.beck.de/?typ=reference&amp;y=300&amp;z=BGHZ&amp;b=241&amp;s=127" TargetMode="External"/><Relationship Id="rId189" Type="http://schemas.openxmlformats.org/officeDocument/2006/relationships/hyperlink" Target="https://beck-online.beck.de/?typ=reference&amp;y=100&amp;g=INSO&amp;p=15A" TargetMode="External"/><Relationship Id="rId3" Type="http://schemas.openxmlformats.org/officeDocument/2006/relationships/webSettings" Target="webSettings.xml"/><Relationship Id="rId214" Type="http://schemas.openxmlformats.org/officeDocument/2006/relationships/hyperlink" Target="https://beck-online.beck.de/?typ=reference&amp;y=400&amp;w=WICKEKOGMBHG&amp;aufl=5&amp;g=GMBHG&amp;nach=1&amp;p=60&amp;rn=12" TargetMode="External"/><Relationship Id="rId235" Type="http://schemas.openxmlformats.org/officeDocument/2006/relationships/hyperlink" Target="https://beck-online.beck.de/?typ=reference&amp;y=300&amp;z=NZI&amp;b=2024&amp;s=840&amp;rn=83" TargetMode="External"/><Relationship Id="rId256" Type="http://schemas.openxmlformats.org/officeDocument/2006/relationships/hyperlink" Target="https://beck-online.beck.de/?typ=reference&amp;y=300&amp;z=NJW&amp;b=2021&amp;s=1759&amp;rn=16" TargetMode="External"/><Relationship Id="rId277" Type="http://schemas.openxmlformats.org/officeDocument/2006/relationships/hyperlink" Target="https://beck-online.beck.de/?typ=reference&amp;y=300&amp;z=NZI&amp;b=2024&amp;s=849" TargetMode="External"/><Relationship Id="rId298" Type="http://schemas.openxmlformats.org/officeDocument/2006/relationships/hyperlink" Target="https://beck-online.beck.de/?typ=reference&amp;y=300&amp;z=BECKRS&amp;b=1951&amp;n=103037&amp;rn=10" TargetMode="External"/><Relationship Id="rId116" Type="http://schemas.openxmlformats.org/officeDocument/2006/relationships/hyperlink" Target="https://beck-online.beck.de/?typ=reference&amp;y=300&amp;z=NZI&amp;b=2024&amp;s=840&amp;rn=54" TargetMode="External"/><Relationship Id="rId137" Type="http://schemas.openxmlformats.org/officeDocument/2006/relationships/hyperlink" Target="https://beck-online.beck.de/?typ=reference&amp;y=100&amp;g=ZPO&amp;p=138" TargetMode="External"/><Relationship Id="rId158" Type="http://schemas.openxmlformats.org/officeDocument/2006/relationships/hyperlink" Target="https://beck-online.beck.de/?typ=reference&amp;y=100&amp;g=INSO&amp;p=15A" TargetMode="External"/><Relationship Id="rId302" Type="http://schemas.openxmlformats.org/officeDocument/2006/relationships/hyperlink" Target="https://beck-online.beck.de/?typ=reference&amp;y=100&amp;g=INSO&amp;p=15A" TargetMode="External"/><Relationship Id="rId323" Type="http://schemas.openxmlformats.org/officeDocument/2006/relationships/hyperlink" Target="https://beck-online.beck.de/?typ=reference&amp;y=300&amp;z=BGHST&amp;b=2&amp;s=53" TargetMode="External"/><Relationship Id="rId344" Type="http://schemas.openxmlformats.org/officeDocument/2006/relationships/hyperlink" Target="https://beck-online.beck.de/?typ=reference&amp;y=300&amp;z=ZPG&amp;b=2025&amp;sx=346" TargetMode="External"/><Relationship Id="rId20" Type="http://schemas.openxmlformats.org/officeDocument/2006/relationships/hyperlink" Target="https://beck-online.beck.de/?typ=reference&amp;y=100&amp;g=INSO&amp;p=15A" TargetMode="External"/><Relationship Id="rId41" Type="http://schemas.openxmlformats.org/officeDocument/2006/relationships/hyperlink" Target="https://beck-online.beck.de/?typ=reference&amp;y=100&amp;g=BGB&amp;p=1967&amp;x=1" TargetMode="External"/><Relationship Id="rId62" Type="http://schemas.openxmlformats.org/officeDocument/2006/relationships/hyperlink" Target="https://beck-online.beck.de/?typ=reference&amp;y=100&amp;g=INSO&amp;p=184" TargetMode="External"/><Relationship Id="rId83" Type="http://schemas.openxmlformats.org/officeDocument/2006/relationships/hyperlink" Target="https://beck-online.beck.de/?typ=reference&amp;y=300&amp;z=BGHZ&amp;b=213&amp;s=362" TargetMode="External"/><Relationship Id="rId179" Type="http://schemas.openxmlformats.org/officeDocument/2006/relationships/hyperlink" Target="https://beck-online.beck.de/?typ=reference&amp;y=100&amp;g=INSO&amp;p=15A&amp;x=1" TargetMode="External"/><Relationship Id="rId190" Type="http://schemas.openxmlformats.org/officeDocument/2006/relationships/hyperlink" Target="https://beck-online.beck.de/?typ=reference&amp;y=300&amp;z=BGHZ&amp;b=241&amp;s=127" TargetMode="External"/><Relationship Id="rId204" Type="http://schemas.openxmlformats.org/officeDocument/2006/relationships/hyperlink" Target="https://beck-online.beck.de/?typ=reference&amp;y=300&amp;z=BGHZ&amp;b=164&amp;s=50" TargetMode="External"/><Relationship Id="rId225" Type="http://schemas.openxmlformats.org/officeDocument/2006/relationships/hyperlink" Target="https://beck-online.beck.de/?typ=reference&amp;y=100&amp;g=ZPO&amp;p=562&amp;x=1" TargetMode="External"/><Relationship Id="rId246" Type="http://schemas.openxmlformats.org/officeDocument/2006/relationships/hyperlink" Target="https://beck-online.beck.de/?typ=reference&amp;y=300&amp;z=ZIP&amp;b=1989&amp;sx=831" TargetMode="External"/><Relationship Id="rId267" Type="http://schemas.openxmlformats.org/officeDocument/2006/relationships/hyperlink" Target="https://beck-online.beck.de/?typ=reference&amp;y=100&amp;g=INSO&amp;p=15A&amp;x=1" TargetMode="External"/><Relationship Id="rId288" Type="http://schemas.openxmlformats.org/officeDocument/2006/relationships/hyperlink" Target="https://beck-online.beck.de/?typ=reference&amp;y=300&amp;z=NJW-RR&amp;b=2020&amp;s=1099" TargetMode="External"/><Relationship Id="rId106" Type="http://schemas.openxmlformats.org/officeDocument/2006/relationships/hyperlink" Target="https://beck-online.beck.de/?typ=reference&amp;y=300&amp;z=NZI&amp;b=2024&amp;s=840" TargetMode="External"/><Relationship Id="rId127" Type="http://schemas.openxmlformats.org/officeDocument/2006/relationships/hyperlink" Target="https://beck-online.beck.de/?typ=reference&amp;y=100&amp;g=INSO&amp;p=15A&amp;x=1" TargetMode="External"/><Relationship Id="rId313" Type="http://schemas.openxmlformats.org/officeDocument/2006/relationships/hyperlink" Target="https://beck-online.beck.de/?typ=reference&amp;y=100&amp;g=INSO&amp;p=15A" TargetMode="External"/><Relationship Id="rId10" Type="http://schemas.openxmlformats.org/officeDocument/2006/relationships/hyperlink" Target="https://beck-online.beck.de/?typ=reference&amp;y=100&amp;g=BGB&amp;p=823" TargetMode="External"/><Relationship Id="rId31" Type="http://schemas.openxmlformats.org/officeDocument/2006/relationships/hyperlink" Target="https://beck-online.beck.de/?typ=reference&amp;y=300&amp;z=BGHZ&amp;b=37&amp;s=79" TargetMode="External"/><Relationship Id="rId52" Type="http://schemas.openxmlformats.org/officeDocument/2006/relationships/hyperlink" Target="https://beck-online.beck.de/?typ=reference&amp;y=100&amp;g=BGB&amp;p=1967" TargetMode="External"/><Relationship Id="rId73" Type="http://schemas.openxmlformats.org/officeDocument/2006/relationships/hyperlink" Target="https://beck-online.beck.de/?typ=reference&amp;y=100&amp;g=INSO&amp;p=184" TargetMode="External"/><Relationship Id="rId94" Type="http://schemas.openxmlformats.org/officeDocument/2006/relationships/hyperlink" Target="https://beck-online.beck.de/?typ=reference&amp;y=300&amp;z=NZI&amp;b=2024&amp;s=840" TargetMode="External"/><Relationship Id="rId148" Type="http://schemas.openxmlformats.org/officeDocument/2006/relationships/hyperlink" Target="https://beck-online.beck.de/?typ=reference&amp;y=300&amp;z=NZI&amp;b=2024&amp;s=840&amp;rn=67" TargetMode="External"/><Relationship Id="rId169" Type="http://schemas.openxmlformats.org/officeDocument/2006/relationships/hyperlink" Target="https://beck-online.beck.de/?typ=reference&amp;y=100&amp;g=BGB&amp;p=823&amp;x=2" TargetMode="External"/><Relationship Id="rId334" Type="http://schemas.openxmlformats.org/officeDocument/2006/relationships/hyperlink" Target="https://beck-online.beck.de/?typ=reference&amp;y=300&amp;z=BECKRS&amp;b=1951&amp;n=103037&amp;rn=10" TargetMode="External"/><Relationship Id="rId355" Type="http://schemas.openxmlformats.org/officeDocument/2006/relationships/footer" Target="footer3.xml"/><Relationship Id="rId4" Type="http://schemas.openxmlformats.org/officeDocument/2006/relationships/footnotes" Target="footnotes.xml"/><Relationship Id="rId180" Type="http://schemas.openxmlformats.org/officeDocument/2006/relationships/hyperlink" Target="https://beck-online.beck.de/?typ=reference&amp;y=300&amp;z=BGHZ&amp;b=241&amp;s=127" TargetMode="External"/><Relationship Id="rId215" Type="http://schemas.openxmlformats.org/officeDocument/2006/relationships/hyperlink" Target="https://beck-online.beck.de/?typ=reference&amp;y=300&amp;z=BGHST&amp;b=2&amp;s=53" TargetMode="External"/><Relationship Id="rId236" Type="http://schemas.openxmlformats.org/officeDocument/2006/relationships/hyperlink" Target="https://beck-online.beck.de/?typ=reference&amp;y=300&amp;z=BGHZ&amp;b=164&amp;s=50" TargetMode="External"/><Relationship Id="rId257" Type="http://schemas.openxmlformats.org/officeDocument/2006/relationships/hyperlink" Target="https://beck-online.beck.de/?typ=reference&amp;y=100&amp;g=BGB&amp;p=826" TargetMode="External"/><Relationship Id="rId278" Type="http://schemas.openxmlformats.org/officeDocument/2006/relationships/hyperlink" Target="https://beck-online.beck.de/?typ=reference&amp;y=100&amp;g=BGB&amp;p=823" TargetMode="External"/><Relationship Id="rId303" Type="http://schemas.openxmlformats.org/officeDocument/2006/relationships/hyperlink" Target="https://beck-online.beck.de/?typ=reference&amp;y=100&amp;g=INSO&amp;p=15A&amp;x=4" TargetMode="External"/><Relationship Id="rId42" Type="http://schemas.openxmlformats.org/officeDocument/2006/relationships/hyperlink" Target="https://beck-online.beck.de/?typ=reference&amp;y=100&amp;g=BGB&amp;p=826" TargetMode="External"/><Relationship Id="rId84" Type="http://schemas.openxmlformats.org/officeDocument/2006/relationships/hyperlink" Target="https://beck-online.beck.de/?typ=reference&amp;y=300&amp;z=BGHZ&amp;b=213&amp;s=362&amp;rn=33" TargetMode="External"/><Relationship Id="rId138" Type="http://schemas.openxmlformats.org/officeDocument/2006/relationships/hyperlink" Target="https://beck-online.beck.de/?typ=reference&amp;y=100&amp;g=ZPO&amp;p=138&amp;x=2" TargetMode="External"/><Relationship Id="rId345" Type="http://schemas.openxmlformats.org/officeDocument/2006/relationships/hyperlink" Target="https://beck-online.beck.de/?typ=reference&amp;y=300&amp;z=DZWIR&amp;b=2025&amp;s=18" TargetMode="External"/><Relationship Id="rId191" Type="http://schemas.openxmlformats.org/officeDocument/2006/relationships/hyperlink" Target="https://beck-online.beck.de/?typ=reference&amp;y=300&amp;z=BGHZ&amp;b=241&amp;s=127&amp;rn=84" TargetMode="External"/><Relationship Id="rId205" Type="http://schemas.openxmlformats.org/officeDocument/2006/relationships/hyperlink" Target="https://beck-online.beck.de/?typ=reference&amp;y=300&amp;z=BGHZ&amp;b=164&amp;sx=56" TargetMode="External"/><Relationship Id="rId247" Type="http://schemas.openxmlformats.org/officeDocument/2006/relationships/hyperlink" Target="https://beck-online.beck.de/?typ=reference&amp;y=300&amp;z=BECKRS&amp;b=2010&amp;n=17069" TargetMode="External"/><Relationship Id="rId107" Type="http://schemas.openxmlformats.org/officeDocument/2006/relationships/hyperlink" Target="https://beck-online.beck.de/?typ=reference&amp;y=300&amp;z=NZI&amp;b=2024&amp;s=840&amp;rn=24" TargetMode="External"/><Relationship Id="rId289" Type="http://schemas.openxmlformats.org/officeDocument/2006/relationships/hyperlink" Target="https://beck-online.beck.de/?typ=reference&amp;y=300&amp;z=NJW-RR&amp;b=2020&amp;s=1099&amp;rn=13" TargetMode="External"/><Relationship Id="rId11" Type="http://schemas.openxmlformats.org/officeDocument/2006/relationships/hyperlink" Target="https://beck-online.beck.de/?typ=reference&amp;y=100&amp;g=BGB&amp;p=826" TargetMode="External"/><Relationship Id="rId53" Type="http://schemas.openxmlformats.org/officeDocument/2006/relationships/hyperlink" Target="https://beck-online.beck.de/?typ=reference&amp;y=100&amp;g=BGB&amp;p=1967&amp;x=1" TargetMode="External"/><Relationship Id="rId149" Type="http://schemas.openxmlformats.org/officeDocument/2006/relationships/hyperlink" Target="https://beck-online.beck.de/?typ=reference&amp;y=200&amp;ge=LGFLENSBURG&amp;az=3O18020&amp;d=2022-02-04" TargetMode="External"/><Relationship Id="rId314" Type="http://schemas.openxmlformats.org/officeDocument/2006/relationships/hyperlink" Target="https://beck-online.beck.de/?typ=reference&amp;y=300&amp;z=BGHST&amp;b=2&amp;s=53" TargetMode="External"/><Relationship Id="rId356" Type="http://schemas.openxmlformats.org/officeDocument/2006/relationships/fontTable" Target="fontTable.xml"/><Relationship Id="rId95" Type="http://schemas.openxmlformats.org/officeDocument/2006/relationships/hyperlink" Target="https://beck-online.beck.de/?typ=reference&amp;y=300&amp;z=NZI&amp;b=2024&amp;s=840&amp;rn=38" TargetMode="External"/><Relationship Id="rId160" Type="http://schemas.openxmlformats.org/officeDocument/2006/relationships/hyperlink" Target="https://beck-online.beck.de/?typ=reference&amp;y=100&amp;g=BGB&amp;p=1967" TargetMode="External"/><Relationship Id="rId216" Type="http://schemas.openxmlformats.org/officeDocument/2006/relationships/hyperlink" Target="https://beck-online.beck.de/?typ=reference&amp;y=300&amp;z=BECKRS&amp;b=1951&amp;n=103037" TargetMode="External"/><Relationship Id="rId258" Type="http://schemas.openxmlformats.org/officeDocument/2006/relationships/hyperlink" Target="https://beck-online.beck.de/?typ=reference&amp;y=300&amp;z=NJW&amp;b=2004&amp;s=3706" TargetMode="External"/><Relationship Id="rId22" Type="http://schemas.openxmlformats.org/officeDocument/2006/relationships/hyperlink" Target="https://beck-online.beck.de/?typ=reference&amp;y=100&amp;g=BGB&amp;p=823" TargetMode="External"/><Relationship Id="rId64" Type="http://schemas.openxmlformats.org/officeDocument/2006/relationships/hyperlink" Target="https://beck-online.beck.de/?typ=reference&amp;y=100&amp;g=ZPO&amp;p=250" TargetMode="External"/><Relationship Id="rId118" Type="http://schemas.openxmlformats.org/officeDocument/2006/relationships/hyperlink" Target="https://beck-online.beck.de/?typ=reference&amp;y=100&amp;g=ZPO&amp;p=562&amp;x=1" TargetMode="External"/><Relationship Id="rId325" Type="http://schemas.openxmlformats.org/officeDocument/2006/relationships/hyperlink" Target="https://beck-online.beck.de/?typ=reference&amp;y=300&amp;z=BECKRS&amp;b=1951&amp;n=103037&amp;rn=10" TargetMode="External"/><Relationship Id="rId171" Type="http://schemas.openxmlformats.org/officeDocument/2006/relationships/hyperlink" Target="https://beck-online.beck.de/?typ=reference&amp;y=100&amp;g=INSO&amp;p=15A&amp;x=1" TargetMode="External"/><Relationship Id="rId227" Type="http://schemas.openxmlformats.org/officeDocument/2006/relationships/hyperlink" Target="https://beck-online.beck.de/?typ=reference&amp;y=100&amp;g=ZPO&amp;p=563&amp;x=1" TargetMode="External"/><Relationship Id="rId269" Type="http://schemas.openxmlformats.org/officeDocument/2006/relationships/hyperlink" Target="https://beck-online.beck.de/?typ=reference&amp;y=100&amp;g=BGB&amp;p=1967&amp;x=1" TargetMode="External"/><Relationship Id="rId33" Type="http://schemas.openxmlformats.org/officeDocument/2006/relationships/hyperlink" Target="https://beck-online.beck.de/?typ=reference&amp;y=300&amp;z=NJW&amp;b=1962&amp;s=1149" TargetMode="External"/><Relationship Id="rId129" Type="http://schemas.openxmlformats.org/officeDocument/2006/relationships/hyperlink" Target="https://beck-online.beck.de/?typ=reference&amp;y=100&amp;g=INSO&amp;p=15A&amp;x=1" TargetMode="External"/><Relationship Id="rId280" Type="http://schemas.openxmlformats.org/officeDocument/2006/relationships/hyperlink" Target="https://beck-online.beck.de/?typ=reference&amp;y=100&amp;g=INSO&amp;p=15A" TargetMode="External"/><Relationship Id="rId336" Type="http://schemas.openxmlformats.org/officeDocument/2006/relationships/hyperlink" Target="https://beck-online.beck.de/?typ=reference&amp;y=100&amp;g=BGB&amp;p=823&amp;x=2" TargetMode="External"/><Relationship Id="rId75" Type="http://schemas.openxmlformats.org/officeDocument/2006/relationships/hyperlink" Target="https://beck-online.beck.de/?typ=reference&amp;y=100&amp;g=INSO&amp;p=184" TargetMode="External"/><Relationship Id="rId140" Type="http://schemas.openxmlformats.org/officeDocument/2006/relationships/hyperlink" Target="https://beck-online.beck.de/?typ=reference&amp;y=100&amp;g=ZPO&amp;p=138&amp;x=1" TargetMode="External"/><Relationship Id="rId182" Type="http://schemas.openxmlformats.org/officeDocument/2006/relationships/hyperlink" Target="https://beck-online.beck.de/?typ=reference&amp;y=300&amp;z=NZI&amp;b=2024&amp;s=840&amp;rn=79" TargetMode="External"/><Relationship Id="rId6" Type="http://schemas.openxmlformats.org/officeDocument/2006/relationships/hyperlink" Target="https://beck-online.beck.de/?typ=reference&amp;y=100&amp;g=INSO&amp;p=15A" TargetMode="External"/><Relationship Id="rId238" Type="http://schemas.openxmlformats.org/officeDocument/2006/relationships/hyperlink" Target="https://beck-online.beck.de/?typ=reference&amp;y=300&amp;z=BGHZ&amp;b=164&amp;s=50&amp;rn=18" TargetMode="External"/><Relationship Id="rId291" Type="http://schemas.openxmlformats.org/officeDocument/2006/relationships/hyperlink" Target="https://beck-online.beck.de/?typ=reference&amp;y=300&amp;z=ZPG&amp;b=2025&amp;s=344" TargetMode="External"/><Relationship Id="rId305" Type="http://schemas.openxmlformats.org/officeDocument/2006/relationships/hyperlink" Target="https://beck-online.beck.de/?typ=reference&amp;y=300&amp;z=BECKRS&amp;b=1951&amp;n=103037" TargetMode="External"/><Relationship Id="rId347" Type="http://schemas.openxmlformats.org/officeDocument/2006/relationships/hyperlink" Target="https://beck-online.beck.de/?typ=reference&amp;y=300&amp;z=ZPG&amp;b=2025&amp;sx=346" TargetMode="External"/><Relationship Id="rId44" Type="http://schemas.openxmlformats.org/officeDocument/2006/relationships/hyperlink" Target="https://beck-online.beck.de/?typ=reference&amp;y=100&amp;g=BGB&amp;p=1967&amp;x=1" TargetMode="External"/><Relationship Id="rId86" Type="http://schemas.openxmlformats.org/officeDocument/2006/relationships/hyperlink" Target="https://beck-online.beck.de/?typ=reference&amp;y=300&amp;z=NZI&amp;b=2020&amp;s=782" TargetMode="External"/><Relationship Id="rId151" Type="http://schemas.openxmlformats.org/officeDocument/2006/relationships/hyperlink" Target="https://beck-online.beck.de/?typ=reference&amp;y=300&amp;z=NZI&amp;b=2020&amp;s=167" TargetMode="External"/><Relationship Id="rId193" Type="http://schemas.openxmlformats.org/officeDocument/2006/relationships/hyperlink" Target="https://beck-online.beck.de/?typ=reference&amp;y=300&amp;z=BGHZ&amp;b=199&amp;s=237" TargetMode="External"/><Relationship Id="rId207" Type="http://schemas.openxmlformats.org/officeDocument/2006/relationships/hyperlink" Target="https://beck-online.beck.de/?typ=reference&amp;y=300&amp;z=NZI&amp;b=2006&amp;s=58" TargetMode="External"/><Relationship Id="rId249" Type="http://schemas.openxmlformats.org/officeDocument/2006/relationships/hyperlink" Target="https://beck-online.beck.de/?typ=reference&amp;y=300&amp;z=NJW&amp;b=2004&amp;sx=3709" TargetMode="External"/><Relationship Id="rId13" Type="http://schemas.openxmlformats.org/officeDocument/2006/relationships/hyperlink" Target="https://beck-online.beck.de/?typ=reference&amp;y=100&amp;g=ZPO&amp;p=250" TargetMode="External"/><Relationship Id="rId109" Type="http://schemas.openxmlformats.org/officeDocument/2006/relationships/hyperlink" Target="https://beck-online.beck.de/?typ=reference&amp;y=300&amp;z=NZI&amp;b=2024&amp;s=840" TargetMode="External"/><Relationship Id="rId260" Type="http://schemas.openxmlformats.org/officeDocument/2006/relationships/hyperlink" Target="https://beck-online.beck.de/?typ=reference&amp;y=300&amp;z=NJW-RR&amp;b=2015&amp;s=675" TargetMode="External"/><Relationship Id="rId316" Type="http://schemas.openxmlformats.org/officeDocument/2006/relationships/hyperlink" Target="https://beck-online.beck.de/?typ=reference&amp;y=300&amp;z=BECKRS&amp;b=1951&amp;n=103037&amp;rn=10" TargetMode="External"/><Relationship Id="rId55" Type="http://schemas.openxmlformats.org/officeDocument/2006/relationships/hyperlink" Target="https://beck-online.beck.de/?typ=reference&amp;y=100&amp;g=INSO&amp;p=22" TargetMode="External"/><Relationship Id="rId97" Type="http://schemas.openxmlformats.org/officeDocument/2006/relationships/hyperlink" Target="https://beck-online.beck.de/?typ=reference&amp;y=100&amp;g=INSO&amp;p=174&amp;x=2" TargetMode="External"/><Relationship Id="rId120" Type="http://schemas.openxmlformats.org/officeDocument/2006/relationships/hyperlink" Target="https://beck-online.beck.de/?typ=reference&amp;y=100&amp;g=ZPO&amp;p=563&amp;x=1" TargetMode="External"/><Relationship Id="rId162" Type="http://schemas.openxmlformats.org/officeDocument/2006/relationships/hyperlink" Target="https://beck-online.beck.de/?typ=reference&amp;y=100&amp;g=BGB&amp;p=826" TargetMode="External"/><Relationship Id="rId218" Type="http://schemas.openxmlformats.org/officeDocument/2006/relationships/hyperlink" Target="https://beck-online.beck.de/?typ=reference&amp;y=300&amp;z=NJW&amp;b=2019&amp;s=2227" TargetMode="External"/><Relationship Id="rId271" Type="http://schemas.openxmlformats.org/officeDocument/2006/relationships/hyperlink" Target="https://beck-online.beck.de/?typ=reference&amp;y=300&amp;z=NZI&amp;b=2021&amp;s=940" TargetMode="External"/><Relationship Id="rId24" Type="http://schemas.openxmlformats.org/officeDocument/2006/relationships/hyperlink" Target="https://beck-online.beck.de/?typ=reference&amp;y=100&amp;g=STGB&amp;p=263" TargetMode="External"/><Relationship Id="rId66" Type="http://schemas.openxmlformats.org/officeDocument/2006/relationships/hyperlink" Target="https://beck-online.beck.de/?typ=reference&amp;y=300&amp;z=NJOZ&amp;b=2018&amp;s=1924&amp;rn=41" TargetMode="External"/><Relationship Id="rId131" Type="http://schemas.openxmlformats.org/officeDocument/2006/relationships/hyperlink" Target="https://beck-online.beck.de/?typ=reference&amp;y=100&amp;g=INSO&amp;p=19&amp;x=2" TargetMode="External"/><Relationship Id="rId327" Type="http://schemas.openxmlformats.org/officeDocument/2006/relationships/hyperlink" Target="https://beck-online.beck.de/?typ=reference&amp;y=300&amp;z=BECKRS&amp;b=2002&amp;n=5132" TargetMode="External"/><Relationship Id="rId173" Type="http://schemas.openxmlformats.org/officeDocument/2006/relationships/hyperlink" Target="https://beck-online.beck.de/?typ=reference&amp;y=100&amp;g=ZPO&amp;p=562&amp;x=1" TargetMode="External"/><Relationship Id="rId229" Type="http://schemas.openxmlformats.org/officeDocument/2006/relationships/hyperlink" Target="https://beck-online.beck.de/?typ=reference&amp;y=100&amp;g=BGB&amp;p=823&amp;x=2" TargetMode="External"/><Relationship Id="rId240" Type="http://schemas.openxmlformats.org/officeDocument/2006/relationships/hyperlink" Target="https://beck-online.beck.de/?typ=reference&amp;y=300&amp;z=BKR&amp;b=2006&amp;s=19" TargetMode="External"/><Relationship Id="rId35" Type="http://schemas.openxmlformats.org/officeDocument/2006/relationships/hyperlink" Target="https://beck-online.beck.de/?typ=reference&amp;y=300&amp;z=NZG&amp;b=2024&amp;s=345&amp;rn=3" TargetMode="External"/><Relationship Id="rId77" Type="http://schemas.openxmlformats.org/officeDocument/2006/relationships/hyperlink" Target="https://beck-online.beck.de/?typ=reference&amp;y=100&amp;g=INSO&amp;p=174" TargetMode="External"/><Relationship Id="rId100" Type="http://schemas.openxmlformats.org/officeDocument/2006/relationships/hyperlink" Target="https://beck-online.beck.de/?typ=reference&amp;y=300&amp;z=NZI&amp;b=2024&amp;s=840&amp;rn=36" TargetMode="External"/><Relationship Id="rId282" Type="http://schemas.openxmlformats.org/officeDocument/2006/relationships/hyperlink" Target="https://beck-online.beck.de/?typ=reference&amp;y=300&amp;z=NZI&amp;b=2024&amp;s=840" TargetMode="External"/><Relationship Id="rId338" Type="http://schemas.openxmlformats.org/officeDocument/2006/relationships/hyperlink" Target="https://beck-online.beck.de/?typ=reference&amp;y=100&amp;g=INSO&amp;p=15B" TargetMode="External"/><Relationship Id="rId8" Type="http://schemas.openxmlformats.org/officeDocument/2006/relationships/hyperlink" Target="https://beck-online.beck.de/?typ=reference&amp;y=100&amp;g=INSO&amp;p=174" TargetMode="External"/><Relationship Id="rId142" Type="http://schemas.openxmlformats.org/officeDocument/2006/relationships/hyperlink" Target="https://beck-online.beck.de/?typ=reference&amp;y=100&amp;g=BGB&amp;p=1922" TargetMode="External"/><Relationship Id="rId184" Type="http://schemas.openxmlformats.org/officeDocument/2006/relationships/hyperlink" Target="https://beck-online.beck.de/?typ=reference&amp;y=100&amp;g=BGB&amp;p=823&amp;x=2" TargetMode="External"/><Relationship Id="rId251" Type="http://schemas.openxmlformats.org/officeDocument/2006/relationships/hyperlink" Target="https://beck-online.beck.de/?typ=reference&amp;y=300&amp;z=NJW-RR&amp;b=2015&amp;s=675&amp;rn=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11113</Words>
  <Characters>70347</Characters>
  <Application>Microsoft Office Word</Application>
  <DocSecurity>0</DocSecurity>
  <Lines>1116</Lines>
  <Paragraphs>209</Paragraphs>
  <ScaleCrop>false</ScaleCrop>
  <Company/>
  <LinksUpToDate>false</LinksUpToDate>
  <CharactersWithSpaces>81251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Haftung des ausgeschiedenen Geschäftsführers für Insolvenzverschleppungsschäden von Neugläubigern – vorsätzliche sittenwidrige Schädigung durch Schneeballsystem - Steuern und Bilanzen</dc:title>
  <dc:creator>beck-online.beck.de</dc:creator>
  <cp:lastModifiedBy>Martin Otten</cp:lastModifiedBy>
  <cp:revision>2</cp:revision>
  <dcterms:created xsi:type="dcterms:W3CDTF">2026-06-28T18:41:00Z</dcterms:created>
  <dcterms:modified xsi:type="dcterms:W3CDTF">2026-06-28T18:41:00Z</dcterms:modified>
</cp:coreProperties>
</file>