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6604F2FF" w14:textId="09902F50" w:rsidR="003F3CA7" w:rsidRDefault="003F3CA7">
      <w:pPr>
        <w:pStyle w:val="tdm-short"/>
        <w:pBdr>
          <w:right w:val="none" w:sz="0" w:space="7" w:color="auto"/>
        </w:pBdr>
        <w:spacing w:before="75" w:after="225"/>
        <w:ind w:right="150"/>
        <w:rPr>
          <w:sz w:val="16"/>
          <w:szCs w:val="16"/>
        </w:rPr>
      </w:pPr>
    </w:p>
    <w:tbl>
      <w:tblPr>
        <w:tblStyle w:val="printcontentdivdk2table"/>
        <w:tblW w:w="5000" w:type="pct"/>
        <w:tblInd w:w="60" w:type="dxa"/>
        <w:tblBorders>
          <w:bottom w:val="single" w:sz="6" w:space="0" w:color="D0D0D0"/>
          <w:right w:val="single" w:sz="6" w:space="0" w:color="D0D0D0"/>
        </w:tblBorders>
        <w:shd w:val="clear" w:color="auto" w:fill="F0F0F0"/>
        <w:tblCellMar>
          <w:top w:w="15" w:type="dxa"/>
          <w:left w:w="15" w:type="dxa"/>
          <w:bottom w:w="15" w:type="dxa"/>
          <w:right w:w="15" w:type="dxa"/>
        </w:tblCellMar>
        <w:tblLook w:val="05E0" w:firstRow="1" w:lastRow="1" w:firstColumn="1" w:lastColumn="1" w:noHBand="0" w:noVBand="1"/>
      </w:tblPr>
      <w:tblGrid>
        <w:gridCol w:w="6703"/>
        <w:gridCol w:w="2387"/>
      </w:tblGrid>
      <w:tr w:rsidR="003F3CA7" w14:paraId="038537FD" w14:textId="77777777">
        <w:tc>
          <w:tcPr>
            <w:tcW w:w="0" w:type="auto"/>
            <w:shd w:val="clear" w:color="auto" w:fill="F7F7F0"/>
            <w:tcMar>
              <w:top w:w="45" w:type="dxa"/>
              <w:left w:w="45" w:type="dxa"/>
              <w:bottom w:w="105" w:type="dxa"/>
              <w:right w:w="90" w:type="dxa"/>
            </w:tcMar>
            <w:hideMark/>
          </w:tcPr>
          <w:p w14:paraId="66EB03CD" w14:textId="77777777" w:rsidR="003F3CA7" w:rsidRDefault="00000000">
            <w:r>
              <w:rPr>
                <w:rStyle w:val="any"/>
                <w:sz w:val="20"/>
              </w:rPr>
              <w:t>BGH: Prognose drohender Zahlungsunfähigkeit</w:t>
            </w:r>
          </w:p>
        </w:tc>
        <w:tc>
          <w:tcPr>
            <w:tcW w:w="0" w:type="auto"/>
            <w:shd w:val="clear" w:color="auto" w:fill="F7F7F0"/>
            <w:noWrap/>
            <w:tcMar>
              <w:top w:w="45" w:type="dxa"/>
              <w:left w:w="45" w:type="dxa"/>
              <w:bottom w:w="105" w:type="dxa"/>
              <w:right w:w="98" w:type="dxa"/>
            </w:tcMar>
            <w:hideMark/>
          </w:tcPr>
          <w:p w14:paraId="60FDCBED" w14:textId="77777777" w:rsidR="003F3CA7" w:rsidRDefault="00000000">
            <w:pPr>
              <w:pStyle w:val="printcontentdivdk2spancitation"/>
              <w:ind w:left="150"/>
              <w:jc w:val="right"/>
            </w:pPr>
            <w:r>
              <w:rPr>
                <w:sz w:val="20"/>
              </w:rPr>
              <w:t>NZI 2014, 259</w:t>
            </w:r>
          </w:p>
        </w:tc>
      </w:tr>
    </w:tbl>
    <w:p w14:paraId="28C1A62D" w14:textId="77777777" w:rsidR="003F3CA7" w:rsidRDefault="00000000">
      <w:pPr>
        <w:pStyle w:val="bocenterh1"/>
        <w:pBdr>
          <w:top w:val="none" w:sz="0" w:space="5" w:color="auto"/>
          <w:bottom w:val="none" w:sz="0" w:space="3" w:color="auto"/>
        </w:pBdr>
        <w:spacing w:before="75" w:after="75" w:line="360" w:lineRule="auto"/>
        <w:ind w:left="600" w:right="150"/>
        <w:outlineLvl w:val="0"/>
        <w:rPr>
          <w:color w:val="000000"/>
          <w:sz w:val="24"/>
          <w:szCs w:val="24"/>
        </w:rPr>
      </w:pPr>
      <w:r>
        <w:rPr>
          <w:color w:val="000000"/>
          <w:sz w:val="24"/>
          <w:szCs w:val="24"/>
        </w:rPr>
        <w:t>Prognose drohender Zahlungsunfähigkeit</w:t>
      </w:r>
    </w:p>
    <w:p w14:paraId="2810C7D8" w14:textId="77777777" w:rsidR="003F3CA7" w:rsidRDefault="00000000">
      <w:pPr>
        <w:pStyle w:val="printcontentdivnotlawversion"/>
        <w:spacing w:line="360" w:lineRule="auto"/>
        <w:ind w:left="600" w:right="150"/>
      </w:pPr>
      <w:r>
        <w:rPr>
          <w:rStyle w:val="any"/>
          <w:color w:val="000000"/>
        </w:rPr>
        <w:t xml:space="preserve">InsO §§ </w:t>
      </w:r>
      <w:hyperlink r:id="rId6" w:history="1">
        <w:r>
          <w:rPr>
            <w:rStyle w:val="bocontentwrapperbocenteranotbeck-btn"/>
            <w:color w:val="000000"/>
            <w:u w:val="single" w:color="000000"/>
          </w:rPr>
          <w:t>133</w:t>
        </w:r>
      </w:hyperlink>
      <w:r>
        <w:rPr>
          <w:rStyle w:val="any"/>
          <w:color w:val="000000"/>
        </w:rPr>
        <w:t> </w:t>
      </w:r>
      <w:hyperlink r:id="rId7" w:history="1">
        <w:r>
          <w:rPr>
            <w:rStyle w:val="bocontentwrapperbocenteranotbeck-btn"/>
            <w:color w:val="000000"/>
            <w:u w:val="single" w:color="000000"/>
          </w:rPr>
          <w:t>I</w:t>
        </w:r>
      </w:hyperlink>
      <w:r>
        <w:rPr>
          <w:rStyle w:val="any"/>
          <w:color w:val="000000"/>
        </w:rPr>
        <w:t xml:space="preserve">, </w:t>
      </w:r>
      <w:hyperlink r:id="rId8" w:history="1">
        <w:r>
          <w:rPr>
            <w:rStyle w:val="bocontentwrapperbocenteranotbeck-btn"/>
            <w:color w:val="000000"/>
            <w:u w:val="single" w:color="000000"/>
          </w:rPr>
          <w:t>18</w:t>
        </w:r>
      </w:hyperlink>
      <w:r>
        <w:rPr>
          <w:rStyle w:val="any"/>
          <w:color w:val="000000"/>
        </w:rPr>
        <w:t xml:space="preserve"> </w:t>
      </w:r>
      <w:hyperlink r:id="rId9" w:history="1">
        <w:r>
          <w:rPr>
            <w:rStyle w:val="bocontentwrapperbocenteranotbeck-btn"/>
            <w:color w:val="000000"/>
            <w:u w:val="single" w:color="000000"/>
          </w:rPr>
          <w:t>II</w:t>
        </w:r>
      </w:hyperlink>
    </w:p>
    <w:p w14:paraId="26CF657D" w14:textId="77777777" w:rsidR="003F3CA7" w:rsidRDefault="00000000">
      <w:pPr>
        <w:pStyle w:val="divbocontentwrapperbocenterpParagraph"/>
        <w:spacing w:after="120" w:line="360" w:lineRule="auto"/>
        <w:ind w:left="600" w:right="150"/>
        <w:rPr>
          <w:b/>
          <w:bCs/>
          <w:color w:val="000000"/>
        </w:rPr>
      </w:pPr>
      <w:r>
        <w:rPr>
          <w:b/>
          <w:bCs/>
          <w:color w:val="000000"/>
        </w:rPr>
        <w:t xml:space="preserve">In die Prognose, die bei der Prüfung drohender Zahlungsunfähigkeit vorzunehmen ist, sind auch Zahlungspflichten einzubeziehen, deren Fälligkeit im Prognosezeitraum nicht sicher, aber überwiegend wahrscheinlich ist. </w:t>
      </w:r>
    </w:p>
    <w:p w14:paraId="7D7532D7" w14:textId="77777777" w:rsidR="003F3CA7" w:rsidRDefault="00000000">
      <w:pPr>
        <w:pStyle w:val="divbocontentwrapperbocenterpParagraph"/>
        <w:pBdr>
          <w:top w:val="single" w:sz="6" w:space="0" w:color="000000"/>
          <w:bottom w:val="single" w:sz="6" w:space="0" w:color="000000"/>
        </w:pBdr>
        <w:spacing w:after="120" w:line="360" w:lineRule="auto"/>
        <w:ind w:left="600" w:right="150"/>
        <w:rPr>
          <w:color w:val="000000"/>
        </w:rPr>
      </w:pPr>
      <w:r>
        <w:rPr>
          <w:rStyle w:val="any"/>
          <w:color w:val="000000"/>
        </w:rPr>
        <w:t>BGH</w:t>
      </w:r>
      <w:r>
        <w:rPr>
          <w:color w:val="000000"/>
        </w:rPr>
        <w:t xml:space="preserve">, </w:t>
      </w:r>
      <w:r>
        <w:rPr>
          <w:rStyle w:val="etyp"/>
          <w:color w:val="000000"/>
        </w:rPr>
        <w:t>Urteil</w:t>
      </w:r>
      <w:r>
        <w:rPr>
          <w:color w:val="000000"/>
        </w:rPr>
        <w:t xml:space="preserve"> vom </w:t>
      </w:r>
      <w:r>
        <w:rPr>
          <w:rStyle w:val="any"/>
          <w:color w:val="000000"/>
        </w:rPr>
        <w:t>5.12.2013</w:t>
      </w:r>
      <w:r>
        <w:rPr>
          <w:color w:val="000000"/>
        </w:rPr>
        <w:t xml:space="preserve"> – </w:t>
      </w:r>
      <w:r>
        <w:rPr>
          <w:rStyle w:val="any"/>
          <w:color w:val="000000"/>
        </w:rPr>
        <w:t>IX ZR 93/11</w:t>
      </w:r>
      <w:bookmarkStart w:id="0" w:name="Y-300-Z-NZI-B-2014-S-259-N-1-Gl-1"/>
      <w:bookmarkEnd w:id="0"/>
    </w:p>
    <w:p w14:paraId="142C586C" w14:textId="77777777" w:rsidR="003F3CA7" w:rsidRDefault="00000000">
      <w:pPr>
        <w:pStyle w:val="bocenterh1"/>
        <w:pBdr>
          <w:top w:val="none" w:sz="0" w:space="5" w:color="auto"/>
          <w:bottom w:val="none" w:sz="0" w:space="3" w:color="auto"/>
        </w:pBdr>
        <w:spacing w:before="75" w:after="75" w:line="360" w:lineRule="auto"/>
        <w:ind w:left="600" w:right="150"/>
        <w:jc w:val="both"/>
        <w:outlineLvl w:val="0"/>
        <w:rPr>
          <w:color w:val="000000"/>
          <w:sz w:val="24"/>
          <w:szCs w:val="24"/>
        </w:rPr>
      </w:pPr>
      <w:r>
        <w:rPr>
          <w:color w:val="000000"/>
          <w:sz w:val="24"/>
          <w:szCs w:val="24"/>
        </w:rPr>
        <w:t>Zum Sachverhalt:</w:t>
      </w:r>
    </w:p>
    <w:p w14:paraId="0448D385" w14:textId="77777777" w:rsidR="003F3CA7" w:rsidRDefault="00000000">
      <w:pPr>
        <w:pStyle w:val="divbocontentwrapperbocenterpParagraph"/>
        <w:spacing w:after="120" w:line="360" w:lineRule="auto"/>
        <w:ind w:left="600" w:right="150"/>
        <w:jc w:val="both"/>
        <w:rPr>
          <w:color w:val="000000"/>
        </w:rPr>
      </w:pPr>
      <w:r>
        <w:rPr>
          <w:color w:val="000000"/>
        </w:rPr>
        <w:t xml:space="preserve">Der Kl. ist Verwalter in dem auf Antrag vom 27.11.2003 am 23.12.2003 eröffneten Insolvenzverfahren über das Vermögen der </w:t>
      </w:r>
      <w:r>
        <w:rPr>
          <w:rStyle w:val="emitalicon"/>
          <w:color w:val="000000"/>
        </w:rPr>
        <w:t>I</w:t>
      </w:r>
      <w:r>
        <w:rPr>
          <w:color w:val="000000"/>
        </w:rPr>
        <w:t xml:space="preserve">-GmbH (fortan: Schuldnerin). Die Schuldnerin betrieb ihr Unternehmen in einem von der Bekl. gemieteten Gebäude. Gesellschafter der Bekl., einer Gesellschaft bürgerlichen Rechts, waren die drei Gesellschafter der Schuldnerin mit Anteilen von insgesamt 80 Prozent. Ihre Ehefrauen hielten die restlichen Anteile an der Bekl. Die vereinbarte Miete betrug seit dem 1.1.2002 monatlich 20.646,36 Euro. Die Schuldnerin zahlte an die Bekl. am 10.1.2003 und am 14.2.2003 jeweils 16.293,78 Euro. Zwischen dem 15.5.2003 und dem 15.10.2003 zahlte sie insgesamt weitere 67.655,30 Euro. Die </w:t>
      </w:r>
      <w:r>
        <w:rPr>
          <w:rStyle w:val="emitalicon"/>
          <w:color w:val="000000"/>
        </w:rPr>
        <w:t>D</w:t>
      </w:r>
      <w:r>
        <w:rPr>
          <w:color w:val="000000"/>
        </w:rPr>
        <w:t xml:space="preserve">-Bank hatte der Schuldnerin einen Geschäftskredit in Höhe von 630.000 Euro und ein Hypothekendarlehen über rund 110.000 Euro gewährt. Mit Schreiben vom 5.12.2002 erbat sie wegen eines erhöhten Kreditrisikos Vorschläge der Schuldnerin für eine werthaltige Absicherung der bisher nur durch Bürgschaften der drei Gesellschafter gesicherten Kredite. In einem Schreiben vom 4.2.2003 wiederholte sie ihre Aufforderung zur Stellung von Sicherheiten. Für den Fall, dass entsprechende verbindliche Vorschläge nicht bis zum 12.2.2003 erfolgten, drohte sie mit der Kündigung der Kredite. Mit Schreiben vom 19.2.2003 kündigte die </w:t>
      </w:r>
      <w:r>
        <w:rPr>
          <w:rStyle w:val="emitalicon"/>
          <w:color w:val="000000"/>
        </w:rPr>
        <w:t>D</w:t>
      </w:r>
      <w:r>
        <w:rPr>
          <w:color w:val="000000"/>
        </w:rPr>
        <w:t xml:space="preserve"> den Geschäftskredit in Höhe eines Teilbetrags von 90.000 Euro mit sofortiger Wirkung und machte ihre Kreditbereitschaft im Übrigen davon abhängig, dass bis zum 28.2.2003 Zusatzsicherheiten gestellt wurden. Auf Vorschlag der Schuldnerin kam es am 12./19.3.2003 zu einer Vereinbarung, wonach die </w:t>
      </w:r>
      <w:r>
        <w:rPr>
          <w:rStyle w:val="emitalicon"/>
          <w:color w:val="000000"/>
        </w:rPr>
        <w:t>D</w:t>
      </w:r>
      <w:r>
        <w:rPr>
          <w:color w:val="000000"/>
        </w:rPr>
        <w:t xml:space="preserve"> still hielt, sofern die Schuldnerin den Geschäftskredit bis zum 11.4.2003 in mehreren Raten vollständig zurückführte, das Hypothekendarlehen ordnungsgemäß bediente und näher bezeichnete Sicherheiten stellte. Mit Schreiben vom 15.4.2003 stellte die Bank fest, dass der Geschäftskredit noch in Höhe von 350.000 Euro offen stand und die vereinbarte Sicherheitenverstärkung nicht erfolgt war. Sie drohte die Kündigung des </w:t>
      </w:r>
      <w:r>
        <w:rPr>
          <w:color w:val="000000"/>
        </w:rPr>
        <w:lastRenderedPageBreak/>
        <w:t>Kreditengagements an, falls die bestehende Überziehung nicht bis zum 25.4.2003 ausgeglichen werde. Am 2.6.2003 erfolgte die Kündigung.</w:t>
      </w:r>
    </w:p>
    <w:p w14:paraId="78E75633" w14:textId="77777777" w:rsidR="003F3CA7" w:rsidRDefault="00000000">
      <w:pPr>
        <w:pStyle w:val="divbocontentwrapperbocenterpParagraph"/>
        <w:spacing w:after="120" w:line="360" w:lineRule="auto"/>
        <w:ind w:left="600" w:right="150"/>
        <w:jc w:val="both"/>
        <w:rPr>
          <w:color w:val="000000"/>
        </w:rPr>
      </w:pPr>
      <w:r>
        <w:rPr>
          <w:color w:val="000000"/>
        </w:rPr>
        <w:t>Der Kl. verlangt unter den rechtlichen Gesichtspunkten des Eigenkapitalersatzes und der Insolvenzanfechtung die Rückgewähr der im Jahr 2003 von der Schuldnerin entrichteten Mieten in Höhe von insgesamt 100.242,86 Euro nebst Zinsen. Das BerGer. (</w:t>
      </w:r>
      <w:r>
        <w:rPr>
          <w:rStyle w:val="any"/>
          <w:i/>
          <w:iCs/>
          <w:color w:val="000000"/>
        </w:rPr>
        <w:t>OLG Hamburg</w:t>
      </w:r>
      <w:r>
        <w:rPr>
          <w:rStyle w:val="any"/>
          <w:color w:val="000000"/>
        </w:rPr>
        <w:t xml:space="preserve">, Urt. v. 27.5.2011 – </w:t>
      </w:r>
      <w:hyperlink r:id="rId10" w:history="1">
        <w:r>
          <w:rPr>
            <w:rStyle w:val="bocontentwrapperbocenteranotbeck-btn"/>
            <w:color w:val="000000"/>
            <w:u w:val="single" w:color="000000"/>
          </w:rPr>
          <w:t>11 U 25/08</w:t>
        </w:r>
      </w:hyperlink>
      <w:r>
        <w:rPr>
          <w:color w:val="000000"/>
        </w:rPr>
        <w:t xml:space="preserve">, </w:t>
      </w:r>
      <w:r>
        <w:rPr>
          <w:rStyle w:val="any"/>
          <w:color w:val="000000"/>
        </w:rPr>
        <w:t xml:space="preserve">BeckRS 2013, </w:t>
      </w:r>
      <w:hyperlink r:id="rId11" w:history="1">
        <w:r>
          <w:rPr>
            <w:rStyle w:val="bocontentwrapperbocenteranotbeck-btn"/>
            <w:color w:val="000000"/>
            <w:u w:val="single" w:color="000000"/>
          </w:rPr>
          <w:t>01213</w:t>
        </w:r>
      </w:hyperlink>
      <w:r>
        <w:rPr>
          <w:color w:val="000000"/>
        </w:rPr>
        <w:t>) hat die in erster Instanz (</w:t>
      </w:r>
      <w:r>
        <w:rPr>
          <w:rStyle w:val="any"/>
          <w:i/>
          <w:iCs/>
          <w:color w:val="000000"/>
        </w:rPr>
        <w:t>LG Hamburg</w:t>
      </w:r>
      <w:r>
        <w:rPr>
          <w:rStyle w:val="any"/>
          <w:color w:val="000000"/>
        </w:rPr>
        <w:t xml:space="preserve">, Urt. v. 31.1.2008 – </w:t>
      </w:r>
      <w:hyperlink r:id="rId12" w:history="1">
        <w:r>
          <w:rPr>
            <w:rStyle w:val="bocontentwrapperbocenteranotbeck-btn"/>
            <w:color w:val="000000"/>
            <w:u w:val="single" w:color="000000"/>
          </w:rPr>
          <w:t>334 O 253/05</w:t>
        </w:r>
      </w:hyperlink>
      <w:r>
        <w:rPr>
          <w:color w:val="000000"/>
        </w:rPr>
        <w:t xml:space="preserve">, </w:t>
      </w:r>
      <w:r>
        <w:rPr>
          <w:rStyle w:val="any"/>
          <w:color w:val="000000"/>
        </w:rPr>
        <w:t xml:space="preserve">BeckRS 2014, </w:t>
      </w:r>
      <w:hyperlink r:id="rId13" w:history="1">
        <w:r>
          <w:rPr>
            <w:rStyle w:val="bocontentwrapperbocenteranotbeck-btn"/>
            <w:color w:val="000000"/>
            <w:u w:val="single" w:color="000000"/>
          </w:rPr>
          <w:t>01214</w:t>
        </w:r>
      </w:hyperlink>
      <w:r>
        <w:rPr>
          <w:color w:val="000000"/>
        </w:rPr>
        <w:t xml:space="preserve">) erfolgreiche Klage in Höhe des Teilbetrags von 32.587,56 Euro nebst anteiliger Zinsen abgewiesen. Mit seiner vom </w:t>
      </w:r>
      <w:r>
        <w:rPr>
          <w:rStyle w:val="emitalicon"/>
          <w:color w:val="000000"/>
        </w:rPr>
        <w:t>Senat</w:t>
      </w:r>
      <w:r>
        <w:rPr>
          <w:color w:val="000000"/>
        </w:rPr>
        <w:t xml:space="preserve"> zugelassenen Revision verfolgt der Kl. diesen Teilbetrag weiter. Die Revision hatte Erfolg und führte im Umfang des Rechtsmittels zur Wiederherstellung des Urteils des </w:t>
      </w:r>
      <w:r>
        <w:rPr>
          <w:rStyle w:val="emitalicon"/>
          <w:color w:val="000000"/>
        </w:rPr>
        <w:t>LG</w:t>
      </w:r>
      <w:r>
        <w:rPr>
          <w:color w:val="000000"/>
        </w:rPr>
        <w:t>.</w:t>
      </w:r>
      <w:bookmarkStart w:id="1" w:name="Y-300-Z-NZI-B-2014-S-259-N-1-Gl-2"/>
      <w:bookmarkEnd w:id="1"/>
    </w:p>
    <w:p w14:paraId="5DE2EE44" w14:textId="77777777" w:rsidR="003F3CA7" w:rsidRDefault="00000000">
      <w:pPr>
        <w:pStyle w:val="bocenterh1"/>
        <w:pBdr>
          <w:top w:val="none" w:sz="0" w:space="5" w:color="auto"/>
          <w:bottom w:val="none" w:sz="0" w:space="3" w:color="auto"/>
        </w:pBdr>
        <w:spacing w:before="75" w:after="75" w:line="360" w:lineRule="auto"/>
        <w:ind w:left="600" w:right="150"/>
        <w:jc w:val="both"/>
        <w:outlineLvl w:val="0"/>
        <w:rPr>
          <w:color w:val="000000"/>
          <w:sz w:val="24"/>
          <w:szCs w:val="24"/>
        </w:rPr>
      </w:pPr>
      <w:r>
        <w:rPr>
          <w:color w:val="000000"/>
          <w:sz w:val="24"/>
          <w:szCs w:val="24"/>
        </w:rPr>
        <w:t>Aus den Gründen:</w:t>
      </w:r>
    </w:p>
    <w:p w14:paraId="65DB9DC3" w14:textId="77777777" w:rsidR="003F3CA7" w:rsidRDefault="00000000">
      <w:pPr>
        <w:pStyle w:val="divbocontentwrapperbocenterpParagraph"/>
        <w:spacing w:after="120" w:line="360" w:lineRule="auto"/>
        <w:ind w:left="600" w:right="150"/>
        <w:jc w:val="both"/>
        <w:rPr>
          <w:color w:val="000000"/>
        </w:rPr>
      </w:pPr>
      <w:bookmarkStart w:id="2" w:name="Y-300-Z-NZI-B-2014-S-259-N-1-RN-5"/>
      <w:bookmarkEnd w:id="2"/>
      <w:r>
        <w:rPr>
          <w:rStyle w:val="printcontentemrandnr"/>
          <w:rFonts w:ascii="Verdana" w:eastAsia="Verdana" w:hAnsi="Verdana" w:cs="Verdana"/>
          <w:b/>
          <w:bCs/>
          <w:color w:val="000000"/>
          <w:sz w:val="19"/>
          <w:szCs w:val="19"/>
        </w:rPr>
        <w:t>5</w:t>
      </w:r>
      <w:r>
        <w:rPr>
          <w:color w:val="000000"/>
        </w:rPr>
        <w:t xml:space="preserve"> I. Das BerGer. hat hinsichtlich der im Zeitraum zwischen Mai 2003 und Oktober 2003 gezahlten Mieten in Höhe von insgesamt 67.655,30 Euro einen Anspruch auf Rückzahlung wegen Vorsatzanfechtung nach </w:t>
      </w:r>
      <w:r>
        <w:rPr>
          <w:rStyle w:val="any"/>
          <w:color w:val="000000"/>
        </w:rPr>
        <w:t xml:space="preserve">§§ </w:t>
      </w:r>
      <w:hyperlink r:id="rId14" w:history="1">
        <w:r>
          <w:rPr>
            <w:rStyle w:val="bocontentwrapperbocenteranotbeck-btn"/>
            <w:color w:val="000000"/>
            <w:u w:val="single" w:color="000000"/>
          </w:rPr>
          <w:t>143</w:t>
        </w:r>
      </w:hyperlink>
      <w:r>
        <w:rPr>
          <w:rStyle w:val="any"/>
          <w:color w:val="000000"/>
        </w:rPr>
        <w:t> </w:t>
      </w:r>
      <w:hyperlink r:id="rId15" w:history="1">
        <w:r>
          <w:rPr>
            <w:rStyle w:val="bocontentwrapperbocenteranotbeck-btn"/>
            <w:color w:val="000000"/>
            <w:u w:val="single" w:color="000000"/>
          </w:rPr>
          <w:t>I</w:t>
        </w:r>
      </w:hyperlink>
      <w:r>
        <w:rPr>
          <w:rStyle w:val="any"/>
          <w:color w:val="000000"/>
        </w:rPr>
        <w:t xml:space="preserve">, </w:t>
      </w:r>
      <w:hyperlink r:id="rId16" w:history="1">
        <w:r>
          <w:rPr>
            <w:rStyle w:val="bocontentwrapperbocenteranotbeck-btn"/>
            <w:color w:val="000000"/>
            <w:u w:val="single" w:color="000000"/>
          </w:rPr>
          <w:t>133</w:t>
        </w:r>
      </w:hyperlink>
      <w:r>
        <w:rPr>
          <w:rStyle w:val="any"/>
          <w:color w:val="000000"/>
        </w:rPr>
        <w:t> </w:t>
      </w:r>
      <w:hyperlink r:id="rId17" w:history="1">
        <w:r>
          <w:rPr>
            <w:rStyle w:val="bocontentwrapperbocenteranotbeck-btn"/>
            <w:color w:val="000000"/>
            <w:u w:val="single" w:color="000000"/>
          </w:rPr>
          <w:t>I</w:t>
        </w:r>
      </w:hyperlink>
      <w:r>
        <w:rPr>
          <w:rStyle w:val="any"/>
          <w:color w:val="000000"/>
        </w:rPr>
        <w:t xml:space="preserve"> InsO</w:t>
      </w:r>
      <w:r>
        <w:rPr>
          <w:color w:val="000000"/>
        </w:rPr>
        <w:t xml:space="preserve"> bejaht und dabei ausgeführt, die Schuldnerin sei ab Ende April 2003 zahlungsunfähig gewesen, mindestens aber habe die Zahlungsunfähigkeit gedroht. Für die Zeit davor, mithin für die beiden im Januar und Februar 2003 gezahlten Mieten in Höhe von zusammen 32.587,56 Euro, könne dies nicht angenommen und deshalb ein Gläubigerbenachteiligungsvorsatz der Schuldnerin nicht festgestellt werden. Ein Anspruch auf Rückgewähr dieser Mieten folge auch nicht aus </w:t>
      </w:r>
      <w:r>
        <w:rPr>
          <w:rStyle w:val="any"/>
          <w:color w:val="000000"/>
        </w:rPr>
        <w:t xml:space="preserve">§§ </w:t>
      </w:r>
      <w:hyperlink r:id="rId18" w:history="1">
        <w:r>
          <w:rPr>
            <w:rStyle w:val="bocontentwrapperbocenteranotbeck-btn"/>
            <w:color w:val="000000"/>
            <w:u w:val="single" w:color="000000"/>
          </w:rPr>
          <w:t>32 a</w:t>
        </w:r>
      </w:hyperlink>
      <w:r>
        <w:rPr>
          <w:rStyle w:val="any"/>
          <w:color w:val="000000"/>
        </w:rPr>
        <w:t xml:space="preserve">, </w:t>
      </w:r>
      <w:hyperlink r:id="rId19" w:history="1">
        <w:r>
          <w:rPr>
            <w:rStyle w:val="bocontentwrapperbocenteranotbeck-btn"/>
            <w:color w:val="000000"/>
            <w:u w:val="single" w:color="000000"/>
          </w:rPr>
          <w:t>32 b</w:t>
        </w:r>
      </w:hyperlink>
      <w:r>
        <w:rPr>
          <w:rStyle w:val="any"/>
          <w:color w:val="000000"/>
        </w:rPr>
        <w:t xml:space="preserve"> GmbHG</w:t>
      </w:r>
      <w:r>
        <w:rPr>
          <w:color w:val="000000"/>
        </w:rPr>
        <w:t xml:space="preserve">, </w:t>
      </w:r>
      <w:r>
        <w:rPr>
          <w:rStyle w:val="any"/>
          <w:color w:val="000000"/>
        </w:rPr>
        <w:t xml:space="preserve">§ </w:t>
      </w:r>
      <w:hyperlink r:id="rId20" w:history="1">
        <w:r>
          <w:rPr>
            <w:rStyle w:val="bocontentwrapperbocenteranotbeck-btn"/>
            <w:color w:val="000000"/>
            <w:u w:val="single" w:color="000000"/>
          </w:rPr>
          <w:t>135</w:t>
        </w:r>
      </w:hyperlink>
      <w:r>
        <w:rPr>
          <w:rStyle w:val="any"/>
          <w:color w:val="000000"/>
        </w:rPr>
        <w:t xml:space="preserve"> InsO</w:t>
      </w:r>
      <w:r>
        <w:rPr>
          <w:color w:val="000000"/>
        </w:rPr>
        <w:t xml:space="preserve"> a. F. Dabei könne dahinstehen, ob die Bekl. überhaupt als Normadressatin des </w:t>
      </w:r>
      <w:r>
        <w:rPr>
          <w:rStyle w:val="any"/>
          <w:color w:val="000000"/>
        </w:rPr>
        <w:t xml:space="preserve">§ </w:t>
      </w:r>
      <w:hyperlink r:id="rId21" w:history="1">
        <w:r>
          <w:rPr>
            <w:rStyle w:val="bocontentwrapperbocenteranotbeck-btn"/>
            <w:color w:val="000000"/>
            <w:u w:val="single" w:color="000000"/>
          </w:rPr>
          <w:t>32 a</w:t>
        </w:r>
      </w:hyperlink>
      <w:r>
        <w:rPr>
          <w:rStyle w:val="any"/>
          <w:color w:val="000000"/>
        </w:rPr>
        <w:t> </w:t>
      </w:r>
      <w:hyperlink r:id="rId22" w:history="1">
        <w:r>
          <w:rPr>
            <w:rStyle w:val="bocontentwrapperbocenteranotbeck-btn"/>
            <w:color w:val="000000"/>
            <w:u w:val="single" w:color="000000"/>
          </w:rPr>
          <w:t>I</w:t>
        </w:r>
      </w:hyperlink>
      <w:r>
        <w:rPr>
          <w:rStyle w:val="any"/>
          <w:color w:val="000000"/>
        </w:rPr>
        <w:t xml:space="preserve"> und </w:t>
      </w:r>
      <w:hyperlink r:id="rId23" w:history="1">
        <w:r>
          <w:rPr>
            <w:rStyle w:val="bocontentwrapperbocenteranotbeck-btn"/>
            <w:color w:val="000000"/>
            <w:u w:val="single" w:color="000000"/>
          </w:rPr>
          <w:t>III</w:t>
        </w:r>
      </w:hyperlink>
      <w:r>
        <w:rPr>
          <w:rStyle w:val="any"/>
          <w:color w:val="000000"/>
        </w:rPr>
        <w:t xml:space="preserve"> GmbHG</w:t>
      </w:r>
      <w:r>
        <w:rPr>
          <w:color w:val="000000"/>
        </w:rPr>
        <w:t xml:space="preserve"> a. F. anzusehen sei. Jedenfalls sei die Bekl. im Januar und Februar 2003 nicht zur Kündigung des Mietvertrags berechtigt gewesen. Mangels einer Möglichkeit, der Schuldnerin die Gebrauchsüberlassung zu entziehen, fehle es deshalb an einer Finanzierungsentscheidung, die es rechtfertigen könnte, die Überlassung zum Gebrauch in funktionales Eigenkapital umzuqualifizieren. Für eine frühere Kredit- oder Überlassungsunwürdigkeit der Schuldnerin habe der Kl. nicht hinreichend substanziiert vorgetragen.</w:t>
      </w:r>
    </w:p>
    <w:p w14:paraId="354033BB" w14:textId="77777777" w:rsidR="003F3CA7" w:rsidRDefault="00000000">
      <w:pPr>
        <w:pStyle w:val="divbocontentwrapperbocenterpParagraph"/>
        <w:spacing w:after="120" w:line="360" w:lineRule="auto"/>
        <w:ind w:left="600" w:right="150"/>
        <w:jc w:val="both"/>
        <w:rPr>
          <w:color w:val="000000"/>
        </w:rPr>
      </w:pPr>
      <w:bookmarkStart w:id="3" w:name="Y-300-Z-NZI-B-2014-S-259-N-1-RN-6"/>
      <w:bookmarkEnd w:id="3"/>
      <w:r>
        <w:rPr>
          <w:rStyle w:val="printcontentemrandnr"/>
          <w:rFonts w:ascii="Verdana" w:eastAsia="Verdana" w:hAnsi="Verdana" w:cs="Verdana"/>
          <w:b/>
          <w:bCs/>
          <w:color w:val="000000"/>
          <w:sz w:val="19"/>
          <w:szCs w:val="19"/>
        </w:rPr>
        <w:t>6</w:t>
      </w:r>
      <w:r>
        <w:rPr>
          <w:color w:val="000000"/>
        </w:rPr>
        <w:t xml:space="preserve"> II. Diese Ausführungen halten der rechtlichen Nachprüfung nicht stand. Die Voraussetzungen eines anfechtungsrechtlichen Rückgewähranspruchs nach </w:t>
      </w:r>
      <w:r>
        <w:rPr>
          <w:rStyle w:val="any"/>
          <w:color w:val="000000"/>
        </w:rPr>
        <w:t xml:space="preserve">§§ </w:t>
      </w:r>
      <w:hyperlink r:id="rId24" w:history="1">
        <w:r>
          <w:rPr>
            <w:rStyle w:val="bocontentwrapperbocenteranotbeck-btn"/>
            <w:color w:val="000000"/>
            <w:u w:val="single" w:color="000000"/>
          </w:rPr>
          <w:t>143</w:t>
        </w:r>
      </w:hyperlink>
      <w:r>
        <w:rPr>
          <w:rStyle w:val="any"/>
          <w:color w:val="000000"/>
        </w:rPr>
        <w:t> </w:t>
      </w:r>
      <w:hyperlink r:id="rId25" w:history="1">
        <w:r>
          <w:rPr>
            <w:rStyle w:val="bocontentwrapperbocenteranotbeck-btn"/>
            <w:color w:val="000000"/>
            <w:u w:val="single" w:color="000000"/>
          </w:rPr>
          <w:t>I</w:t>
        </w:r>
      </w:hyperlink>
      <w:r>
        <w:rPr>
          <w:rStyle w:val="any"/>
          <w:color w:val="000000"/>
        </w:rPr>
        <w:t xml:space="preserve">, </w:t>
      </w:r>
      <w:hyperlink r:id="rId26" w:history="1">
        <w:r>
          <w:rPr>
            <w:rStyle w:val="bocontentwrapperbocenteranotbeck-btn"/>
            <w:color w:val="000000"/>
            <w:u w:val="single" w:color="000000"/>
          </w:rPr>
          <w:t>133</w:t>
        </w:r>
      </w:hyperlink>
      <w:r>
        <w:rPr>
          <w:rStyle w:val="any"/>
          <w:color w:val="000000"/>
        </w:rPr>
        <w:t> </w:t>
      </w:r>
      <w:hyperlink r:id="rId27" w:history="1">
        <w:r>
          <w:rPr>
            <w:rStyle w:val="bocontentwrapperbocenteranotbeck-btn"/>
            <w:color w:val="000000"/>
            <w:u w:val="single" w:color="000000"/>
          </w:rPr>
          <w:t>I</w:t>
        </w:r>
      </w:hyperlink>
      <w:r>
        <w:rPr>
          <w:rStyle w:val="any"/>
          <w:color w:val="000000"/>
        </w:rPr>
        <w:t xml:space="preserve"> InsO</w:t>
      </w:r>
      <w:r>
        <w:rPr>
          <w:color w:val="000000"/>
        </w:rPr>
        <w:t xml:space="preserve"> sind auch hinsichtlich der Mietzahlungen im Januar und Februar 2003 gegeben. Ob sich der geltend gemachte Anspruch daneben unter dem rechtlichen Gesichtspunkt einer eigenkapitalersetzenden Nutzungsüberlassung begründen lässt (</w:t>
      </w:r>
      <w:r>
        <w:rPr>
          <w:rStyle w:val="any"/>
          <w:color w:val="000000"/>
        </w:rPr>
        <w:t xml:space="preserve">§§ </w:t>
      </w:r>
      <w:hyperlink r:id="rId28" w:history="1">
        <w:r>
          <w:rPr>
            <w:rStyle w:val="bocontentwrapperbocenteranotbeck-btn"/>
            <w:color w:val="000000"/>
            <w:u w:val="single" w:color="000000"/>
          </w:rPr>
          <w:t>32 a</w:t>
        </w:r>
      </w:hyperlink>
      <w:r>
        <w:rPr>
          <w:rStyle w:val="any"/>
          <w:color w:val="000000"/>
        </w:rPr>
        <w:t xml:space="preserve">, </w:t>
      </w:r>
      <w:hyperlink r:id="rId29" w:history="1">
        <w:r>
          <w:rPr>
            <w:rStyle w:val="bocontentwrapperbocenteranotbeck-btn"/>
            <w:color w:val="000000"/>
            <w:u w:val="single" w:color="000000"/>
          </w:rPr>
          <w:t>32 b</w:t>
        </w:r>
      </w:hyperlink>
      <w:r>
        <w:rPr>
          <w:rStyle w:val="any"/>
          <w:color w:val="000000"/>
        </w:rPr>
        <w:t xml:space="preserve"> GmbHG</w:t>
      </w:r>
      <w:r>
        <w:rPr>
          <w:color w:val="000000"/>
        </w:rPr>
        <w:t xml:space="preserve"> a. F., </w:t>
      </w:r>
      <w:r>
        <w:rPr>
          <w:rStyle w:val="any"/>
          <w:color w:val="000000"/>
        </w:rPr>
        <w:t xml:space="preserve">§ </w:t>
      </w:r>
      <w:hyperlink r:id="rId30" w:history="1">
        <w:r>
          <w:rPr>
            <w:rStyle w:val="bocontentwrapperbocenteranotbeck-btn"/>
            <w:color w:val="000000"/>
            <w:u w:val="single" w:color="000000"/>
          </w:rPr>
          <w:t>135</w:t>
        </w:r>
      </w:hyperlink>
      <w:r>
        <w:rPr>
          <w:rStyle w:val="any"/>
          <w:color w:val="000000"/>
        </w:rPr>
        <w:t xml:space="preserve"> Nr. </w:t>
      </w:r>
      <w:hyperlink r:id="rId31" w:history="1">
        <w:r>
          <w:rPr>
            <w:rStyle w:val="bocontentwrapperbocenteranotbeck-btn"/>
            <w:color w:val="000000"/>
            <w:u w:val="single" w:color="000000"/>
          </w:rPr>
          <w:t>2</w:t>
        </w:r>
      </w:hyperlink>
      <w:r>
        <w:rPr>
          <w:rStyle w:val="any"/>
          <w:color w:val="000000"/>
        </w:rPr>
        <w:t xml:space="preserve"> InsO</w:t>
      </w:r>
      <w:r>
        <w:rPr>
          <w:color w:val="000000"/>
        </w:rPr>
        <w:t xml:space="preserve"> a. F.), braucht nicht entschieden zu werden.</w:t>
      </w:r>
    </w:p>
    <w:p w14:paraId="7B0D6A5E" w14:textId="77777777" w:rsidR="003F3CA7" w:rsidRDefault="00000000">
      <w:pPr>
        <w:pStyle w:val="divbocontentwrapperbocenterpParagraph"/>
        <w:spacing w:after="120" w:line="360" w:lineRule="auto"/>
        <w:ind w:left="600" w:right="150"/>
        <w:jc w:val="both"/>
        <w:rPr>
          <w:color w:val="000000"/>
        </w:rPr>
      </w:pPr>
      <w:bookmarkStart w:id="4" w:name="Y-300-Z-NZI-B-2014-S-259-N-1-RN-7"/>
      <w:bookmarkEnd w:id="4"/>
      <w:r>
        <w:rPr>
          <w:rStyle w:val="printcontentemrandnr"/>
          <w:rFonts w:ascii="Verdana" w:eastAsia="Verdana" w:hAnsi="Verdana" w:cs="Verdana"/>
          <w:b/>
          <w:bCs/>
          <w:color w:val="000000"/>
          <w:sz w:val="19"/>
          <w:szCs w:val="19"/>
        </w:rPr>
        <w:lastRenderedPageBreak/>
        <w:t>7</w:t>
      </w:r>
      <w:r>
        <w:rPr>
          <w:color w:val="000000"/>
        </w:rPr>
        <w:t>1. Das BerGer. nimmt mit Recht an, dass es sich bei den Mietzahlungen um Rechtshandlungen der Schuldnerin handelte, die in den letzten zehn Jahren vor dem Antrag auf Eröffnung des Insolvenzverfahrens vorgenommen wurden und zu einer Verkürzung der späteren Insolvenzmasse, mithin zu einer Benachteiligung der Gläubigergesamtheit geführt haben.</w:t>
      </w:r>
    </w:p>
    <w:p w14:paraId="4CB68565" w14:textId="77777777" w:rsidR="003F3CA7" w:rsidRDefault="00000000">
      <w:pPr>
        <w:pStyle w:val="divbocontentwrapperbocenterpParagraph"/>
        <w:spacing w:after="120" w:line="360" w:lineRule="auto"/>
        <w:ind w:left="600" w:right="150"/>
        <w:jc w:val="both"/>
        <w:rPr>
          <w:color w:val="000000"/>
        </w:rPr>
      </w:pPr>
      <w:bookmarkStart w:id="5" w:name="Y-300-Z-NZI-B-2014-S-259-N-1-RN-8"/>
      <w:bookmarkEnd w:id="5"/>
      <w:r>
        <w:rPr>
          <w:rStyle w:val="printcontentemrandnr"/>
          <w:rFonts w:ascii="Verdana" w:eastAsia="Verdana" w:hAnsi="Verdana" w:cs="Verdana"/>
          <w:b/>
          <w:bCs/>
          <w:color w:val="000000"/>
          <w:sz w:val="19"/>
          <w:szCs w:val="19"/>
        </w:rPr>
        <w:t>8</w:t>
      </w:r>
      <w:r>
        <w:rPr>
          <w:color w:val="000000"/>
        </w:rPr>
        <w:t xml:space="preserve">2. Seine weitere Annahme, es lasse sich nicht feststellen, dass die Schuldnerin mit dem Vorsatz gehandelt habe, ihre Gläubiger zu benachteiligen, weil sie weder zahlungsunfähig gewesen sei noch die Zahlungsunfähigkeit gedroht habe, ist jedoch nicht frei von Rechtsfehlern. Insoweit hat das BerGer. den Prozessstoff nicht ausgeschöpft und eine rechtsfehlerfreie Gesamtwürdigung der einzelnen Indizien versäumt (vgl. </w:t>
      </w:r>
      <w:r>
        <w:rPr>
          <w:rStyle w:val="emitalicon"/>
          <w:color w:val="000000"/>
        </w:rPr>
        <w:t>BGH</w:t>
      </w:r>
      <w:r>
        <w:rPr>
          <w:color w:val="000000"/>
        </w:rPr>
        <w:t xml:space="preserve">, </w:t>
      </w:r>
      <w:r>
        <w:rPr>
          <w:rStyle w:val="any"/>
          <w:color w:val="000000"/>
        </w:rPr>
        <w:t xml:space="preserve">NJW-RR 2011, </w:t>
      </w:r>
      <w:hyperlink r:id="rId32" w:history="1">
        <w:r>
          <w:rPr>
            <w:rStyle w:val="bocontentwrapperbocenteranotbeck-btn"/>
            <w:color w:val="000000"/>
            <w:u w:val="single" w:color="000000"/>
          </w:rPr>
          <w:t>1413</w:t>
        </w:r>
      </w:hyperlink>
      <w:r>
        <w:rPr>
          <w:rStyle w:val="any"/>
          <w:color w:val="000000"/>
        </w:rPr>
        <w:t xml:space="preserve"> Rn. </w:t>
      </w:r>
      <w:hyperlink r:id="rId33" w:history="1">
        <w:r>
          <w:rPr>
            <w:rStyle w:val="bocontentwrapperbocenteranotbeck-btn"/>
            <w:color w:val="000000"/>
            <w:u w:val="single" w:color="000000"/>
          </w:rPr>
          <w:t>14</w:t>
        </w:r>
      </w:hyperlink>
      <w:r>
        <w:rPr>
          <w:color w:val="000000"/>
        </w:rPr>
        <w:t xml:space="preserve">; </w:t>
      </w:r>
      <w:r>
        <w:rPr>
          <w:rStyle w:val="any"/>
          <w:color w:val="000000"/>
        </w:rPr>
        <w:t xml:space="preserve">NZI 2013, </w:t>
      </w:r>
      <w:hyperlink r:id="rId34" w:history="1">
        <w:r>
          <w:rPr>
            <w:rStyle w:val="bocontentwrapperbocenteranotbeck-btn"/>
            <w:color w:val="000000"/>
            <w:u w:val="single" w:color="000000"/>
          </w:rPr>
          <w:t>932</w:t>
        </w:r>
      </w:hyperlink>
      <w:r>
        <w:rPr>
          <w:rStyle w:val="any"/>
          <w:color w:val="000000"/>
        </w:rPr>
        <w:t xml:space="preserve"> Rn. </w:t>
      </w:r>
      <w:hyperlink r:id="rId35" w:history="1">
        <w:r>
          <w:rPr>
            <w:rStyle w:val="bocontentwrapperbocenteranotbeck-btn"/>
            <w:color w:val="000000"/>
            <w:u w:val="single" w:color="000000"/>
          </w:rPr>
          <w:t>11</w:t>
        </w:r>
      </w:hyperlink>
      <w:r>
        <w:rPr>
          <w:color w:val="000000"/>
        </w:rPr>
        <w:t>).</w:t>
      </w:r>
    </w:p>
    <w:p w14:paraId="11284717" w14:textId="77777777" w:rsidR="003F3CA7" w:rsidRDefault="00000000">
      <w:pPr>
        <w:pStyle w:val="divbocontentwrapperbocenterpParagraph"/>
        <w:spacing w:after="120" w:line="360" w:lineRule="auto"/>
        <w:ind w:left="600" w:right="150"/>
        <w:jc w:val="both"/>
        <w:rPr>
          <w:color w:val="000000"/>
        </w:rPr>
      </w:pPr>
      <w:bookmarkStart w:id="6" w:name="Y-300-Z-NZI-B-2014-S-259-N-1-RN-9"/>
      <w:bookmarkEnd w:id="6"/>
      <w:r>
        <w:rPr>
          <w:rStyle w:val="printcontentemrandnr"/>
          <w:rFonts w:ascii="Verdana" w:eastAsia="Verdana" w:hAnsi="Verdana" w:cs="Verdana"/>
          <w:b/>
          <w:bCs/>
          <w:color w:val="000000"/>
          <w:sz w:val="19"/>
          <w:szCs w:val="19"/>
        </w:rPr>
        <w:t>9</w:t>
      </w:r>
      <w:r>
        <w:rPr>
          <w:color w:val="000000"/>
        </w:rPr>
        <w:t xml:space="preserve">a) Der Schuldner handelt mit Benachteiligungsvorsatz, wenn er die Benachteiligung der Gläubiger als Erfolg seiner Rechtshandlung will oder als mutmaßliche Folge erkennt und billigt. Kennt der Schuldner seine Zahlungsunfähigkeit, kann daraus nach ständiger Rechtsprechung auf einen Benachteiligungsvorsatz geschlossen werden. In diesem Fall weiß der Schuldner, dass sein Vermögen nicht ausreicht, um sämtliche Gläubiger zu befriedigen. Auch die nur drohende Zahlungsunfähigkeit stellt nach der Rechtsprechung des </w:t>
      </w:r>
      <w:r>
        <w:rPr>
          <w:rStyle w:val="emitalicon"/>
          <w:color w:val="000000"/>
        </w:rPr>
        <w:t>Senats</w:t>
      </w:r>
      <w:r>
        <w:rPr>
          <w:color w:val="000000"/>
        </w:rPr>
        <w:t xml:space="preserve"> ein starkes Beweisanzeichen für den Benachteiligungsvorsatz des Schuldners dar, wenn sie ihm bei der Vornahme der Rechtshandlung bekannt war. In diesen Fällen handelt der Schuldner dann nicht mit Benachteiligungsvorsatz, wenn er auf Grund konkreter Umstände – etwa der sicheren Aussicht, demnächst Kredit zu erhalten oder Forderungen realisieren </w:t>
      </w:r>
    </w:p>
    <w:tbl>
      <w:tblPr>
        <w:tblStyle w:val="table"/>
        <w:tblW w:w="5000" w:type="pct"/>
        <w:tblInd w:w="600" w:type="dxa"/>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3F3CA7" w14:paraId="53FE0DD1" w14:textId="77777777">
        <w:tc>
          <w:tcPr>
            <w:tcW w:w="4000" w:type="pct"/>
            <w:shd w:val="clear" w:color="auto" w:fill="F0F0F0"/>
            <w:tcMar>
              <w:top w:w="0" w:type="dxa"/>
              <w:left w:w="0" w:type="dxa"/>
              <w:bottom w:w="0" w:type="dxa"/>
              <w:right w:w="0" w:type="dxa"/>
            </w:tcMar>
            <w:vAlign w:val="center"/>
            <w:hideMark/>
          </w:tcPr>
          <w:p w14:paraId="513BF733" w14:textId="77777777" w:rsidR="003F3CA7" w:rsidRDefault="00000000">
            <w:pPr>
              <w:pStyle w:val="divpgdescrpspantitel"/>
              <w:spacing w:after="120"/>
              <w:ind w:left="330"/>
              <w:rPr>
                <w:color w:val="000000"/>
              </w:rPr>
            </w:pPr>
            <w:r>
              <w:rPr>
                <w:color w:val="000000"/>
              </w:rPr>
              <w:t>BGH: Prognose drohender Zahlungsunfähigkeit</w:t>
            </w:r>
            <w:r>
              <w:rPr>
                <w:rStyle w:val="citation"/>
                <w:color w:val="000000"/>
              </w:rPr>
              <w:t>(NZI 2014, 259)</w:t>
            </w:r>
          </w:p>
        </w:tc>
        <w:tc>
          <w:tcPr>
            <w:tcW w:w="1000" w:type="pct"/>
            <w:shd w:val="clear" w:color="auto" w:fill="F0F0F0"/>
            <w:tcMar>
              <w:top w:w="0" w:type="dxa"/>
              <w:left w:w="0" w:type="dxa"/>
              <w:bottom w:w="0" w:type="dxa"/>
              <w:right w:w="0" w:type="dxa"/>
            </w:tcMar>
            <w:vAlign w:val="center"/>
            <w:hideMark/>
          </w:tcPr>
          <w:p w14:paraId="04874210" w14:textId="77777777" w:rsidR="003F3CA7" w:rsidRDefault="00000000">
            <w:pPr>
              <w:pStyle w:val="divbocontentwrapperbocenterpParagraph"/>
              <w:pBdr>
                <w:top w:val="none" w:sz="0" w:space="6" w:color="auto"/>
                <w:right w:val="none" w:sz="0" w:space="3" w:color="auto"/>
              </w:pBdr>
              <w:spacing w:after="120"/>
              <w:ind w:left="225" w:right="300"/>
              <w:jc w:val="right"/>
              <w:rPr>
                <w:color w:val="000000"/>
              </w:rPr>
            </w:pPr>
            <w:r>
              <w:rPr>
                <w:rStyle w:val="divpgnavppgactspanpg"/>
                <w:color w:val="000000"/>
              </w:rPr>
              <w:t>260</w:t>
            </w:r>
          </w:p>
        </w:tc>
      </w:tr>
    </w:tbl>
    <w:p w14:paraId="5464F8FF" w14:textId="77777777" w:rsidR="003F3CA7" w:rsidRDefault="00000000">
      <w:pPr>
        <w:pStyle w:val="divbocontentwrapperbocenterpParagraph"/>
        <w:spacing w:after="120" w:line="360" w:lineRule="auto"/>
        <w:ind w:left="600" w:right="150"/>
        <w:jc w:val="both"/>
        <w:rPr>
          <w:color w:val="000000"/>
        </w:rPr>
      </w:pPr>
      <w:r>
        <w:rPr>
          <w:color w:val="000000"/>
        </w:rPr>
        <w:t>zu können – mit einer baldigen Überwindung der Krise rechnen kann. Droht die Zahlungsunfähigkeit, bedarf es konkreter Umstände, die nahe legen, dass die Krise noch abgewendet werden kann (</w:t>
      </w:r>
      <w:r>
        <w:rPr>
          <w:rStyle w:val="emitalicon"/>
          <w:color w:val="000000"/>
        </w:rPr>
        <w:t>BGH</w:t>
      </w:r>
      <w:r>
        <w:rPr>
          <w:color w:val="000000"/>
        </w:rPr>
        <w:t xml:space="preserve">, </w:t>
      </w:r>
      <w:r>
        <w:rPr>
          <w:rStyle w:val="any"/>
          <w:color w:val="000000"/>
        </w:rPr>
        <w:t xml:space="preserve">NZI 2013, </w:t>
      </w:r>
      <w:hyperlink r:id="rId36" w:history="1">
        <w:r>
          <w:rPr>
            <w:rStyle w:val="bocontentwrapperbocenteranotbeck-btn"/>
            <w:color w:val="000000"/>
            <w:u w:val="single" w:color="000000"/>
          </w:rPr>
          <w:t>129</w:t>
        </w:r>
      </w:hyperlink>
      <w:r>
        <w:rPr>
          <w:color w:val="000000"/>
        </w:rPr>
        <w:t xml:space="preserve"> = </w:t>
      </w:r>
      <w:r>
        <w:rPr>
          <w:rStyle w:val="any"/>
          <w:color w:val="000000"/>
        </w:rPr>
        <w:t xml:space="preserve">NJW-RR 2013, </w:t>
      </w:r>
      <w:hyperlink r:id="rId37" w:history="1">
        <w:r>
          <w:rPr>
            <w:rStyle w:val="bocontentwrapperbocenteranotbeck-btn"/>
            <w:color w:val="000000"/>
            <w:u w:val="single" w:color="000000"/>
          </w:rPr>
          <w:t>558</w:t>
        </w:r>
      </w:hyperlink>
      <w:r>
        <w:rPr>
          <w:rStyle w:val="any"/>
          <w:color w:val="000000"/>
        </w:rPr>
        <w:t xml:space="preserve"> Rn. </w:t>
      </w:r>
      <w:hyperlink r:id="rId38" w:history="1">
        <w:r>
          <w:rPr>
            <w:rStyle w:val="bocontentwrapperbocenteranotbeck-btn"/>
            <w:color w:val="000000"/>
            <w:u w:val="single" w:color="000000"/>
          </w:rPr>
          <w:t>7</w:t>
        </w:r>
      </w:hyperlink>
      <w:r>
        <w:rPr>
          <w:color w:val="000000"/>
        </w:rPr>
        <w:t xml:space="preserve">; </w:t>
      </w:r>
      <w:r>
        <w:rPr>
          <w:rStyle w:val="any"/>
          <w:color w:val="000000"/>
        </w:rPr>
        <w:t xml:space="preserve">NZI 2013, </w:t>
      </w:r>
      <w:hyperlink r:id="rId39" w:history="1">
        <w:r>
          <w:rPr>
            <w:rStyle w:val="bocontentwrapperbocenteranotbeck-btn"/>
            <w:color w:val="000000"/>
            <w:u w:val="single" w:color="000000"/>
          </w:rPr>
          <w:t>133</w:t>
        </w:r>
      </w:hyperlink>
      <w:r>
        <w:rPr>
          <w:color w:val="000000"/>
        </w:rPr>
        <w:t xml:space="preserve"> = </w:t>
      </w:r>
      <w:r>
        <w:rPr>
          <w:rStyle w:val="any"/>
          <w:color w:val="000000"/>
        </w:rPr>
        <w:t xml:space="preserve">NJW 2013, </w:t>
      </w:r>
      <w:hyperlink r:id="rId40" w:history="1">
        <w:r>
          <w:rPr>
            <w:rStyle w:val="bocontentwrapperbocenteranotbeck-btn"/>
            <w:color w:val="000000"/>
            <w:u w:val="single" w:color="000000"/>
          </w:rPr>
          <w:t>611</w:t>
        </w:r>
      </w:hyperlink>
      <w:r>
        <w:rPr>
          <w:rStyle w:val="any"/>
          <w:color w:val="000000"/>
        </w:rPr>
        <w:t xml:space="preserve"> Rn. </w:t>
      </w:r>
      <w:hyperlink r:id="rId41" w:history="1">
        <w:r>
          <w:rPr>
            <w:rStyle w:val="bocontentwrapperbocenteranotbeck-btn"/>
            <w:color w:val="000000"/>
            <w:u w:val="single" w:color="000000"/>
          </w:rPr>
          <w:t>14</w:t>
        </w:r>
      </w:hyperlink>
      <w:r>
        <w:rPr>
          <w:color w:val="000000"/>
        </w:rPr>
        <w:t xml:space="preserve">; </w:t>
      </w:r>
      <w:r>
        <w:rPr>
          <w:rStyle w:val="any"/>
          <w:color w:val="000000"/>
        </w:rPr>
        <w:t xml:space="preserve">NZI 2013, </w:t>
      </w:r>
      <w:hyperlink r:id="rId42" w:history="1">
        <w:r>
          <w:rPr>
            <w:rStyle w:val="bocontentwrapperbocenteranotbeck-btn"/>
            <w:color w:val="000000"/>
            <w:u w:val="single" w:color="000000"/>
          </w:rPr>
          <w:t>249</w:t>
        </w:r>
      </w:hyperlink>
      <w:r>
        <w:rPr>
          <w:rStyle w:val="any"/>
          <w:color w:val="000000"/>
        </w:rPr>
        <w:t xml:space="preserve"> Rn. </w:t>
      </w:r>
      <w:hyperlink r:id="rId43" w:history="1">
        <w:r>
          <w:rPr>
            <w:rStyle w:val="bocontentwrapperbocenteranotbeck-btn"/>
            <w:color w:val="000000"/>
            <w:u w:val="single" w:color="000000"/>
          </w:rPr>
          <w:t>23</w:t>
        </w:r>
      </w:hyperlink>
      <w:r>
        <w:rPr>
          <w:color w:val="000000"/>
        </w:rPr>
        <w:t xml:space="preserve"> f. mit Anm. </w:t>
      </w:r>
      <w:r>
        <w:rPr>
          <w:rStyle w:val="emitalicon"/>
          <w:color w:val="000000"/>
        </w:rPr>
        <w:t>Enzenhofer</w:t>
      </w:r>
      <w:r>
        <w:rPr>
          <w:color w:val="000000"/>
        </w:rPr>
        <w:t xml:space="preserve">, </w:t>
      </w:r>
      <w:r>
        <w:rPr>
          <w:rStyle w:val="any"/>
          <w:color w:val="000000"/>
        </w:rPr>
        <w:t xml:space="preserve">NZI 2013, </w:t>
      </w:r>
      <w:hyperlink r:id="rId44" w:history="1">
        <w:r>
          <w:rPr>
            <w:rStyle w:val="bocontentwrapperbocenteranotbeck-btn"/>
            <w:color w:val="000000"/>
            <w:u w:val="single" w:color="000000"/>
          </w:rPr>
          <w:t>251</w:t>
        </w:r>
      </w:hyperlink>
      <w:r>
        <w:rPr>
          <w:color w:val="000000"/>
        </w:rPr>
        <w:t xml:space="preserve">; </w:t>
      </w:r>
      <w:r>
        <w:rPr>
          <w:rStyle w:val="emitalicon"/>
          <w:color w:val="000000"/>
        </w:rPr>
        <w:t>BGH</w:t>
      </w:r>
      <w:r>
        <w:rPr>
          <w:color w:val="000000"/>
        </w:rPr>
        <w:t xml:space="preserve">, </w:t>
      </w:r>
      <w:r>
        <w:rPr>
          <w:rStyle w:val="any"/>
          <w:color w:val="000000"/>
        </w:rPr>
        <w:t xml:space="preserve">NZI 2013, </w:t>
      </w:r>
      <w:hyperlink r:id="rId45" w:history="1">
        <w:r>
          <w:rPr>
            <w:rStyle w:val="bocontentwrapperbocenteranotbeck-btn"/>
            <w:color w:val="000000"/>
            <w:u w:val="single" w:color="000000"/>
          </w:rPr>
          <w:t>583</w:t>
        </w:r>
      </w:hyperlink>
      <w:r>
        <w:rPr>
          <w:color w:val="000000"/>
        </w:rPr>
        <w:t xml:space="preserve"> mit Anm. </w:t>
      </w:r>
      <w:r>
        <w:rPr>
          <w:rStyle w:val="emitalicon"/>
          <w:color w:val="000000"/>
        </w:rPr>
        <w:t>von der Fecht</w:t>
      </w:r>
      <w:r>
        <w:rPr>
          <w:color w:val="000000"/>
        </w:rPr>
        <w:t xml:space="preserve">, </w:t>
      </w:r>
      <w:r>
        <w:rPr>
          <w:rStyle w:val="any"/>
          <w:color w:val="000000"/>
        </w:rPr>
        <w:t xml:space="preserve">NZI 2013, </w:t>
      </w:r>
      <w:hyperlink r:id="rId46" w:history="1">
        <w:r>
          <w:rPr>
            <w:rStyle w:val="bocontentwrapperbocenteranotbeck-btn"/>
            <w:color w:val="000000"/>
            <w:u w:val="single" w:color="000000"/>
          </w:rPr>
          <w:t>586</w:t>
        </w:r>
      </w:hyperlink>
      <w:r>
        <w:rPr>
          <w:rStyle w:val="any"/>
          <w:color w:val="000000"/>
        </w:rPr>
        <w:t xml:space="preserve"> Rn. </w:t>
      </w:r>
      <w:hyperlink r:id="rId47" w:history="1">
        <w:r>
          <w:rPr>
            <w:rStyle w:val="bocontentwrapperbocenteranotbeck-btn"/>
            <w:color w:val="000000"/>
            <w:u w:val="single" w:color="000000"/>
          </w:rPr>
          <w:t>24</w:t>
        </w:r>
      </w:hyperlink>
      <w:r>
        <w:rPr>
          <w:color w:val="000000"/>
        </w:rPr>
        <w:t xml:space="preserve">, jew. mwN). Diese Grundsätze gelten nach der Rechtsprechung des </w:t>
      </w:r>
      <w:r>
        <w:rPr>
          <w:rStyle w:val="emitalicon"/>
          <w:color w:val="000000"/>
        </w:rPr>
        <w:t>Senats</w:t>
      </w:r>
      <w:r>
        <w:rPr>
          <w:color w:val="000000"/>
        </w:rPr>
        <w:t xml:space="preserve"> auch, wenn eine kongruente Leistung angefochten wird (</w:t>
      </w:r>
      <w:r>
        <w:rPr>
          <w:rStyle w:val="emitalicon"/>
          <w:color w:val="000000"/>
        </w:rPr>
        <w:t>BGH</w:t>
      </w:r>
      <w:r>
        <w:rPr>
          <w:color w:val="000000"/>
        </w:rPr>
        <w:t xml:space="preserve">, </w:t>
      </w:r>
      <w:r>
        <w:rPr>
          <w:rStyle w:val="any"/>
          <w:color w:val="000000"/>
        </w:rPr>
        <w:t xml:space="preserve">NZI 2013, </w:t>
      </w:r>
      <w:hyperlink r:id="rId48" w:history="1">
        <w:r>
          <w:rPr>
            <w:rStyle w:val="bocontentwrapperbocenteranotbeck-btn"/>
            <w:color w:val="000000"/>
            <w:u w:val="single" w:color="000000"/>
          </w:rPr>
          <w:t>133</w:t>
        </w:r>
      </w:hyperlink>
      <w:r>
        <w:rPr>
          <w:color w:val="000000"/>
        </w:rPr>
        <w:t xml:space="preserve"> = </w:t>
      </w:r>
      <w:r>
        <w:rPr>
          <w:rStyle w:val="any"/>
          <w:color w:val="000000"/>
        </w:rPr>
        <w:t xml:space="preserve">NJW 2013, </w:t>
      </w:r>
      <w:hyperlink r:id="rId49" w:history="1">
        <w:r>
          <w:rPr>
            <w:rStyle w:val="bocontentwrapperbocenteranotbeck-btn"/>
            <w:color w:val="000000"/>
            <w:u w:val="single" w:color="000000"/>
          </w:rPr>
          <w:t>611</w:t>
        </w:r>
      </w:hyperlink>
      <w:r>
        <w:rPr>
          <w:rStyle w:val="any"/>
          <w:color w:val="000000"/>
        </w:rPr>
        <w:t xml:space="preserve"> Rn. </w:t>
      </w:r>
      <w:hyperlink r:id="rId50" w:history="1">
        <w:r>
          <w:rPr>
            <w:rStyle w:val="bocontentwrapperbocenteranotbeck-btn"/>
            <w:color w:val="000000"/>
            <w:u w:val="single" w:color="000000"/>
          </w:rPr>
          <w:t>15</w:t>
        </w:r>
      </w:hyperlink>
      <w:r>
        <w:rPr>
          <w:color w:val="000000"/>
        </w:rPr>
        <w:t>).</w:t>
      </w:r>
    </w:p>
    <w:p w14:paraId="40B121F5" w14:textId="77777777" w:rsidR="003F3CA7" w:rsidRDefault="00000000">
      <w:pPr>
        <w:pStyle w:val="divbocontentwrapperbocenterpParagraph"/>
        <w:spacing w:after="120" w:line="360" w:lineRule="auto"/>
        <w:ind w:left="600" w:right="150"/>
        <w:jc w:val="both"/>
        <w:rPr>
          <w:color w:val="000000"/>
        </w:rPr>
      </w:pPr>
      <w:bookmarkStart w:id="7" w:name="Y-300-Z-NZI-B-2014-S-259-N-1-RN-10"/>
      <w:bookmarkEnd w:id="7"/>
      <w:r>
        <w:rPr>
          <w:rStyle w:val="printcontentemrandnr"/>
          <w:rFonts w:ascii="Verdana" w:eastAsia="Verdana" w:hAnsi="Verdana" w:cs="Verdana"/>
          <w:b/>
          <w:bCs/>
          <w:color w:val="000000"/>
          <w:sz w:val="19"/>
          <w:szCs w:val="19"/>
        </w:rPr>
        <w:t>10</w:t>
      </w:r>
      <w:r>
        <w:rPr>
          <w:color w:val="000000"/>
        </w:rPr>
        <w:t xml:space="preserve">Der Begriff der Zahlungsunfähigkeit beurteilt sich im gesamten Insolvenzrecht und darum auch im Insolvenzanfechtungsrecht nach </w:t>
      </w:r>
      <w:r>
        <w:rPr>
          <w:rStyle w:val="any"/>
          <w:color w:val="000000"/>
        </w:rPr>
        <w:t xml:space="preserve">§ </w:t>
      </w:r>
      <w:hyperlink r:id="rId51" w:history="1">
        <w:r>
          <w:rPr>
            <w:rStyle w:val="bocontentwrapperbocenteranotbeck-btn"/>
            <w:color w:val="000000"/>
            <w:u w:val="single" w:color="000000"/>
          </w:rPr>
          <w:t>17</w:t>
        </w:r>
      </w:hyperlink>
      <w:r>
        <w:rPr>
          <w:rStyle w:val="any"/>
          <w:color w:val="000000"/>
        </w:rPr>
        <w:t xml:space="preserve"> InsO</w:t>
      </w:r>
      <w:r>
        <w:rPr>
          <w:color w:val="000000"/>
        </w:rPr>
        <w:t>. Zahlungsunfähig ist der Schuldner, wenn er nicht in der Lage ist, die fälligen Zahlungspflichten zu erfüllen (</w:t>
      </w:r>
      <w:r>
        <w:rPr>
          <w:rStyle w:val="any"/>
          <w:color w:val="000000"/>
        </w:rPr>
        <w:t xml:space="preserve">§ </w:t>
      </w:r>
      <w:hyperlink r:id="rId52" w:history="1">
        <w:r>
          <w:rPr>
            <w:rStyle w:val="bocontentwrapperbocenteranotbeck-btn"/>
            <w:color w:val="000000"/>
            <w:u w:val="single" w:color="000000"/>
          </w:rPr>
          <w:t>17</w:t>
        </w:r>
      </w:hyperlink>
      <w:r>
        <w:rPr>
          <w:rStyle w:val="any"/>
          <w:color w:val="000000"/>
        </w:rPr>
        <w:t> </w:t>
      </w:r>
      <w:hyperlink r:id="rId53" w:history="1">
        <w:r>
          <w:rPr>
            <w:rStyle w:val="bocontentwrapperbocenteranotbeck-btn"/>
            <w:color w:val="000000"/>
            <w:u w:val="single" w:color="000000"/>
          </w:rPr>
          <w:t>II</w:t>
        </w:r>
      </w:hyperlink>
      <w:r>
        <w:rPr>
          <w:rStyle w:val="any"/>
          <w:color w:val="000000"/>
        </w:rPr>
        <w:t> 1 InsO</w:t>
      </w:r>
      <w:r>
        <w:rPr>
          <w:color w:val="000000"/>
        </w:rPr>
        <w:t>). Zahlungsunfähigkeit droht, wenn der Schuldner voraussichtlich nicht in der Lage sein wird, die bestehenden Zahlungspflichten im Zeitpunkt ihrer Fälligkeit zu erfüllen (</w:t>
      </w:r>
      <w:r>
        <w:rPr>
          <w:rStyle w:val="any"/>
          <w:color w:val="000000"/>
        </w:rPr>
        <w:t xml:space="preserve">§ </w:t>
      </w:r>
      <w:hyperlink r:id="rId54" w:history="1">
        <w:r>
          <w:rPr>
            <w:rStyle w:val="bocontentwrapperbocenteranotbeck-btn"/>
            <w:color w:val="000000"/>
            <w:u w:val="single" w:color="000000"/>
          </w:rPr>
          <w:t>18</w:t>
        </w:r>
      </w:hyperlink>
      <w:r>
        <w:rPr>
          <w:rStyle w:val="any"/>
          <w:color w:val="000000"/>
        </w:rPr>
        <w:t> </w:t>
      </w:r>
      <w:hyperlink r:id="rId55" w:history="1">
        <w:r>
          <w:rPr>
            <w:rStyle w:val="bocontentwrapperbocenteranotbeck-btn"/>
            <w:color w:val="000000"/>
            <w:u w:val="single" w:color="000000"/>
          </w:rPr>
          <w:t>II</w:t>
        </w:r>
      </w:hyperlink>
      <w:r>
        <w:rPr>
          <w:rStyle w:val="any"/>
          <w:color w:val="000000"/>
        </w:rPr>
        <w:t xml:space="preserve"> InsO</w:t>
      </w:r>
      <w:r>
        <w:rPr>
          <w:color w:val="000000"/>
        </w:rPr>
        <w:t xml:space="preserve">). In die Prognose, die bei der Prüfung drohender Zahlungsunfähigkeit anzustellen ist, muss die gesamte Finanzlage des Schuldners bis </w:t>
      </w:r>
      <w:r>
        <w:rPr>
          <w:color w:val="000000"/>
        </w:rPr>
        <w:lastRenderedPageBreak/>
        <w:t xml:space="preserve">zur Fälligkeit aller bestehenden Verbindlichkeiten einbezogen werden. Der vorhandenen Liquidität und den Einnahmen, die bis zu diesem Zeitpunkt zu erwarten sind, müssen die Verbindlichkeiten gegenüber gestellt werden, die bereits fällig sind oder die bis zu diesem Zeitpunkt voraussichtlich fällig werden. Ergibt die Prognose, dass der Eintritt der Zahlungsunfähigkeit wahrscheinlicher ist als deren Vermeidung, droht Zahlungsunfähigkeit (Begr. zu § 22 RegE-InsO, BT-Drs. 12/2443, 115; </w:t>
      </w:r>
      <w:r>
        <w:rPr>
          <w:rStyle w:val="emitalicon"/>
          <w:color w:val="000000"/>
        </w:rPr>
        <w:t>Jaeger/Müller</w:t>
      </w:r>
      <w:r>
        <w:rPr>
          <w:color w:val="000000"/>
        </w:rPr>
        <w:t xml:space="preserve">, InsO, § 18 Rn. 8 ff.). Die der Prognose innewohnende Ungewissheit kann sich dabei auf die künftig verfügbaren liquiden Mittel, ebenso aber auch auf den Umfang der künftig fällig werdenden Verbindlichkeiten beziehen. Verbindlichkeiten aus einem Darlehen können deshalb nicht nur dann drohende Zahlungsunfähigkeit begründen, wenn der Anspruch auf Rückzahlung durch eine bereits erfolgte Kündigung auf einen bestimmten in der Zukunft liegenden Zeitpunkt fällig gestellt ist (vgl. </w:t>
      </w:r>
      <w:r>
        <w:rPr>
          <w:rStyle w:val="any"/>
          <w:color w:val="000000"/>
        </w:rPr>
        <w:t>HK-InsO/</w:t>
      </w:r>
      <w:r>
        <w:rPr>
          <w:rStyle w:val="emitalicon"/>
          <w:color w:val="000000"/>
        </w:rPr>
        <w:t>Kirchhof</w:t>
      </w:r>
      <w:r>
        <w:rPr>
          <w:rStyle w:val="any"/>
          <w:color w:val="000000"/>
        </w:rPr>
        <w:t>, 6. Aufl., § 18 Rn. 6</w:t>
      </w:r>
      <w:r>
        <w:rPr>
          <w:color w:val="000000"/>
        </w:rPr>
        <w:t xml:space="preserve">), sondern auch dann, wenn auf Grund gegebener Umstände überwiegend wahrscheinlich ist, dass eine Fälligstellung im Prognosezeitraum erfolgt (vgl. </w:t>
      </w:r>
      <w:r>
        <w:rPr>
          <w:rStyle w:val="emitalicon"/>
          <w:color w:val="000000"/>
        </w:rPr>
        <w:t>BGH</w:t>
      </w:r>
      <w:r>
        <w:rPr>
          <w:color w:val="000000"/>
        </w:rPr>
        <w:t xml:space="preserve">, </w:t>
      </w:r>
      <w:r>
        <w:rPr>
          <w:rStyle w:val="any"/>
          <w:color w:val="000000"/>
        </w:rPr>
        <w:t xml:space="preserve">NZI 2013, </w:t>
      </w:r>
      <w:hyperlink r:id="rId56" w:history="1">
        <w:r>
          <w:rPr>
            <w:rStyle w:val="bocontentwrapperbocenteranotbeck-btn"/>
            <w:color w:val="000000"/>
            <w:u w:val="single" w:color="000000"/>
          </w:rPr>
          <w:t>129</w:t>
        </w:r>
      </w:hyperlink>
      <w:r>
        <w:rPr>
          <w:color w:val="000000"/>
        </w:rPr>
        <w:t xml:space="preserve"> = </w:t>
      </w:r>
      <w:r>
        <w:rPr>
          <w:rStyle w:val="any"/>
          <w:color w:val="000000"/>
        </w:rPr>
        <w:t xml:space="preserve">NJW-RR 2013, </w:t>
      </w:r>
      <w:hyperlink r:id="rId57" w:history="1">
        <w:r>
          <w:rPr>
            <w:rStyle w:val="bocontentwrapperbocenteranotbeck-btn"/>
            <w:color w:val="000000"/>
            <w:u w:val="single" w:color="000000"/>
          </w:rPr>
          <w:t>558</w:t>
        </w:r>
      </w:hyperlink>
      <w:r>
        <w:rPr>
          <w:rStyle w:val="any"/>
          <w:color w:val="000000"/>
        </w:rPr>
        <w:t xml:space="preserve"> Rn. </w:t>
      </w:r>
      <w:hyperlink r:id="rId58" w:history="1">
        <w:r>
          <w:rPr>
            <w:rStyle w:val="bocontentwrapperbocenteranotbeck-btn"/>
            <w:color w:val="000000"/>
            <w:u w:val="single" w:color="000000"/>
          </w:rPr>
          <w:t>15</w:t>
        </w:r>
      </w:hyperlink>
      <w:r>
        <w:rPr>
          <w:color w:val="000000"/>
        </w:rPr>
        <w:t xml:space="preserve">; </w:t>
      </w:r>
      <w:r>
        <w:rPr>
          <w:rStyle w:val="emitalicon"/>
          <w:color w:val="000000"/>
        </w:rPr>
        <w:t>Karsten Schmidt</w:t>
      </w:r>
      <w:r>
        <w:rPr>
          <w:color w:val="000000"/>
        </w:rPr>
        <w:t xml:space="preserve">, InsO, 18. Aufl., § 18 Rn. 24; </w:t>
      </w:r>
      <w:r>
        <w:rPr>
          <w:rStyle w:val="emitalicon"/>
          <w:color w:val="000000"/>
        </w:rPr>
        <w:t>Pape</w:t>
      </w:r>
      <w:r>
        <w:rPr>
          <w:color w:val="000000"/>
        </w:rPr>
        <w:t xml:space="preserve"> in </w:t>
      </w:r>
      <w:r>
        <w:rPr>
          <w:rStyle w:val="emitalicon"/>
          <w:color w:val="000000"/>
        </w:rPr>
        <w:t>Kübler/Prütting/Bork</w:t>
      </w:r>
      <w:r>
        <w:rPr>
          <w:color w:val="000000"/>
        </w:rPr>
        <w:t>, InsO, 1998, § 18 Rn. 8).</w:t>
      </w:r>
    </w:p>
    <w:p w14:paraId="66708D3E" w14:textId="77777777" w:rsidR="003F3CA7" w:rsidRDefault="00000000">
      <w:pPr>
        <w:pStyle w:val="divbocontentwrapperbocenterpParagraph"/>
        <w:spacing w:after="120" w:line="360" w:lineRule="auto"/>
        <w:ind w:left="600" w:right="150"/>
        <w:jc w:val="both"/>
        <w:rPr>
          <w:color w:val="000000"/>
        </w:rPr>
      </w:pPr>
      <w:bookmarkStart w:id="8" w:name="Y-300-Z-NZI-B-2014-S-259-N-1-RN-11"/>
      <w:bookmarkEnd w:id="8"/>
      <w:r>
        <w:rPr>
          <w:rStyle w:val="printcontentemrandnr"/>
          <w:rFonts w:ascii="Verdana" w:eastAsia="Verdana" w:hAnsi="Verdana" w:cs="Verdana"/>
          <w:b/>
          <w:bCs/>
          <w:color w:val="000000"/>
          <w:sz w:val="19"/>
          <w:szCs w:val="19"/>
        </w:rPr>
        <w:t>11</w:t>
      </w:r>
      <w:r>
        <w:rPr>
          <w:color w:val="000000"/>
        </w:rPr>
        <w:t>b) Nach diesen Maßstäben drohte der Schuldnerin zum Zeitpunkt der beiden in Rede stehenden Zahlungen am 10.1.2003 und am 14.2.2003 Zahlungsunfähigkeit.</w:t>
      </w:r>
    </w:p>
    <w:p w14:paraId="06E76A2E" w14:textId="77777777" w:rsidR="003F3CA7" w:rsidRDefault="00000000">
      <w:pPr>
        <w:pStyle w:val="divbocontentwrapperbocenterpParagraph"/>
        <w:spacing w:after="120" w:line="360" w:lineRule="auto"/>
        <w:ind w:left="600" w:right="150"/>
        <w:jc w:val="both"/>
        <w:rPr>
          <w:color w:val="000000"/>
        </w:rPr>
      </w:pPr>
      <w:bookmarkStart w:id="9" w:name="Y-300-Z-NZI-B-2014-S-259-N-1-RN-12"/>
      <w:bookmarkEnd w:id="9"/>
      <w:r>
        <w:rPr>
          <w:rStyle w:val="printcontentemrandnr"/>
          <w:rFonts w:ascii="Verdana" w:eastAsia="Verdana" w:hAnsi="Verdana" w:cs="Verdana"/>
          <w:b/>
          <w:bCs/>
          <w:color w:val="000000"/>
          <w:sz w:val="19"/>
          <w:szCs w:val="19"/>
        </w:rPr>
        <w:t>12</w:t>
      </w:r>
      <w:r>
        <w:rPr>
          <w:color w:val="000000"/>
        </w:rPr>
        <w:t xml:space="preserve">aa) Die Schuldnerin nahm bei der </w:t>
      </w:r>
      <w:r>
        <w:rPr>
          <w:rStyle w:val="emitalicon"/>
          <w:color w:val="000000"/>
        </w:rPr>
        <w:t>D</w:t>
      </w:r>
      <w:r>
        <w:rPr>
          <w:color w:val="000000"/>
        </w:rPr>
        <w:t xml:space="preserve"> einen Geschäftskredit in Höhe von 630.000 Euro in Anspruch. Am 4.12.2002 kam es zu einem Gespräch über die Fortführung des Kreditengagements. Dem Schreiben der Bank an die Geschäftsführung der Schuldnerin vom 5.12.2002 ist zu entnehmen, dass die Bank auf Grund der wirtschaftlichen Verhältnisse der Schuldnerin, des schwierigen Branchenumfelds, der sich daraus ergebenden Planungsunsicherheiten sowie der mittelfristig ungeregelten Unternehmensfortführung ein erhöhtes Kreditrisiko sah. Sie sah sich deshalb nicht länger in der Lage, der Schuldnerin mit Kreditlinien auf der damaligen Sicherheitenbasis (quotale Bürgschaften der Gesellschafter ohne werthaltige Unterlegung) zur Verfügung zu stehen. Bis zum 13.12.2002 sollte die Schuldnerin des- halb schriftliche Vorschläge unterbreiten, wie die Kreditlinien werthaltig abgesichert werden konnten. Im „Betriebsobjekt“ sah die Bank keine Beleihungsspielräume. Für den Fall, dass die verlangte Sicherheitenverstärkung nicht zu Stande komme, bat die Bank um Informationen, aus welchen Mitteln kurzfristig die Rückführung der Kreditlinien erfolgen solle. Im Zuge der nachfolgenden Gespräche erklärte sich die </w:t>
      </w:r>
      <w:r>
        <w:rPr>
          <w:rStyle w:val="emitalicon"/>
          <w:color w:val="000000"/>
        </w:rPr>
        <w:t>D</w:t>
      </w:r>
      <w:r>
        <w:rPr>
          <w:color w:val="000000"/>
        </w:rPr>
        <w:t xml:space="preserve"> bereit, die eingeräumten Kredite längstens bis zum 31.1.2003 „auf der bekannten Basis“ offenzuhalten. Dies ergibt sich aus dem Schreiben der Bank an die Geschäftsführung der Schuldnerin vom 4.2.2003. In diesem Schreiben bezeichnete die </w:t>
      </w:r>
      <w:r>
        <w:rPr>
          <w:color w:val="000000"/>
        </w:rPr>
        <w:lastRenderedPageBreak/>
        <w:t>Bank die Stellung vollwertiger Sicherheiten in Kredithöhe erneut als unabdingbar; sollten verbindliche Vorschläge hierfür nicht bis zum 12.2.2003 unterbreitet werden, werde die Bank umgehend die Kredite kündigen und die Bürgschaften in Anspruch nehmen. Nach weiteren Verhandlungen vereinbarten die Bank und die Schuldnerin am 12./19.3.2003 eine vollständige Rückführung des Kredits in mehreren Raten bis zum 11.4.2003. Die Schuldnerin konnte jedoch nur einen Teil dieser Raten aufbringen, weshalb die Bank nach der Eröffnung des Insolvenzverfahrens am 23.12.2003 noch eine Restforderung in Höhe von mehr als 300.000 Euro aus dem Geschäftskredit zur Tabelle anmeldete.</w:t>
      </w:r>
    </w:p>
    <w:p w14:paraId="76E11457" w14:textId="77777777" w:rsidR="003F3CA7" w:rsidRDefault="00000000">
      <w:pPr>
        <w:pStyle w:val="divbocontentwrapperbocenterpParagraph"/>
        <w:spacing w:after="120" w:line="360" w:lineRule="auto"/>
        <w:ind w:left="600" w:right="150"/>
        <w:jc w:val="both"/>
        <w:rPr>
          <w:color w:val="000000"/>
        </w:rPr>
      </w:pPr>
      <w:bookmarkStart w:id="10" w:name="Y-300-Z-NZI-B-2014-S-259-N-1-RN-13"/>
      <w:bookmarkEnd w:id="10"/>
      <w:r>
        <w:rPr>
          <w:rStyle w:val="printcontentemrandnr"/>
          <w:rFonts w:ascii="Verdana" w:eastAsia="Verdana" w:hAnsi="Verdana" w:cs="Verdana"/>
          <w:b/>
          <w:bCs/>
          <w:color w:val="000000"/>
          <w:sz w:val="19"/>
          <w:szCs w:val="19"/>
        </w:rPr>
        <w:t>13</w:t>
      </w:r>
      <w:r>
        <w:rPr>
          <w:color w:val="000000"/>
        </w:rPr>
        <w:t xml:space="preserve">Bei dieser Sachlage stand bereits zum Zeitpunkt der Mietzahlung vom 10.1.2003 fest, dass die Schuldnerin zahlungsunfähig sein würde, wenn die </w:t>
      </w:r>
      <w:r>
        <w:rPr>
          <w:rStyle w:val="emitalicon"/>
          <w:color w:val="000000"/>
        </w:rPr>
        <w:t>D</w:t>
      </w:r>
      <w:r>
        <w:rPr>
          <w:color w:val="000000"/>
        </w:rPr>
        <w:t xml:space="preserve"> im Lauf der nachfolgenden Wochen den Geschäftskredit fällig stellte. Dies ist aus dem Umstand zu schließen, dass die Schuldnerin tatsächlich nicht annähernd in der Lage war, die im März 2003 vereinbarte ratenweise Rückführung des Kredits zu bewerkstelligen.</w:t>
      </w:r>
    </w:p>
    <w:p w14:paraId="33D63F33" w14:textId="77777777" w:rsidR="003F3CA7" w:rsidRDefault="00000000">
      <w:pPr>
        <w:pStyle w:val="divbocontentwrapperbocenterpParagraph"/>
        <w:spacing w:after="120" w:line="360" w:lineRule="auto"/>
        <w:ind w:left="600" w:right="150"/>
        <w:jc w:val="both"/>
        <w:rPr>
          <w:color w:val="000000"/>
        </w:rPr>
      </w:pPr>
      <w:bookmarkStart w:id="11" w:name="Y-300-Z-NZI-B-2014-S-259-N-1-RN-14"/>
      <w:bookmarkEnd w:id="11"/>
      <w:r>
        <w:rPr>
          <w:rStyle w:val="printcontentemrandnr"/>
          <w:rFonts w:ascii="Verdana" w:eastAsia="Verdana" w:hAnsi="Verdana" w:cs="Verdana"/>
          <w:b/>
          <w:bCs/>
          <w:color w:val="000000"/>
          <w:sz w:val="19"/>
          <w:szCs w:val="19"/>
        </w:rPr>
        <w:t>14</w:t>
      </w:r>
      <w:r>
        <w:rPr>
          <w:color w:val="000000"/>
        </w:rPr>
        <w:t xml:space="preserve">bb) Dass es zur Fälligstellung des Geschäftskredits kommen würde, war schon im Januar 2003 und erst recht zum Zeitpunkt der Mietzahlung vom 14.2.2003 wahrscheinlicher als eine Fortführung des Kreditengagements der </w:t>
      </w:r>
      <w:r>
        <w:rPr>
          <w:rStyle w:val="emitalicon"/>
          <w:color w:val="000000"/>
        </w:rPr>
        <w:t>D</w:t>
      </w:r>
      <w:r>
        <w:rPr>
          <w:color w:val="000000"/>
        </w:rPr>
        <w:t xml:space="preserve">. Diese hatte bereits im Dezember 2002 die Aufrechterhaltung der Kreditlinie davon abhängig gemacht, dass zusätzliche werthaltige Sicherheiten gestellt wurden. Im Zeitraum zwischen den beiden Mietzahlungen an die Bekl. wiederholte sie ihre Forderung nach einer vollwertigen Nachbesicherung in Kredithöhe. Tatsächlich verfügte die Schuldnerin über solche Sicherheiten nicht. Die in der Vereinbarung vom 12./19.3.2003 erwähnten Sicherheiten – Erweiterung des Sicherungszwecks der am Betriebsobjekt bestehenden Grundschulden und einer Globalzession von Forderungen aus Lieferungen und Leistungen auf den Geschäftskredit und das Hypothekendarlehen – waren offenkundig von beschränktem Wert und nur geeignet, die vereinbarte Rückführung in Raten abzusichern, nicht aber eine Fortführung der Kredite. Es war daher von vorneherein abzusehen, dass die Schuldnerin die Voraussetzungen nicht erfüllen konnte, unter denen die Bank bereit war, ihr weiter Kredit zu gewähren. Die Ankündigung der </w:t>
      </w:r>
      <w:r>
        <w:rPr>
          <w:rStyle w:val="emitalicon"/>
          <w:color w:val="000000"/>
        </w:rPr>
        <w:t>D</w:t>
      </w:r>
      <w:r>
        <w:rPr>
          <w:color w:val="000000"/>
        </w:rPr>
        <w:t>, ohne zusätzliche werthaltige Sicherheiten auf einer kurzfristigen Rückführung der Kredite zu bestehen, war ersichtlich ernst gemeint und bildete nicht lediglich ein Druckmittel für die gewünschte Nachbesicherung. Die Tatsache allein, dass die Verhandlungen mit der Bank im Januar und Februar 2003 noch andauerten und die Kreditlinie noch offen gehalten wurde, steht der Annahme von drohender Zahlungsunfähigkeit nicht entgegen. Maßgeblich ist, dass ein erfolgreicher Abschluss der Verhandlungen unwahrscheinlich war.</w:t>
      </w:r>
    </w:p>
    <w:p w14:paraId="3D434917" w14:textId="77777777" w:rsidR="003F3CA7" w:rsidRDefault="00000000">
      <w:pPr>
        <w:pStyle w:val="divbocontentwrapperbocenterpParagraph"/>
        <w:spacing w:after="120" w:line="360" w:lineRule="auto"/>
        <w:ind w:left="600" w:right="150"/>
        <w:jc w:val="both"/>
        <w:rPr>
          <w:color w:val="000000"/>
        </w:rPr>
      </w:pPr>
      <w:bookmarkStart w:id="12" w:name="Y-300-Z-NZI-B-2014-S-259-N-1-RN-15"/>
      <w:bookmarkEnd w:id="12"/>
      <w:r>
        <w:rPr>
          <w:rStyle w:val="printcontentemrandnr"/>
          <w:rFonts w:ascii="Verdana" w:eastAsia="Verdana" w:hAnsi="Verdana" w:cs="Verdana"/>
          <w:b/>
          <w:bCs/>
          <w:color w:val="000000"/>
          <w:sz w:val="19"/>
          <w:szCs w:val="19"/>
        </w:rPr>
        <w:lastRenderedPageBreak/>
        <w:t>15</w:t>
      </w:r>
      <w:r>
        <w:rPr>
          <w:color w:val="000000"/>
        </w:rPr>
        <w:t xml:space="preserve">c) Die bereits im Januar 2003 drohende Zahlungsunfähigkeit erlaubt den Schluss, dass die Schuldnerin die Mietzahlungen an die Bekl. in diesem und im Folgemonat mit dem zumindest bedingten Vorsatz leistete, ihre übrigen Gläubiger zu benachteiligen. Konkrete Umstände, die nahe legten, dass die drohende Krise auch bei einem Scheitern der Verhandlungen mit der </w:t>
      </w:r>
      <w:r>
        <w:rPr>
          <w:rStyle w:val="emitalicon"/>
          <w:color w:val="000000"/>
        </w:rPr>
        <w:t>D</w:t>
      </w:r>
      <w:r>
        <w:rPr>
          <w:color w:val="000000"/>
        </w:rPr>
        <w:t xml:space="preserve"> noch abgewendet werden konnte, und des</w:t>
      </w:r>
    </w:p>
    <w:tbl>
      <w:tblPr>
        <w:tblStyle w:val="table"/>
        <w:tblW w:w="5000" w:type="pct"/>
        <w:tblInd w:w="600" w:type="dxa"/>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3F3CA7" w14:paraId="287410BE" w14:textId="77777777">
        <w:tc>
          <w:tcPr>
            <w:tcW w:w="4000" w:type="pct"/>
            <w:shd w:val="clear" w:color="auto" w:fill="F0F0F0"/>
            <w:tcMar>
              <w:top w:w="0" w:type="dxa"/>
              <w:left w:w="0" w:type="dxa"/>
              <w:bottom w:w="0" w:type="dxa"/>
              <w:right w:w="0" w:type="dxa"/>
            </w:tcMar>
            <w:vAlign w:val="center"/>
            <w:hideMark/>
          </w:tcPr>
          <w:p w14:paraId="5957CEB8" w14:textId="77777777" w:rsidR="003F3CA7" w:rsidRDefault="00000000">
            <w:pPr>
              <w:pStyle w:val="divpgdescrpspantitel"/>
              <w:spacing w:after="120"/>
              <w:ind w:left="330"/>
              <w:rPr>
                <w:color w:val="000000"/>
              </w:rPr>
            </w:pPr>
            <w:r>
              <w:rPr>
                <w:color w:val="000000"/>
              </w:rPr>
              <w:t>BGH: Prognose drohender Zahlungsunfähigkeit</w:t>
            </w:r>
            <w:r>
              <w:rPr>
                <w:rStyle w:val="citation"/>
                <w:color w:val="000000"/>
              </w:rPr>
              <w:t>(NZI 2014, 259)</w:t>
            </w:r>
          </w:p>
        </w:tc>
        <w:tc>
          <w:tcPr>
            <w:tcW w:w="1000" w:type="pct"/>
            <w:shd w:val="clear" w:color="auto" w:fill="F0F0F0"/>
            <w:tcMar>
              <w:top w:w="0" w:type="dxa"/>
              <w:left w:w="0" w:type="dxa"/>
              <w:bottom w:w="0" w:type="dxa"/>
              <w:right w:w="0" w:type="dxa"/>
            </w:tcMar>
            <w:vAlign w:val="center"/>
            <w:hideMark/>
          </w:tcPr>
          <w:p w14:paraId="18A2611B" w14:textId="77777777" w:rsidR="003F3CA7" w:rsidRDefault="00000000">
            <w:pPr>
              <w:pStyle w:val="divbocontentwrapperbocenterpParagraph"/>
              <w:pBdr>
                <w:top w:val="none" w:sz="0" w:space="6" w:color="auto"/>
                <w:right w:val="none" w:sz="0" w:space="3" w:color="auto"/>
              </w:pBdr>
              <w:spacing w:after="120"/>
              <w:ind w:left="225" w:right="300"/>
              <w:jc w:val="right"/>
              <w:rPr>
                <w:color w:val="000000"/>
              </w:rPr>
            </w:pPr>
            <w:r>
              <w:rPr>
                <w:rStyle w:val="divpgnavppgactspanpg"/>
                <w:color w:val="000000"/>
              </w:rPr>
              <w:t>261</w:t>
            </w:r>
          </w:p>
        </w:tc>
      </w:tr>
    </w:tbl>
    <w:p w14:paraId="07B30AE4" w14:textId="77777777" w:rsidR="003F3CA7" w:rsidRDefault="00000000">
      <w:pPr>
        <w:pStyle w:val="divbocontentwrapperbocenterpParagraph"/>
        <w:spacing w:after="120" w:line="360" w:lineRule="auto"/>
        <w:ind w:left="600" w:right="150"/>
        <w:jc w:val="both"/>
        <w:rPr>
          <w:color w:val="000000"/>
        </w:rPr>
      </w:pPr>
      <w:r>
        <w:rPr>
          <w:color w:val="000000"/>
        </w:rPr>
        <w:t>halb den Schluss auf den Benachteiligungsvorsatz der Schuldnerin hindern könnten, sind nicht ersichtlich.</w:t>
      </w:r>
    </w:p>
    <w:p w14:paraId="7AB57357" w14:textId="77777777" w:rsidR="003F3CA7" w:rsidRDefault="00000000">
      <w:pPr>
        <w:pStyle w:val="divbocontentwrapperbocenterpParagraph"/>
        <w:spacing w:after="120" w:line="360" w:lineRule="auto"/>
        <w:ind w:left="600" w:right="150"/>
        <w:jc w:val="both"/>
        <w:rPr>
          <w:color w:val="000000"/>
        </w:rPr>
      </w:pPr>
      <w:bookmarkStart w:id="13" w:name="Y-200-Ge-BGH-Az-IXZR9311-D-2013-12-05-Rn"/>
      <w:bookmarkStart w:id="14" w:name="Y-300-Z-NZI-B-2014-S-259-N-1-RN-16"/>
      <w:bookmarkEnd w:id="13"/>
      <w:bookmarkEnd w:id="14"/>
      <w:r>
        <w:rPr>
          <w:rStyle w:val="printcontentemrandnr"/>
          <w:rFonts w:ascii="Verdana" w:eastAsia="Verdana" w:hAnsi="Verdana" w:cs="Verdana"/>
          <w:b/>
          <w:bCs/>
          <w:color w:val="000000"/>
          <w:sz w:val="19"/>
          <w:szCs w:val="19"/>
        </w:rPr>
        <w:t>16</w:t>
      </w:r>
      <w:r>
        <w:rPr>
          <w:color w:val="000000"/>
        </w:rPr>
        <w:t>III. Das Berufungsurteil kann deshalb keinen Bestand haben. Es ist aufzuheben (</w:t>
      </w:r>
      <w:r>
        <w:rPr>
          <w:rStyle w:val="any"/>
          <w:color w:val="000000"/>
        </w:rPr>
        <w:t xml:space="preserve">§ </w:t>
      </w:r>
      <w:hyperlink r:id="rId59" w:history="1">
        <w:r>
          <w:rPr>
            <w:rStyle w:val="bocontentwrapperbocenteranotbeck-btn"/>
            <w:color w:val="000000"/>
            <w:u w:val="single" w:color="000000"/>
          </w:rPr>
          <w:t>562</w:t>
        </w:r>
      </w:hyperlink>
      <w:r>
        <w:rPr>
          <w:rStyle w:val="any"/>
          <w:color w:val="000000"/>
        </w:rPr>
        <w:t> </w:t>
      </w:r>
      <w:hyperlink r:id="rId60" w:history="1">
        <w:r>
          <w:rPr>
            <w:rStyle w:val="bocontentwrapperbocenteranotbeck-btn"/>
            <w:color w:val="000000"/>
            <w:u w:val="single" w:color="000000"/>
          </w:rPr>
          <w:t>I</w:t>
        </w:r>
      </w:hyperlink>
      <w:r>
        <w:rPr>
          <w:rStyle w:val="any"/>
          <w:color w:val="000000"/>
        </w:rPr>
        <w:t xml:space="preserve"> ZPO</w:t>
      </w:r>
      <w:r>
        <w:rPr>
          <w:color w:val="000000"/>
        </w:rPr>
        <w:t xml:space="preserve">). Da die Aufhebung nur wegen Rechtsverletzung bei der Anwendung des Gesetzes auf das festgestellte Sachverhältnis erfolgt und nach letzterem die Sache zur Endentscheidung reif ist, hat der </w:t>
      </w:r>
      <w:r>
        <w:rPr>
          <w:rStyle w:val="emitalicon"/>
          <w:color w:val="000000"/>
        </w:rPr>
        <w:t>Senat</w:t>
      </w:r>
      <w:r>
        <w:rPr>
          <w:color w:val="000000"/>
        </w:rPr>
        <w:t xml:space="preserve"> selbst zu entscheiden (</w:t>
      </w:r>
      <w:r>
        <w:rPr>
          <w:rStyle w:val="any"/>
          <w:color w:val="000000"/>
        </w:rPr>
        <w:t xml:space="preserve">§ </w:t>
      </w:r>
      <w:hyperlink r:id="rId61" w:history="1">
        <w:r>
          <w:rPr>
            <w:rStyle w:val="bocontentwrapperbocenteranotbeck-btn"/>
            <w:color w:val="000000"/>
            <w:u w:val="single" w:color="000000"/>
          </w:rPr>
          <w:t>563</w:t>
        </w:r>
      </w:hyperlink>
      <w:r>
        <w:rPr>
          <w:rStyle w:val="any"/>
          <w:color w:val="000000"/>
        </w:rPr>
        <w:t> </w:t>
      </w:r>
      <w:hyperlink r:id="rId62" w:history="1">
        <w:r>
          <w:rPr>
            <w:rStyle w:val="bocontentwrapperbocenteranotbeck-btn"/>
            <w:color w:val="000000"/>
            <w:u w:val="single" w:color="000000"/>
          </w:rPr>
          <w:t>III</w:t>
        </w:r>
      </w:hyperlink>
      <w:r>
        <w:rPr>
          <w:rStyle w:val="any"/>
          <w:color w:val="000000"/>
        </w:rPr>
        <w:t xml:space="preserve"> ZPO</w:t>
      </w:r>
      <w:r>
        <w:rPr>
          <w:color w:val="000000"/>
        </w:rPr>
        <w:t xml:space="preserve">). Die weiteren Voraussetzungen eines Rückgewähranspruchs nach </w:t>
      </w:r>
      <w:r>
        <w:rPr>
          <w:rStyle w:val="any"/>
          <w:color w:val="000000"/>
        </w:rPr>
        <w:t xml:space="preserve">§§ </w:t>
      </w:r>
      <w:hyperlink r:id="rId63" w:history="1">
        <w:r>
          <w:rPr>
            <w:rStyle w:val="bocontentwrapperbocenteranotbeck-btn"/>
            <w:color w:val="000000"/>
            <w:u w:val="single" w:color="000000"/>
          </w:rPr>
          <w:t>143</w:t>
        </w:r>
      </w:hyperlink>
      <w:r>
        <w:rPr>
          <w:rStyle w:val="any"/>
          <w:color w:val="000000"/>
        </w:rPr>
        <w:t> </w:t>
      </w:r>
      <w:hyperlink r:id="rId64" w:history="1">
        <w:r>
          <w:rPr>
            <w:rStyle w:val="bocontentwrapperbocenteranotbeck-btn"/>
            <w:color w:val="000000"/>
            <w:u w:val="single" w:color="000000"/>
          </w:rPr>
          <w:t>I</w:t>
        </w:r>
      </w:hyperlink>
      <w:r>
        <w:rPr>
          <w:rStyle w:val="any"/>
          <w:color w:val="000000"/>
        </w:rPr>
        <w:t xml:space="preserve">, </w:t>
      </w:r>
      <w:hyperlink r:id="rId65" w:history="1">
        <w:r>
          <w:rPr>
            <w:rStyle w:val="bocontentwrapperbocenteranotbeck-btn"/>
            <w:color w:val="000000"/>
            <w:u w:val="single" w:color="000000"/>
          </w:rPr>
          <w:t>133</w:t>
        </w:r>
      </w:hyperlink>
      <w:r>
        <w:rPr>
          <w:rStyle w:val="any"/>
          <w:color w:val="000000"/>
        </w:rPr>
        <w:t> </w:t>
      </w:r>
      <w:hyperlink r:id="rId66" w:history="1">
        <w:r>
          <w:rPr>
            <w:rStyle w:val="bocontentwrapperbocenteranotbeck-btn"/>
            <w:color w:val="000000"/>
            <w:u w:val="single" w:color="000000"/>
          </w:rPr>
          <w:t>I</w:t>
        </w:r>
      </w:hyperlink>
      <w:r>
        <w:rPr>
          <w:rStyle w:val="any"/>
          <w:color w:val="000000"/>
        </w:rPr>
        <w:t xml:space="preserve"> InsO</w:t>
      </w:r>
      <w:r>
        <w:rPr>
          <w:color w:val="000000"/>
        </w:rPr>
        <w:t xml:space="preserve"> liegen vor. Die Bekl. kannte zur Zeit der Zahlungen im Januar und Februar 2003 den Benachteiligungsvorsatz der Schuldnerin. Dies folgt daraus, dass die beiden Geschäftsführer der Schuldnerin (ihre Gesellschafter </w:t>
      </w:r>
      <w:r>
        <w:rPr>
          <w:rStyle w:val="emitalicon"/>
          <w:color w:val="000000"/>
        </w:rPr>
        <w:t>B</w:t>
      </w:r>
      <w:r>
        <w:rPr>
          <w:color w:val="000000"/>
        </w:rPr>
        <w:t xml:space="preserve"> und </w:t>
      </w:r>
      <w:r>
        <w:rPr>
          <w:rStyle w:val="emitalicon"/>
          <w:color w:val="000000"/>
        </w:rPr>
        <w:t>H</w:t>
      </w:r>
      <w:r>
        <w:rPr>
          <w:color w:val="000000"/>
        </w:rPr>
        <w:t>) zugleich auch Gesellschafter und Geschäftsführer der Bekl. waren. Für die Kenntnis der Bekl. als Personengesellschaft kommt es auf die Kenntnis ihrer geschäftsführenden Gesellschafter an (</w:t>
      </w:r>
      <w:r>
        <w:rPr>
          <w:rStyle w:val="any"/>
          <w:color w:val="000000"/>
        </w:rPr>
        <w:t>MüKoInsO/</w:t>
      </w:r>
      <w:r>
        <w:rPr>
          <w:rStyle w:val="emitalicon"/>
          <w:color w:val="000000"/>
        </w:rPr>
        <w:t>Kayser</w:t>
      </w:r>
      <w:r>
        <w:rPr>
          <w:rStyle w:val="any"/>
          <w:color w:val="000000"/>
        </w:rPr>
        <w:t xml:space="preserve">, 3. Aufl., § 130 Rn. </w:t>
      </w:r>
      <w:hyperlink r:id="rId67" w:history="1">
        <w:r>
          <w:rPr>
            <w:rStyle w:val="bocontentwrapperbocenteranotbeck-btn"/>
            <w:color w:val="000000"/>
            <w:u w:val="single" w:color="000000"/>
          </w:rPr>
          <w:t>50</w:t>
        </w:r>
      </w:hyperlink>
      <w:r>
        <w:rPr>
          <w:color w:val="000000"/>
        </w:rPr>
        <w:t xml:space="preserve">; </w:t>
      </w:r>
      <w:r>
        <w:rPr>
          <w:rStyle w:val="emitalicon"/>
          <w:color w:val="000000"/>
        </w:rPr>
        <w:t>Schoppmeyer</w:t>
      </w:r>
      <w:r>
        <w:rPr>
          <w:color w:val="000000"/>
        </w:rPr>
        <w:t xml:space="preserve"> in </w:t>
      </w:r>
      <w:r>
        <w:rPr>
          <w:rStyle w:val="emitalicon"/>
          <w:color w:val="000000"/>
        </w:rPr>
        <w:t>Kübler/Prütting/Bork</w:t>
      </w:r>
      <w:r>
        <w:rPr>
          <w:rStyle w:val="any"/>
          <w:color w:val="000000"/>
        </w:rPr>
        <w:t>, § 130 Rn. 133</w:t>
      </w:r>
      <w:r>
        <w:rPr>
          <w:color w:val="000000"/>
        </w:rPr>
        <w:t xml:space="preserve">; vgl. </w:t>
      </w:r>
      <w:r>
        <w:rPr>
          <w:rStyle w:val="emitalicon"/>
          <w:color w:val="000000"/>
        </w:rPr>
        <w:t>BGH</w:t>
      </w:r>
      <w:r>
        <w:rPr>
          <w:color w:val="000000"/>
        </w:rPr>
        <w:t xml:space="preserve">, </w:t>
      </w:r>
      <w:r>
        <w:rPr>
          <w:rStyle w:val="any"/>
          <w:color w:val="000000"/>
        </w:rPr>
        <w:t xml:space="preserve">NJW 1999, </w:t>
      </w:r>
      <w:hyperlink r:id="rId68" w:history="1">
        <w:r>
          <w:rPr>
            <w:rStyle w:val="bocontentwrapperbocenteranotbeck-btn"/>
            <w:color w:val="000000"/>
            <w:u w:val="single" w:color="000000"/>
          </w:rPr>
          <w:t>1395</w:t>
        </w:r>
      </w:hyperlink>
      <w:r>
        <w:rPr>
          <w:color w:val="000000"/>
        </w:rPr>
        <w:t xml:space="preserve"> = </w:t>
      </w:r>
      <w:r>
        <w:rPr>
          <w:rStyle w:val="any"/>
          <w:color w:val="000000"/>
        </w:rPr>
        <w:t xml:space="preserve">ZIP 1999, </w:t>
      </w:r>
      <w:hyperlink r:id="rId69" w:history="1">
        <w:r>
          <w:rPr>
            <w:rStyle w:val="bocontentwrapperbocenteranotbeck-btn"/>
            <w:color w:val="000000"/>
            <w:u w:val="single" w:color="000000"/>
          </w:rPr>
          <w:t>196</w:t>
        </w:r>
      </w:hyperlink>
      <w:r>
        <w:rPr>
          <w:rStyle w:val="any"/>
          <w:color w:val="000000"/>
        </w:rPr>
        <w:t xml:space="preserve"> [</w:t>
      </w:r>
      <w:hyperlink r:id="rId70" w:history="1">
        <w:r>
          <w:rPr>
            <w:rStyle w:val="bocontentwrapperbocenteranotbeck-btn"/>
            <w:color w:val="000000"/>
            <w:u w:val="single" w:color="000000"/>
          </w:rPr>
          <w:t>199</w:t>
        </w:r>
      </w:hyperlink>
      <w:r>
        <w:rPr>
          <w:color w:val="000000"/>
        </w:rPr>
        <w:t>]). Als Geschäftsführer beider Gesellschaften vermittelten die genannten Personen die Kenntnis der für den Benachteiligungsvorsatz der Schuldnerin maßgeblichen Umstände an die Bekl.</w:t>
      </w:r>
      <w:bookmarkStart w:id="15" w:name="Y-300-Z-NZI-B-2014-S-259-N-1-Gl-3"/>
    </w:p>
    <w:p w14:paraId="1E16B862" w14:textId="77777777" w:rsidR="003F3CA7" w:rsidRDefault="00000000">
      <w:pPr>
        <w:pStyle w:val="bocenterh1"/>
        <w:pBdr>
          <w:top w:val="none" w:sz="0" w:space="5" w:color="auto"/>
          <w:bottom w:val="none" w:sz="0" w:space="3" w:color="auto"/>
        </w:pBdr>
        <w:spacing w:before="75" w:after="75" w:line="360" w:lineRule="auto"/>
        <w:ind w:left="600" w:right="150"/>
        <w:jc w:val="both"/>
        <w:outlineLvl w:val="0"/>
        <w:rPr>
          <w:color w:val="000000"/>
          <w:sz w:val="24"/>
          <w:szCs w:val="24"/>
        </w:rPr>
      </w:pPr>
      <w:r>
        <w:rPr>
          <w:color w:val="000000"/>
          <w:sz w:val="24"/>
          <w:szCs w:val="24"/>
        </w:rPr>
        <w:t>Anmerkung</w:t>
      </w:r>
    </w:p>
    <w:p w14:paraId="68AC511B" w14:textId="77777777" w:rsidR="003F3CA7" w:rsidRDefault="00000000">
      <w:pPr>
        <w:pStyle w:val="divbocontentwrapperbocenterpParagraph"/>
        <w:spacing w:after="120" w:line="360" w:lineRule="auto"/>
        <w:ind w:left="600" w:right="150"/>
        <w:jc w:val="both"/>
        <w:rPr>
          <w:color w:val="000000"/>
        </w:rPr>
      </w:pPr>
      <w:r>
        <w:rPr>
          <w:color w:val="000000"/>
        </w:rPr>
        <w:t xml:space="preserve">1. Der Entscheidung liegt eine Anfechtung nach </w:t>
      </w:r>
      <w:r>
        <w:rPr>
          <w:rStyle w:val="any"/>
          <w:color w:val="000000"/>
        </w:rPr>
        <w:t>§ </w:t>
      </w:r>
      <w:hyperlink r:id="rId71" w:history="1">
        <w:r>
          <w:rPr>
            <w:rStyle w:val="bocontentwrapperbocenteranotbeck-btn"/>
            <w:color w:val="000000"/>
            <w:u w:val="single" w:color="000000"/>
          </w:rPr>
          <w:t>133</w:t>
        </w:r>
      </w:hyperlink>
      <w:r>
        <w:rPr>
          <w:rStyle w:val="any"/>
          <w:color w:val="000000"/>
        </w:rPr>
        <w:t> </w:t>
      </w:r>
      <w:hyperlink r:id="rId72" w:history="1">
        <w:r>
          <w:rPr>
            <w:rStyle w:val="bocontentwrapperbocenteranotbeck-btn"/>
            <w:color w:val="000000"/>
            <w:u w:val="single" w:color="000000"/>
          </w:rPr>
          <w:t>I</w:t>
        </w:r>
      </w:hyperlink>
      <w:r>
        <w:rPr>
          <w:rStyle w:val="any"/>
          <w:color w:val="000000"/>
        </w:rPr>
        <w:t xml:space="preserve"> InsO</w:t>
      </w:r>
      <w:r>
        <w:rPr>
          <w:color w:val="000000"/>
        </w:rPr>
        <w:t xml:space="preserve"> zu Grunde. In ihrem Schwerpunkt beschäftigt sie sich jedoch auch ausweislich des amtlichen Leitsatzes mit dem Insolvenzgrund der drohenden Zahlungsunfähigkeit (</w:t>
      </w:r>
      <w:r>
        <w:rPr>
          <w:rStyle w:val="any"/>
          <w:color w:val="000000"/>
        </w:rPr>
        <w:t>§ </w:t>
      </w:r>
      <w:hyperlink r:id="rId73" w:history="1">
        <w:r>
          <w:rPr>
            <w:rStyle w:val="bocontentwrapperbocenteranotbeck-btn"/>
            <w:color w:val="000000"/>
            <w:u w:val="single" w:color="000000"/>
          </w:rPr>
          <w:t>18</w:t>
        </w:r>
      </w:hyperlink>
      <w:r>
        <w:rPr>
          <w:rStyle w:val="any"/>
          <w:color w:val="000000"/>
        </w:rPr>
        <w:t xml:space="preserve"> InsO</w:t>
      </w:r>
      <w:r>
        <w:rPr>
          <w:color w:val="000000"/>
        </w:rPr>
        <w:t xml:space="preserve">). Die Schnittstelle ergibt sich daraus, dass nach ständiger Rechtsprechung – in unterschiedlicher Intensität – sowohl die Zahlungsunfähigkeit wie auch die nur drohende Zahlungsunfähigkeit starke Beweisanzeichen für den Gläubigerbenachteiligungsvorsatz des Schuldners iSv </w:t>
      </w:r>
      <w:r>
        <w:rPr>
          <w:rStyle w:val="any"/>
          <w:color w:val="000000"/>
        </w:rPr>
        <w:t>§ </w:t>
      </w:r>
      <w:hyperlink r:id="rId74" w:history="1">
        <w:r>
          <w:rPr>
            <w:rStyle w:val="bocontentwrapperbocenteranotbeck-btn"/>
            <w:color w:val="000000"/>
            <w:u w:val="single" w:color="000000"/>
          </w:rPr>
          <w:t>133</w:t>
        </w:r>
      </w:hyperlink>
      <w:r>
        <w:rPr>
          <w:rStyle w:val="any"/>
          <w:color w:val="000000"/>
        </w:rPr>
        <w:t> </w:t>
      </w:r>
      <w:hyperlink r:id="rId75" w:history="1">
        <w:r>
          <w:rPr>
            <w:rStyle w:val="bocontentwrapperbocenteranotbeck-btn"/>
            <w:color w:val="000000"/>
            <w:u w:val="single" w:color="000000"/>
          </w:rPr>
          <w:t>I</w:t>
        </w:r>
      </w:hyperlink>
      <w:r>
        <w:rPr>
          <w:rStyle w:val="any"/>
          <w:color w:val="000000"/>
        </w:rPr>
        <w:t xml:space="preserve"> InsO</w:t>
      </w:r>
      <w:r>
        <w:rPr>
          <w:color w:val="000000"/>
        </w:rPr>
        <w:t xml:space="preserve"> darstellen. Der </w:t>
      </w:r>
      <w:r>
        <w:rPr>
          <w:rStyle w:val="emitalicon"/>
          <w:color w:val="000000"/>
        </w:rPr>
        <w:t>BGH</w:t>
      </w:r>
      <w:r>
        <w:rPr>
          <w:color w:val="000000"/>
        </w:rPr>
        <w:t xml:space="preserve"> bekräftigt in der Entscheidung, dass diese Begriffe im Anfechtungsrecht nicht anders zu verstehen sind als in den </w:t>
      </w:r>
      <w:r>
        <w:rPr>
          <w:rStyle w:val="any"/>
          <w:color w:val="000000"/>
        </w:rPr>
        <w:t>§§ </w:t>
      </w:r>
      <w:hyperlink r:id="rId76" w:history="1">
        <w:r>
          <w:rPr>
            <w:rStyle w:val="bocontentwrapperbocenteranotbeck-btn"/>
            <w:color w:val="000000"/>
            <w:u w:val="single" w:color="000000"/>
          </w:rPr>
          <w:t>17</w:t>
        </w:r>
      </w:hyperlink>
      <w:r>
        <w:rPr>
          <w:rStyle w:val="any"/>
          <w:color w:val="000000"/>
        </w:rPr>
        <w:t>, </w:t>
      </w:r>
      <w:hyperlink r:id="rId77" w:history="1">
        <w:r>
          <w:rPr>
            <w:rStyle w:val="bocontentwrapperbocenteranotbeck-btn"/>
            <w:color w:val="000000"/>
            <w:u w:val="single" w:color="000000"/>
          </w:rPr>
          <w:t>18</w:t>
        </w:r>
      </w:hyperlink>
      <w:r>
        <w:rPr>
          <w:rStyle w:val="any"/>
          <w:color w:val="000000"/>
        </w:rPr>
        <w:t xml:space="preserve"> InsO</w:t>
      </w:r>
      <w:r>
        <w:rPr>
          <w:color w:val="000000"/>
        </w:rPr>
        <w:t xml:space="preserve"> (Rn. 10). Außerhalb des Anfechtungsrechts hat der Insolvenzgrund der drohenden Zahlungsunfähigkeit scheinbar an Bedeutung gewonnen, setzt die Inanspruchnahme des durch das ESUG eingeführten Schutzschirmverfahrens doch voraus, dass der Schuldner den Insolvenzantrag wegen </w:t>
      </w:r>
      <w:r>
        <w:rPr>
          <w:color w:val="000000"/>
        </w:rPr>
        <w:lastRenderedPageBreak/>
        <w:t>drohender Zahlungsunfähigkeit oder Überschuldung stellt (</w:t>
      </w:r>
      <w:r>
        <w:rPr>
          <w:rStyle w:val="any"/>
          <w:color w:val="000000"/>
        </w:rPr>
        <w:t>§ </w:t>
      </w:r>
      <w:hyperlink r:id="rId78" w:history="1">
        <w:r>
          <w:rPr>
            <w:rStyle w:val="bocontentwrapperbocenteranotbeck-btn"/>
            <w:color w:val="000000"/>
            <w:u w:val="single" w:color="000000"/>
          </w:rPr>
          <w:t>270 b</w:t>
        </w:r>
      </w:hyperlink>
      <w:r>
        <w:rPr>
          <w:rStyle w:val="any"/>
          <w:color w:val="000000"/>
        </w:rPr>
        <w:t> </w:t>
      </w:r>
      <w:hyperlink r:id="rId79" w:history="1">
        <w:r>
          <w:rPr>
            <w:rStyle w:val="bocontentwrapperbocenteranotbeck-btn"/>
            <w:color w:val="000000"/>
            <w:u w:val="single" w:color="000000"/>
          </w:rPr>
          <w:t>I</w:t>
        </w:r>
      </w:hyperlink>
      <w:r>
        <w:rPr>
          <w:rStyle w:val="any"/>
          <w:color w:val="000000"/>
        </w:rPr>
        <w:t> 1 InsO</w:t>
      </w:r>
      <w:r>
        <w:rPr>
          <w:color w:val="000000"/>
        </w:rPr>
        <w:t>). Tatsächlich liegen beide Insolvenzgründe in der Regel gleichzeitig vor. Droht dem Schuldner nämlich die Zahlungsunfähigkeit, so ist die im Rahmen der Überschuldungsprüfung anzustellende Fortbestehensprognose negativ. Es ist dann ein Überschuldungsstatus unter Zerschlagungshypothese aufzustellen, in dem Abwicklungskosten insbesondere aus der Auflösung von Dauerschuldverhältnissen anzusetzen sind. Deren Passivierung führt in den allermeisten Fällen zur Überschuldung.</w:t>
      </w:r>
    </w:p>
    <w:p w14:paraId="35B059EB" w14:textId="77777777" w:rsidR="003F3CA7" w:rsidRDefault="00000000">
      <w:pPr>
        <w:pStyle w:val="divbocontentwrapperbocenterpParagraph"/>
        <w:spacing w:after="120" w:line="360" w:lineRule="auto"/>
        <w:ind w:left="600" w:right="150"/>
        <w:jc w:val="both"/>
        <w:rPr>
          <w:color w:val="000000"/>
        </w:rPr>
      </w:pPr>
      <w:r>
        <w:rPr>
          <w:color w:val="000000"/>
        </w:rPr>
        <w:t xml:space="preserve">2. Nach der Legaldefinition des </w:t>
      </w:r>
      <w:r>
        <w:rPr>
          <w:rStyle w:val="any"/>
          <w:color w:val="000000"/>
        </w:rPr>
        <w:t>§ </w:t>
      </w:r>
      <w:hyperlink r:id="rId80" w:history="1">
        <w:r>
          <w:rPr>
            <w:rStyle w:val="bocontentwrapperbocenteranotbeck-btn"/>
            <w:color w:val="000000"/>
            <w:u w:val="single" w:color="000000"/>
          </w:rPr>
          <w:t>18</w:t>
        </w:r>
      </w:hyperlink>
      <w:r>
        <w:rPr>
          <w:rStyle w:val="any"/>
          <w:color w:val="000000"/>
        </w:rPr>
        <w:t> </w:t>
      </w:r>
      <w:hyperlink r:id="rId81" w:history="1">
        <w:r>
          <w:rPr>
            <w:rStyle w:val="bocontentwrapperbocenteranotbeck-btn"/>
            <w:color w:val="000000"/>
            <w:u w:val="single" w:color="000000"/>
          </w:rPr>
          <w:t>II</w:t>
        </w:r>
      </w:hyperlink>
      <w:r>
        <w:rPr>
          <w:rStyle w:val="any"/>
          <w:color w:val="000000"/>
        </w:rPr>
        <w:t xml:space="preserve"> InsO</w:t>
      </w:r>
      <w:r>
        <w:rPr>
          <w:color w:val="000000"/>
        </w:rPr>
        <w:t xml:space="preserve"> liegt drohende Zahlungsunfähigkeit vor, wenn der Schuldner voraussichtlich nicht in der Lage sein wird, die bestehenden Zahlungspflichten im Zeitpunkt der Fälligkeit zu erfüllen. Der Begriff der drohenden Zahlungsunfähigkeit stellt also auf eine zukünftige Liquiditätssituation ab, die durch einen entsprechenden Liquiditätsplan zu prognostizieren ist. Der Gesetzeswortlaut wird von der wohl hM dahin verstanden, dass in diesen Liquiditätsplan nur Abflüsse aus zum Prognosezeitpunkt bereits bestehenden Verbindlichkeiten eingestellt werden dürfen (vgl. etwa </w:t>
      </w:r>
      <w:r>
        <w:rPr>
          <w:rStyle w:val="emitalicon"/>
          <w:color w:val="000000"/>
        </w:rPr>
        <w:t>Karsten Schmidt/Karsten Schmidt</w:t>
      </w:r>
      <w:r>
        <w:rPr>
          <w:color w:val="000000"/>
        </w:rPr>
        <w:t xml:space="preserve">, InsO, 18. Aufl. 2013, § 18 Rn. 14 bis 16). Dies ist schon nach dem Wortlaut nicht zwingend, da das Futur des zweiten Halbsatzes auch auf die „bestehenden Zahlungspflichten“ bezogen werden kann. Jedenfalls sprechen Intention des Gesetzgebers und Normzweck für die Gegenauffassung (vgl. etwa </w:t>
      </w:r>
      <w:r>
        <w:rPr>
          <w:rStyle w:val="emitalicon"/>
          <w:color w:val="000000"/>
        </w:rPr>
        <w:t>Uhlenbruck/Uhlenbruck</w:t>
      </w:r>
      <w:r>
        <w:rPr>
          <w:color w:val="000000"/>
        </w:rPr>
        <w:t xml:space="preserve">, </w:t>
      </w:r>
      <w:r>
        <w:rPr>
          <w:color w:val="000000"/>
        </w:rPr>
        <w:softHyphen/>
        <w:t>InsO, 13. Aufl. 2010, § 18 Rn. 3). Die praktische Auswirkung dieses Meinungsstreits wird dadurch gemildert, dass auch nach hM zukünftige Verbindlichkeiten aus zum Prognosezeitpunkt bereits bestehenden Dauerschuldverhältnissen einzubeziehen sind. Diese Konzession zeigt freilich die Absurdität der Ergebnisse der hM. Dem Schuldner, der seine Beschaffungsseite weitgehend über Dauerschuldverhältnisse abbildet, droht – bei sonst identischen Verhältnissen – die Zahlungsunfähigkeit vor dem Schuldner, der sich insoweit auf die Neubegründung einzelner Schuldverhältnisse stützt.</w:t>
      </w:r>
    </w:p>
    <w:p w14:paraId="49764F6F" w14:textId="77777777" w:rsidR="003F3CA7" w:rsidRDefault="00000000">
      <w:pPr>
        <w:pStyle w:val="divbocontentwrapperbocenterpParagraph"/>
        <w:spacing w:after="120" w:line="360" w:lineRule="auto"/>
        <w:ind w:left="600" w:right="150"/>
        <w:jc w:val="both"/>
        <w:rPr>
          <w:color w:val="000000"/>
        </w:rPr>
      </w:pPr>
      <w:r>
        <w:rPr>
          <w:color w:val="000000"/>
        </w:rPr>
        <w:t xml:space="preserve">Liest man den amtlichen Leitsatz der Besprechungsentscheidung, so meint man, der </w:t>
      </w:r>
      <w:r>
        <w:rPr>
          <w:rStyle w:val="emitalicon"/>
          <w:color w:val="000000"/>
        </w:rPr>
        <w:t xml:space="preserve">BGH </w:t>
      </w:r>
      <w:r>
        <w:rPr>
          <w:color w:val="000000"/>
        </w:rPr>
        <w:t xml:space="preserve">habe sich in diesem Meinungsstreit gegen die hM entschieden. Denn dort wird auf die (wahrscheinliche) Fälligkeit von Zahlungspflichten im Prognosezeitraum abgestellt, ohne dass danach unterschieden wird, wann diese Verbindlichkeiten entstanden sind. Freilich ging es im Streitfall um eine Zahlungspflicht aus einem Bankkredit, der bereits zum Prognosezeitpunkt bestand. Für den </w:t>
      </w:r>
      <w:r>
        <w:rPr>
          <w:rStyle w:val="emitalicon"/>
          <w:color w:val="000000"/>
        </w:rPr>
        <w:t>BGH</w:t>
      </w:r>
      <w:r>
        <w:rPr>
          <w:color w:val="000000"/>
        </w:rPr>
        <w:t xml:space="preserve"> bestand daher keine Veranlassung, den Meinungsstreit zu entscheiden. In den Entscheidungsgründen wird der Meinungsstreit auch nicht einmal erwähnt. Allerdings spricht die Argumentation des </w:t>
      </w:r>
      <w:r>
        <w:rPr>
          <w:rStyle w:val="emitalicon"/>
          <w:color w:val="000000"/>
        </w:rPr>
        <w:t>BGH</w:t>
      </w:r>
      <w:r>
        <w:rPr>
          <w:color w:val="000000"/>
        </w:rPr>
        <w:t xml:space="preserve"> zur Einbeziehung der im Prognosezeitpunkt nicht fälligen Bankverbindlichkeit in die Betrachtung eher dafür, dass der </w:t>
      </w:r>
      <w:r>
        <w:rPr>
          <w:rStyle w:val="emitalicon"/>
          <w:color w:val="000000"/>
        </w:rPr>
        <w:t>BGH</w:t>
      </w:r>
      <w:r>
        <w:rPr>
          <w:color w:val="000000"/>
        </w:rPr>
        <w:t xml:space="preserve"> der hM nicht zu folgen </w:t>
      </w:r>
      <w:r>
        <w:rPr>
          <w:color w:val="000000"/>
        </w:rPr>
        <w:lastRenderedPageBreak/>
        <w:t xml:space="preserve">vermag. So fordert der </w:t>
      </w:r>
      <w:r>
        <w:rPr>
          <w:rStyle w:val="emitalicon"/>
          <w:color w:val="000000"/>
        </w:rPr>
        <w:t>BGH</w:t>
      </w:r>
      <w:r>
        <w:rPr>
          <w:color w:val="000000"/>
        </w:rPr>
        <w:t xml:space="preserve">, dass in die Prognose „die gesamte Finanzlage“ des Schuldners einbezogen wird (Rn. 10). Dies tut die hM gerade nicht. Die der Prognose innewohnende Ungewissheit kann sich nach der Formulierung des </w:t>
      </w:r>
      <w:r>
        <w:rPr>
          <w:rStyle w:val="emitalicon"/>
          <w:color w:val="000000"/>
        </w:rPr>
        <w:t>BGH</w:t>
      </w:r>
      <w:r>
        <w:rPr>
          <w:color w:val="000000"/>
        </w:rPr>
        <w:t xml:space="preserve"> sowohl auf die künftig verfügbaren liquiden Mittel beziehen als auch auf den „Umfang der künftig fällig werdenden Verbindlichkeiten“ (Rn. 10). Der </w:t>
      </w:r>
      <w:r>
        <w:rPr>
          <w:rStyle w:val="emitalicon"/>
          <w:color w:val="000000"/>
        </w:rPr>
        <w:t>BGH</w:t>
      </w:r>
      <w:r>
        <w:rPr>
          <w:color w:val="000000"/>
        </w:rPr>
        <w:t xml:space="preserve"> unterscheidet hier gerade nicht zwischen solchen Verbindlichkeiten, die zum Prognosezeitpunkt bereits bestanden, und solchen, die erst später entstanden sind. Vielmehr stellt er unterschiedslos auf die Fälligkeit im Prognosezeitraum ab.</w:t>
      </w:r>
    </w:p>
    <w:p w14:paraId="5AD21E9A" w14:textId="77777777" w:rsidR="003F3CA7" w:rsidRDefault="00000000">
      <w:pPr>
        <w:pStyle w:val="divbocontentwrapperbocenterpParagraph"/>
        <w:spacing w:after="120" w:line="360" w:lineRule="auto"/>
        <w:ind w:left="600" w:right="150"/>
        <w:jc w:val="both"/>
        <w:rPr>
          <w:color w:val="000000"/>
        </w:rPr>
      </w:pPr>
      <w:r>
        <w:rPr>
          <w:color w:val="000000"/>
        </w:rPr>
        <w:t>3. Lässt sich der Entscheidung also immerhin implizit eine Stellungnahme zu dem Streit entnehmen, ob auch die nach dem Prognosestichtag entstehenden Verbindlichkeiten im Rahmen der Feststellung der drohenden Zahlungsunfähigkeit (</w:t>
      </w:r>
      <w:r>
        <w:rPr>
          <w:rStyle w:val="any"/>
          <w:color w:val="000000"/>
        </w:rPr>
        <w:t>§ </w:t>
      </w:r>
      <w:hyperlink r:id="rId82" w:history="1">
        <w:r>
          <w:rPr>
            <w:rStyle w:val="bocontentwrapperbocenteranotbeck-btn"/>
            <w:color w:val="000000"/>
            <w:u w:val="single" w:color="000000"/>
          </w:rPr>
          <w:t>18</w:t>
        </w:r>
      </w:hyperlink>
      <w:r>
        <w:rPr>
          <w:rStyle w:val="any"/>
          <w:color w:val="000000"/>
        </w:rPr>
        <w:t> </w:t>
      </w:r>
      <w:hyperlink r:id="rId83" w:history="1">
        <w:r>
          <w:rPr>
            <w:rStyle w:val="bocontentwrapperbocenteranotbeck-btn"/>
            <w:color w:val="000000"/>
            <w:u w:val="single" w:color="000000"/>
          </w:rPr>
          <w:t>II</w:t>
        </w:r>
      </w:hyperlink>
      <w:r>
        <w:rPr>
          <w:rStyle w:val="any"/>
          <w:color w:val="000000"/>
        </w:rPr>
        <w:t xml:space="preserve"> InsO</w:t>
      </w:r>
      <w:r>
        <w:rPr>
          <w:color w:val="000000"/>
        </w:rPr>
        <w:t>) in den Liquiditätsplan einzubeziehen sind, so stellt sich die weitere Frage, ob sie auch Rückschlüsse für die verwandte Problematik im Rahmen der Ermittlung der Zahlungsunfähigkeit (</w:t>
      </w:r>
      <w:r>
        <w:rPr>
          <w:rStyle w:val="any"/>
          <w:color w:val="000000"/>
        </w:rPr>
        <w:t>§ </w:t>
      </w:r>
      <w:hyperlink r:id="rId84" w:history="1">
        <w:r>
          <w:rPr>
            <w:rStyle w:val="bocontentwrapperbocenteranotbeck-btn"/>
            <w:color w:val="000000"/>
            <w:u w:val="single" w:color="000000"/>
          </w:rPr>
          <w:t>17</w:t>
        </w:r>
      </w:hyperlink>
      <w:r>
        <w:rPr>
          <w:rStyle w:val="any"/>
          <w:color w:val="000000"/>
        </w:rPr>
        <w:t> </w:t>
      </w:r>
      <w:hyperlink r:id="rId85" w:history="1">
        <w:r>
          <w:rPr>
            <w:rStyle w:val="bocontentwrapperbocenteranotbeck-btn"/>
            <w:color w:val="000000"/>
            <w:u w:val="single" w:color="000000"/>
          </w:rPr>
          <w:t>II</w:t>
        </w:r>
      </w:hyperlink>
      <w:r>
        <w:rPr>
          <w:rStyle w:val="any"/>
          <w:color w:val="000000"/>
        </w:rPr>
        <w:t xml:space="preserve"> InsO</w:t>
      </w:r>
      <w:r>
        <w:rPr>
          <w:color w:val="000000"/>
        </w:rPr>
        <w:t xml:space="preserve">) erlaubt. Hier ist bekanntlich ungeklärt, ob in der zeitraumbezogenen Liquiditätsbilanz den so genannten Aktiva II, also den in dem Drei-Wochen-Zeitraum zu erwartenden Liquiditätszuflüssen, neben den am Stichtag fälligen Verbindlichkeiten auch die so genannten Passiva II, also die in dem Drei-Wochen-Zeitraum fällig werdenden Verbindlichkeiten, gegenüberzustellen sind. Die wohl hM bejaht dies, da anderenfalls ein so genannter Bugwelleneffekt eintreten könne. Die Formulierungen des </w:t>
      </w:r>
      <w:r>
        <w:rPr>
          <w:rStyle w:val="emitalicon"/>
          <w:color w:val="000000"/>
        </w:rPr>
        <w:t>BGH</w:t>
      </w:r>
      <w:r>
        <w:rPr>
          <w:color w:val="000000"/>
        </w:rPr>
        <w:t xml:space="preserve"> in seiner einschlägige Grundsatzentscheidung (</w:t>
      </w:r>
      <w:r>
        <w:rPr>
          <w:rStyle w:val="emitalicon"/>
          <w:color w:val="000000"/>
        </w:rPr>
        <w:t xml:space="preserve">BGHZ </w:t>
      </w:r>
      <w:r>
        <w:rPr>
          <w:rStyle w:val="any"/>
          <w:color w:val="000000"/>
        </w:rPr>
        <w:t xml:space="preserve">163, </w:t>
      </w:r>
      <w:hyperlink r:id="rId86" w:history="1">
        <w:r>
          <w:rPr>
            <w:rStyle w:val="bocontentwrapperbocenteranotbeck-btn"/>
            <w:color w:val="000000"/>
            <w:u w:val="single" w:color="000000"/>
          </w:rPr>
          <w:t>134</w:t>
        </w:r>
      </w:hyperlink>
      <w:r>
        <w:rPr>
          <w:color w:val="000000"/>
        </w:rPr>
        <w:t xml:space="preserve"> = </w:t>
      </w:r>
      <w:r>
        <w:rPr>
          <w:rStyle w:val="any"/>
          <w:color w:val="000000"/>
        </w:rPr>
        <w:t xml:space="preserve">NZI 2005, </w:t>
      </w:r>
      <w:hyperlink r:id="rId87" w:history="1">
        <w:r>
          <w:rPr>
            <w:rStyle w:val="bocontentwrapperbocenteranotbeck-btn"/>
            <w:color w:val="000000"/>
            <w:u w:val="single" w:color="000000"/>
          </w:rPr>
          <w:t>547</w:t>
        </w:r>
      </w:hyperlink>
      <w:r>
        <w:rPr>
          <w:color w:val="000000"/>
        </w:rPr>
        <w:t xml:space="preserve">) sprechen dafür, dass er anderer Ansicht ist und vielmehr der „Bugwellentheorie“ folgt. Die Formulierungen sind letztlich aber nicht ganz eindeutig (vgl. zum Streitstand etwa </w:t>
      </w:r>
      <w:r>
        <w:rPr>
          <w:rStyle w:val="emitalicon"/>
          <w:color w:val="000000"/>
        </w:rPr>
        <w:t>Karsten Schmidt/Karsten Schmidt</w:t>
      </w:r>
      <w:r>
        <w:rPr>
          <w:rStyle w:val="any"/>
          <w:color w:val="000000"/>
        </w:rPr>
        <w:t xml:space="preserve">, § 17 Rn. 27 </w:t>
      </w:r>
      <w:r>
        <w:rPr>
          <w:color w:val="000000"/>
        </w:rPr>
        <w:t xml:space="preserve">bis 29). Der Umstand, dass der </w:t>
      </w:r>
      <w:r>
        <w:rPr>
          <w:rStyle w:val="emitalicon"/>
          <w:color w:val="000000"/>
        </w:rPr>
        <w:t>BGH</w:t>
      </w:r>
      <w:r>
        <w:rPr>
          <w:color w:val="000000"/>
        </w:rPr>
        <w:t xml:space="preserve"> in sämtlichen seither ergangenen Entscheidungen die Formulierungen aus der vorzitierten Grundsatzentscheidung wiederholt (vgl. zuletzt etwa </w:t>
      </w:r>
      <w:r>
        <w:rPr>
          <w:rStyle w:val="emitalicon"/>
          <w:color w:val="000000"/>
        </w:rPr>
        <w:t xml:space="preserve">BGH, </w:t>
      </w:r>
      <w:r>
        <w:rPr>
          <w:rStyle w:val="any"/>
          <w:color w:val="000000"/>
        </w:rPr>
        <w:t xml:space="preserve">NZI 2013, </w:t>
      </w:r>
      <w:hyperlink r:id="rId88" w:history="1">
        <w:r>
          <w:rPr>
            <w:rStyle w:val="bocontentwrapperbocenteranotbeck-btn"/>
            <w:color w:val="000000"/>
            <w:u w:val="single" w:color="000000"/>
          </w:rPr>
          <w:t>932</w:t>
        </w:r>
      </w:hyperlink>
      <w:r>
        <w:rPr>
          <w:rStyle w:val="any"/>
          <w:color w:val="000000"/>
        </w:rPr>
        <w:t xml:space="preserve"> Rn. </w:t>
      </w:r>
      <w:hyperlink r:id="rId89" w:history="1">
        <w:r>
          <w:rPr>
            <w:rStyle w:val="bocontentwrapperbocenteranotbeck-btn"/>
            <w:color w:val="000000"/>
            <w:u w:val="single" w:color="000000"/>
          </w:rPr>
          <w:t>7</w:t>
        </w:r>
      </w:hyperlink>
      <w:r>
        <w:rPr>
          <w:color w:val="000000"/>
        </w:rPr>
        <w:t xml:space="preserve">), obwohl ihm der sich daran entzündende Streit um die Bugwellentheorie bewusst ist, spricht eher dafür, dass seine Formulierungen beim Wortlaut zu nehmen sind und nicht etwa lediglich eine redaktionelle Unklarheit </w:t>
      </w:r>
    </w:p>
    <w:tbl>
      <w:tblPr>
        <w:tblStyle w:val="table"/>
        <w:tblW w:w="5000" w:type="pct"/>
        <w:tblInd w:w="600" w:type="dxa"/>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3F3CA7" w14:paraId="4FDDBA9C" w14:textId="77777777">
        <w:tc>
          <w:tcPr>
            <w:tcW w:w="4000" w:type="pct"/>
            <w:shd w:val="clear" w:color="auto" w:fill="F0F0F0"/>
            <w:tcMar>
              <w:top w:w="0" w:type="dxa"/>
              <w:left w:w="0" w:type="dxa"/>
              <w:bottom w:w="0" w:type="dxa"/>
              <w:right w:w="0" w:type="dxa"/>
            </w:tcMar>
            <w:vAlign w:val="center"/>
            <w:hideMark/>
          </w:tcPr>
          <w:p w14:paraId="49ECEC83" w14:textId="77777777" w:rsidR="003F3CA7" w:rsidRDefault="00000000">
            <w:pPr>
              <w:pStyle w:val="divpgdescrpspantitel"/>
              <w:spacing w:after="120"/>
              <w:ind w:left="330"/>
              <w:rPr>
                <w:color w:val="000000"/>
              </w:rPr>
            </w:pPr>
            <w:r>
              <w:rPr>
                <w:color w:val="000000"/>
              </w:rPr>
              <w:t>BGH: Prognose drohender Zahlungsunfähigkeit</w:t>
            </w:r>
            <w:r>
              <w:rPr>
                <w:rStyle w:val="citation"/>
                <w:color w:val="000000"/>
              </w:rPr>
              <w:t>(NZI 2014, 259)</w:t>
            </w:r>
          </w:p>
        </w:tc>
        <w:tc>
          <w:tcPr>
            <w:tcW w:w="1000" w:type="pct"/>
            <w:shd w:val="clear" w:color="auto" w:fill="F0F0F0"/>
            <w:tcMar>
              <w:top w:w="0" w:type="dxa"/>
              <w:left w:w="0" w:type="dxa"/>
              <w:bottom w:w="0" w:type="dxa"/>
              <w:right w:w="0" w:type="dxa"/>
            </w:tcMar>
            <w:vAlign w:val="center"/>
            <w:hideMark/>
          </w:tcPr>
          <w:p w14:paraId="213A2D04" w14:textId="77777777" w:rsidR="003F3CA7" w:rsidRDefault="00000000">
            <w:pPr>
              <w:pStyle w:val="divbocontentwrapperbocenterpParagraph"/>
              <w:pBdr>
                <w:top w:val="none" w:sz="0" w:space="6" w:color="auto"/>
                <w:right w:val="none" w:sz="0" w:space="3" w:color="auto"/>
              </w:pBdr>
              <w:spacing w:after="120"/>
              <w:ind w:left="225" w:right="300"/>
              <w:jc w:val="right"/>
              <w:rPr>
                <w:color w:val="000000"/>
              </w:rPr>
            </w:pPr>
            <w:r>
              <w:rPr>
                <w:rStyle w:val="divpgnavppgactspanpg"/>
                <w:color w:val="000000"/>
              </w:rPr>
              <w:t>262</w:t>
            </w:r>
          </w:p>
        </w:tc>
      </w:tr>
    </w:tbl>
    <w:p w14:paraId="084CC971" w14:textId="77777777" w:rsidR="003F3CA7" w:rsidRDefault="00000000">
      <w:pPr>
        <w:pStyle w:val="divbocontentwrapperbocenterpParagraph"/>
        <w:spacing w:after="120" w:line="360" w:lineRule="auto"/>
        <w:ind w:left="600" w:right="150"/>
        <w:jc w:val="both"/>
        <w:rPr>
          <w:color w:val="000000"/>
        </w:rPr>
      </w:pPr>
      <w:r>
        <w:rPr>
          <w:color w:val="000000"/>
        </w:rPr>
        <w:t xml:space="preserve">darstellen (so im Ergebnis auch </w:t>
      </w:r>
      <w:r>
        <w:rPr>
          <w:rStyle w:val="emitalicon"/>
          <w:color w:val="000000"/>
        </w:rPr>
        <w:t>Karsten Schmidt/Karsten Schmidt</w:t>
      </w:r>
      <w:r>
        <w:rPr>
          <w:rStyle w:val="any"/>
          <w:color w:val="000000"/>
        </w:rPr>
        <w:t xml:space="preserve">, § 17 Rn. 28, </w:t>
      </w:r>
      <w:r>
        <w:rPr>
          <w:color w:val="000000"/>
        </w:rPr>
        <w:t xml:space="preserve">der die Frage aber als noch nicht ausdiskutiert bezeichnet). In dem Besprechungsurteil verlangt der </w:t>
      </w:r>
      <w:r>
        <w:rPr>
          <w:rStyle w:val="emitalicon"/>
          <w:color w:val="000000"/>
        </w:rPr>
        <w:t>BGH</w:t>
      </w:r>
      <w:r>
        <w:rPr>
          <w:color w:val="000000"/>
        </w:rPr>
        <w:t xml:space="preserve"> – wie oben unter 2 dargestellt – zur Feststellung der drohenden Zahlungsfähigkeit iSv </w:t>
      </w:r>
      <w:r>
        <w:rPr>
          <w:rStyle w:val="any"/>
          <w:color w:val="000000"/>
        </w:rPr>
        <w:t>§ </w:t>
      </w:r>
      <w:hyperlink r:id="rId90" w:history="1">
        <w:r>
          <w:rPr>
            <w:rStyle w:val="bocontentwrapperbocenteranotbeck-btn"/>
            <w:color w:val="000000"/>
            <w:u w:val="single" w:color="000000"/>
          </w:rPr>
          <w:t>18</w:t>
        </w:r>
      </w:hyperlink>
      <w:r>
        <w:rPr>
          <w:rStyle w:val="any"/>
          <w:color w:val="000000"/>
        </w:rPr>
        <w:t> </w:t>
      </w:r>
      <w:hyperlink r:id="rId91" w:history="1">
        <w:r>
          <w:rPr>
            <w:rStyle w:val="bocontentwrapperbocenteranotbeck-btn"/>
            <w:color w:val="000000"/>
            <w:u w:val="single" w:color="000000"/>
          </w:rPr>
          <w:t>II</w:t>
        </w:r>
      </w:hyperlink>
      <w:r>
        <w:rPr>
          <w:rStyle w:val="any"/>
          <w:color w:val="000000"/>
        </w:rPr>
        <w:t xml:space="preserve"> InsO</w:t>
      </w:r>
      <w:r>
        <w:rPr>
          <w:color w:val="000000"/>
        </w:rPr>
        <w:t xml:space="preserve"> eine Einbeziehung der gesamten Finanzlage. Überträgt man diese Forderung auf die Feststellung der Zahlungsunfähigkeit iSv </w:t>
      </w:r>
      <w:r>
        <w:rPr>
          <w:rStyle w:val="any"/>
          <w:color w:val="000000"/>
        </w:rPr>
        <w:t>§ </w:t>
      </w:r>
      <w:hyperlink r:id="rId92" w:history="1">
        <w:r>
          <w:rPr>
            <w:rStyle w:val="bocontentwrapperbocenteranotbeck-btn"/>
            <w:color w:val="000000"/>
            <w:u w:val="single" w:color="000000"/>
          </w:rPr>
          <w:t>17</w:t>
        </w:r>
      </w:hyperlink>
      <w:r>
        <w:rPr>
          <w:rStyle w:val="any"/>
          <w:color w:val="000000"/>
        </w:rPr>
        <w:t> </w:t>
      </w:r>
      <w:hyperlink r:id="rId93" w:history="1">
        <w:r>
          <w:rPr>
            <w:rStyle w:val="bocontentwrapperbocenteranotbeck-btn"/>
            <w:color w:val="000000"/>
            <w:u w:val="single" w:color="000000"/>
          </w:rPr>
          <w:t>II</w:t>
        </w:r>
      </w:hyperlink>
      <w:r>
        <w:rPr>
          <w:rStyle w:val="any"/>
          <w:color w:val="000000"/>
        </w:rPr>
        <w:t xml:space="preserve"> InsO</w:t>
      </w:r>
      <w:r>
        <w:rPr>
          <w:color w:val="000000"/>
        </w:rPr>
        <w:t xml:space="preserve">, so müssten in die zeitraumbezogene Liquiditätsbilanz auch die Passiva II einbezogen werden, da nur dann die gesamte Finanzlage des Schuldners abgebildet wird. Diese Überlegungen zum Insolvenzgrund der drohenden Zahlungsunfähigkeit </w:t>
      </w:r>
      <w:r>
        <w:rPr>
          <w:color w:val="000000"/>
        </w:rPr>
        <w:lastRenderedPageBreak/>
        <w:t xml:space="preserve">lassen sich aber nicht auf den Insolvenzgrund der Zahlungsunfähigkeit übertragen. Bei der drohenden Zahlungsfähigkeit handelt es sich um einen lediglich fakultativen Insolvenzgrund, der per definitionem zeitraumbezogen ist. Die Zahlungsunfähigkeit ist dagegen ein zwingender Insolvenzgrund, der nach dem Gesetzeswortlaut des </w:t>
      </w:r>
      <w:r>
        <w:rPr>
          <w:rStyle w:val="any"/>
          <w:color w:val="000000"/>
        </w:rPr>
        <w:t>§ </w:t>
      </w:r>
      <w:hyperlink r:id="rId94" w:history="1">
        <w:r>
          <w:rPr>
            <w:rStyle w:val="bocontentwrapperbocenteranotbeck-btn"/>
            <w:color w:val="000000"/>
            <w:u w:val="single" w:color="000000"/>
          </w:rPr>
          <w:t>17</w:t>
        </w:r>
      </w:hyperlink>
      <w:r>
        <w:rPr>
          <w:rStyle w:val="any"/>
          <w:color w:val="000000"/>
        </w:rPr>
        <w:t> </w:t>
      </w:r>
      <w:hyperlink r:id="rId95" w:history="1">
        <w:r>
          <w:rPr>
            <w:rStyle w:val="bocontentwrapperbocenteranotbeck-btn"/>
            <w:color w:val="000000"/>
            <w:u w:val="single" w:color="000000"/>
          </w:rPr>
          <w:t>II</w:t>
        </w:r>
      </w:hyperlink>
      <w:r>
        <w:rPr>
          <w:rStyle w:val="any"/>
          <w:color w:val="000000"/>
        </w:rPr>
        <w:t xml:space="preserve"> InsO</w:t>
      </w:r>
      <w:r>
        <w:rPr>
          <w:color w:val="000000"/>
        </w:rPr>
        <w:t xml:space="preserve"> zeitpunktbezogen ist und keinerlei Raum für eine Erheblichkeitsschwelle hinsichtlich der Deckungslücke lässt. Die Grundsatzentscheidung </w:t>
      </w:r>
      <w:r>
        <w:rPr>
          <w:rStyle w:val="emitalicon"/>
          <w:color w:val="000000"/>
        </w:rPr>
        <w:t xml:space="preserve">BGHZ </w:t>
      </w:r>
      <w:r>
        <w:rPr>
          <w:rStyle w:val="any"/>
          <w:color w:val="000000"/>
        </w:rPr>
        <w:t xml:space="preserve">163, </w:t>
      </w:r>
      <w:hyperlink r:id="rId96" w:history="1">
        <w:r>
          <w:rPr>
            <w:rStyle w:val="bocontentwrapperbocenteranotbeck-btn"/>
            <w:color w:val="000000"/>
            <w:u w:val="single" w:color="000000"/>
          </w:rPr>
          <w:t>134</w:t>
        </w:r>
      </w:hyperlink>
      <w:r>
        <w:rPr>
          <w:color w:val="000000"/>
        </w:rPr>
        <w:t xml:space="preserve"> (</w:t>
      </w:r>
      <w:r>
        <w:rPr>
          <w:rStyle w:val="any"/>
          <w:color w:val="000000"/>
        </w:rPr>
        <w:t xml:space="preserve">NZI 2005, </w:t>
      </w:r>
      <w:hyperlink r:id="rId97" w:history="1">
        <w:r>
          <w:rPr>
            <w:rStyle w:val="bocontentwrapperbocenteranotbeck-btn"/>
            <w:color w:val="000000"/>
            <w:u w:val="single" w:color="000000"/>
          </w:rPr>
          <w:t>547</w:t>
        </w:r>
      </w:hyperlink>
      <w:r>
        <w:rPr>
          <w:color w:val="000000"/>
        </w:rPr>
        <w:t xml:space="preserve">) trägt dem Umstand Rechnung, dass dieser Wortlaut in Anbetracht der an die Zahlungsunfähigkeit geknüpften Rechtsfolgen zu streng ist und hat die Definition des </w:t>
      </w:r>
      <w:r>
        <w:rPr>
          <w:rStyle w:val="any"/>
          <w:color w:val="000000"/>
        </w:rPr>
        <w:t>§ </w:t>
      </w:r>
      <w:hyperlink r:id="rId98" w:history="1">
        <w:r>
          <w:rPr>
            <w:rStyle w:val="bocontentwrapperbocenteranotbeck-btn"/>
            <w:color w:val="000000"/>
            <w:u w:val="single" w:color="000000"/>
          </w:rPr>
          <w:t>17</w:t>
        </w:r>
      </w:hyperlink>
      <w:r>
        <w:rPr>
          <w:rStyle w:val="any"/>
          <w:color w:val="000000"/>
        </w:rPr>
        <w:t> </w:t>
      </w:r>
      <w:hyperlink r:id="rId99" w:history="1">
        <w:r>
          <w:rPr>
            <w:rStyle w:val="bocontentwrapperbocenteranotbeck-btn"/>
            <w:color w:val="000000"/>
            <w:u w:val="single" w:color="000000"/>
          </w:rPr>
          <w:t>II</w:t>
        </w:r>
      </w:hyperlink>
      <w:r>
        <w:rPr>
          <w:rStyle w:val="any"/>
          <w:color w:val="000000"/>
        </w:rPr>
        <w:t xml:space="preserve"> InsO</w:t>
      </w:r>
      <w:r>
        <w:rPr>
          <w:color w:val="000000"/>
        </w:rPr>
        <w:t xml:space="preserve"> daher in zeitlicher und quantitativer Richtung aufgeweicht. Die Bugwellentheorie ist der – überzogene – Ausfluss dieses grundsätzlich zu begrüßenden Bestrebens. Auf Grund der aufgezeigten Unterschiede können Überlegungen zum Insolvenzgrund der drohenden Zahlungsunfähigkeit nicht bei der Entscheidung der Frage fruchtbar gemacht werden, welche Verbindlichkeiten in die zeitraumbezogene Liquiditätsbilanz zur Feststellung der Zahlungsunfähigkeit einzubeziehen sind.</w:t>
      </w:r>
    </w:p>
    <w:p w14:paraId="04D8B491" w14:textId="77777777" w:rsidR="003F3CA7" w:rsidRDefault="00000000">
      <w:pPr>
        <w:pStyle w:val="divbocontentwrapperbocenterpParagraph"/>
        <w:spacing w:after="120" w:line="360" w:lineRule="auto"/>
        <w:ind w:left="600" w:right="150"/>
        <w:jc w:val="both"/>
        <w:rPr>
          <w:color w:val="000000"/>
        </w:rPr>
      </w:pPr>
      <w:r>
        <w:rPr>
          <w:color w:val="000000"/>
        </w:rPr>
        <w:t xml:space="preserve">4. Diese Unterschiede der Insolvenzgründe des </w:t>
      </w:r>
      <w:r>
        <w:rPr>
          <w:rStyle w:val="any"/>
          <w:color w:val="000000"/>
        </w:rPr>
        <w:t>§ </w:t>
      </w:r>
      <w:hyperlink r:id="rId100" w:history="1">
        <w:r>
          <w:rPr>
            <w:rStyle w:val="bocontentwrapperbocenteranotbeck-btn"/>
            <w:color w:val="000000"/>
            <w:u w:val="single" w:color="000000"/>
          </w:rPr>
          <w:t>17</w:t>
        </w:r>
      </w:hyperlink>
      <w:r>
        <w:rPr>
          <w:rStyle w:val="any"/>
          <w:color w:val="000000"/>
        </w:rPr>
        <w:t xml:space="preserve"> InsO</w:t>
      </w:r>
      <w:r>
        <w:rPr>
          <w:color w:val="000000"/>
        </w:rPr>
        <w:t xml:space="preserve"> und </w:t>
      </w:r>
      <w:r>
        <w:rPr>
          <w:rStyle w:val="any"/>
          <w:color w:val="000000"/>
        </w:rPr>
        <w:t>§ </w:t>
      </w:r>
      <w:hyperlink r:id="rId101" w:history="1">
        <w:r>
          <w:rPr>
            <w:rStyle w:val="bocontentwrapperbocenteranotbeck-btn"/>
            <w:color w:val="000000"/>
            <w:u w:val="single" w:color="000000"/>
          </w:rPr>
          <w:t>18</w:t>
        </w:r>
      </w:hyperlink>
      <w:r>
        <w:rPr>
          <w:rStyle w:val="any"/>
          <w:color w:val="000000"/>
        </w:rPr>
        <w:t xml:space="preserve"> InsO</w:t>
      </w:r>
      <w:r>
        <w:rPr>
          <w:color w:val="000000"/>
        </w:rPr>
        <w:t xml:space="preserve"> sind auch die Ursache dafür, dass die zu </w:t>
      </w:r>
      <w:r>
        <w:rPr>
          <w:rStyle w:val="any"/>
          <w:color w:val="000000"/>
        </w:rPr>
        <w:t>§ </w:t>
      </w:r>
      <w:hyperlink r:id="rId102" w:history="1">
        <w:r>
          <w:rPr>
            <w:rStyle w:val="bocontentwrapperbocenteranotbeck-btn"/>
            <w:color w:val="000000"/>
            <w:u w:val="single" w:color="000000"/>
          </w:rPr>
          <w:t>17</w:t>
        </w:r>
      </w:hyperlink>
      <w:r>
        <w:rPr>
          <w:rStyle w:val="any"/>
          <w:color w:val="000000"/>
        </w:rPr>
        <w:t> </w:t>
      </w:r>
      <w:hyperlink r:id="rId103" w:history="1">
        <w:r>
          <w:rPr>
            <w:rStyle w:val="bocontentwrapperbocenteranotbeck-btn"/>
            <w:color w:val="000000"/>
            <w:u w:val="single" w:color="000000"/>
          </w:rPr>
          <w:t>II</w:t>
        </w:r>
      </w:hyperlink>
      <w:r>
        <w:rPr>
          <w:rStyle w:val="any"/>
          <w:color w:val="000000"/>
        </w:rPr>
        <w:t xml:space="preserve"> InsO</w:t>
      </w:r>
      <w:r>
        <w:rPr>
          <w:color w:val="000000"/>
        </w:rPr>
        <w:t xml:space="preserve"> aufgestellten Grundsätze von </w:t>
      </w:r>
      <w:r>
        <w:rPr>
          <w:rStyle w:val="emitalicon"/>
          <w:color w:val="000000"/>
        </w:rPr>
        <w:t>BGHZ</w:t>
      </w:r>
      <w:r>
        <w:rPr>
          <w:rStyle w:val="any"/>
          <w:color w:val="000000"/>
        </w:rPr>
        <w:t xml:space="preserve"> 163, </w:t>
      </w:r>
      <w:hyperlink r:id="rId104" w:history="1">
        <w:r>
          <w:rPr>
            <w:rStyle w:val="bocontentwrapperbocenteranotbeck-btn"/>
            <w:color w:val="000000"/>
            <w:u w:val="single" w:color="000000"/>
          </w:rPr>
          <w:t>134</w:t>
        </w:r>
      </w:hyperlink>
      <w:r>
        <w:rPr>
          <w:color w:val="000000"/>
        </w:rPr>
        <w:t xml:space="preserve"> (</w:t>
      </w:r>
      <w:r>
        <w:rPr>
          <w:rStyle w:val="any"/>
          <w:color w:val="000000"/>
        </w:rPr>
        <w:t xml:space="preserve">NZI 2005, </w:t>
      </w:r>
      <w:hyperlink r:id="rId105" w:history="1">
        <w:r>
          <w:rPr>
            <w:rStyle w:val="bocontentwrapperbocenteranotbeck-btn"/>
            <w:color w:val="000000"/>
            <w:u w:val="single" w:color="000000"/>
          </w:rPr>
          <w:t>547</w:t>
        </w:r>
      </w:hyperlink>
      <w:r>
        <w:rPr>
          <w:color w:val="000000"/>
        </w:rPr>
        <w:t xml:space="preserve">) nicht umgekehrt im Rahmen der Feststellung der drohenden Zahlungsunfähigkeit angewandt werden können (so aber ohne nähere Begründung </w:t>
      </w:r>
      <w:r>
        <w:rPr>
          <w:rStyle w:val="emitalicon"/>
          <w:color w:val="000000"/>
        </w:rPr>
        <w:t>Uhlenbruck/Uhlenbruck</w:t>
      </w:r>
      <w:r>
        <w:rPr>
          <w:rStyle w:val="any"/>
          <w:color w:val="000000"/>
        </w:rPr>
        <w:t>, § 18 Rn. </w:t>
      </w:r>
      <w:hyperlink r:id="rId106" w:history="1">
        <w:r>
          <w:rPr>
            <w:rStyle w:val="bocontentwrapperbocenteranotbeck-btn"/>
            <w:color w:val="000000"/>
            <w:u w:val="single" w:color="000000"/>
          </w:rPr>
          <w:t>8</w:t>
        </w:r>
      </w:hyperlink>
      <w:r>
        <w:rPr>
          <w:color w:val="000000"/>
        </w:rPr>
        <w:t xml:space="preserve">). Eine in diesem Fall gegebenenfalls vorzunehmende Doppelprognose würde auch erhebliche praktische Schwierigkeiten aufwerfen (vgl. </w:t>
      </w:r>
      <w:r>
        <w:rPr>
          <w:rStyle w:val="emitalicon"/>
          <w:color w:val="000000"/>
        </w:rPr>
        <w:t>Karsten Schmidt/Karsten Schmidt</w:t>
      </w:r>
      <w:r>
        <w:rPr>
          <w:rStyle w:val="any"/>
          <w:color w:val="000000"/>
        </w:rPr>
        <w:t>, § 18 Rn. 12</w:t>
      </w:r>
      <w:r>
        <w:rPr>
          <w:color w:val="000000"/>
        </w:rPr>
        <w:t>).</w:t>
      </w:r>
    </w:p>
    <w:p w14:paraId="0893E137" w14:textId="77777777" w:rsidR="003F3CA7" w:rsidRDefault="00000000">
      <w:pPr>
        <w:pStyle w:val="divbocontentwrapperbocenterpParagraph"/>
        <w:spacing w:after="120" w:line="360" w:lineRule="auto"/>
        <w:ind w:left="600" w:right="150"/>
        <w:jc w:val="both"/>
        <w:rPr>
          <w:color w:val="000000"/>
        </w:rPr>
      </w:pPr>
      <w:r>
        <w:rPr>
          <w:color w:val="000000"/>
        </w:rPr>
        <w:t xml:space="preserve">5. Der Besprechungsentscheidung ist im Ergebnis und in der Argumentation zuzustimmen. Wünschenswert wäre es gewesen, wenn der </w:t>
      </w:r>
      <w:r>
        <w:rPr>
          <w:rStyle w:val="emitalicon"/>
          <w:color w:val="000000"/>
        </w:rPr>
        <w:t>BGH</w:t>
      </w:r>
      <w:r>
        <w:rPr>
          <w:color w:val="000000"/>
        </w:rPr>
        <w:t xml:space="preserve"> im Hinblick auf den entsprechenden Meinungsstreit (obiter) klar zum Ausdruck gebracht hätte, dass auch erst im Prognosezeitraum entstandene Verbindlichkeiten bei der Ermittlung der drohenden Zahlungsunfähigkeit zu berücksichtigen sind. Nicht erwartet werden konnte demgegenüber, dass der </w:t>
      </w:r>
      <w:r>
        <w:rPr>
          <w:rStyle w:val="emitalicon"/>
          <w:color w:val="000000"/>
        </w:rPr>
        <w:t>BGH</w:t>
      </w:r>
      <w:r>
        <w:rPr>
          <w:color w:val="000000"/>
        </w:rPr>
        <w:t xml:space="preserve"> sich zur Bugwellenproblematik im Rahmen des </w:t>
      </w:r>
      <w:r>
        <w:rPr>
          <w:rStyle w:val="any"/>
          <w:color w:val="000000"/>
        </w:rPr>
        <w:t>§ </w:t>
      </w:r>
      <w:hyperlink r:id="rId107" w:history="1">
        <w:r>
          <w:rPr>
            <w:rStyle w:val="bocontentwrapperbocenteranotbeck-btn"/>
            <w:color w:val="000000"/>
            <w:u w:val="single" w:color="000000"/>
          </w:rPr>
          <w:t>17</w:t>
        </w:r>
      </w:hyperlink>
      <w:r>
        <w:rPr>
          <w:rStyle w:val="any"/>
          <w:color w:val="000000"/>
        </w:rPr>
        <w:t> </w:t>
      </w:r>
      <w:hyperlink r:id="rId108" w:history="1">
        <w:r>
          <w:rPr>
            <w:rStyle w:val="bocontentwrapperbocenteranotbeck-btn"/>
            <w:color w:val="000000"/>
            <w:u w:val="single" w:color="000000"/>
          </w:rPr>
          <w:t>II</w:t>
        </w:r>
      </w:hyperlink>
      <w:r>
        <w:rPr>
          <w:rStyle w:val="any"/>
          <w:color w:val="000000"/>
        </w:rPr>
        <w:t xml:space="preserve"> InsO</w:t>
      </w:r>
      <w:r>
        <w:rPr>
          <w:color w:val="000000"/>
        </w:rPr>
        <w:t xml:space="preserve"> äußert.</w:t>
      </w:r>
      <w:bookmarkEnd w:id="15"/>
    </w:p>
    <w:p w14:paraId="2C33B9D9" w14:textId="77777777" w:rsidR="003F3CA7" w:rsidRDefault="00000000">
      <w:pPr>
        <w:pStyle w:val="divbocontentwrapperbocenterpParagraph"/>
        <w:spacing w:after="120" w:line="360" w:lineRule="auto"/>
        <w:ind w:left="600" w:right="150"/>
        <w:jc w:val="both"/>
        <w:rPr>
          <w:color w:val="000000"/>
        </w:rPr>
      </w:pPr>
      <w:r>
        <w:rPr>
          <w:color w:val="000000"/>
        </w:rPr>
        <w:t>Rechtsanwalt und WP Dr. Christian Frystatzki, Köln/Bonn</w:t>
      </w:r>
    </w:p>
    <w:p w14:paraId="576D7C84" w14:textId="77777777" w:rsidR="003F3CA7" w:rsidRDefault="00000000">
      <w:pPr>
        <w:pStyle w:val="printcontenth3"/>
        <w:spacing w:line="360" w:lineRule="auto"/>
        <w:ind w:left="150" w:right="150"/>
        <w:outlineLvl w:val="2"/>
        <w:rPr>
          <w:b/>
          <w:bCs/>
        </w:rPr>
      </w:pPr>
      <w:r>
        <w:rPr>
          <w:b/>
          <w:bCs/>
        </w:rPr>
        <w:t>Vorinstanzen:</w:t>
      </w:r>
    </w:p>
    <w:p w14:paraId="1E4EC71F" w14:textId="77777777" w:rsidR="003F3CA7" w:rsidRDefault="00000000">
      <w:pPr>
        <w:pStyle w:val="printcontentdivnotlawversion"/>
        <w:spacing w:line="360" w:lineRule="auto"/>
        <w:ind w:left="150" w:right="150"/>
      </w:pPr>
      <w:r>
        <w:t>LG Hamburg | 334 O 253/05 | 31.01.2008 | OLG Hamburg | 11 U 25/08 | 27.05.2011</w:t>
      </w:r>
    </w:p>
    <w:p w14:paraId="4F39AAB5" w14:textId="77777777" w:rsidR="003F3CA7" w:rsidRDefault="00000000">
      <w:pPr>
        <w:pStyle w:val="printcontenth3"/>
        <w:spacing w:line="360" w:lineRule="auto"/>
        <w:ind w:left="150" w:right="150"/>
        <w:outlineLvl w:val="2"/>
        <w:rPr>
          <w:b/>
          <w:bCs/>
        </w:rPr>
      </w:pPr>
      <w:r>
        <w:rPr>
          <w:b/>
          <w:bCs/>
        </w:rPr>
        <w:t>Entscheidung zitiert in:</w:t>
      </w:r>
    </w:p>
    <w:p w14:paraId="7256AF4D" w14:textId="77777777" w:rsidR="003F3CA7" w:rsidRDefault="00000000">
      <w:pPr>
        <w:pStyle w:val="printcontentdivnotlawversion"/>
        <w:spacing w:line="360" w:lineRule="auto"/>
        <w:ind w:left="150" w:right="150"/>
      </w:pPr>
      <w:r>
        <w:t>Büchern | Heyd/Kautenburger-Behr/Wind, Bilanzierung und Besteuerung in Krise und Insolvenz, 1. A. 2019 | Rechtsprechung | Verwaltungsvorschriften | Aufsätzen | Meldungen</w:t>
      </w:r>
    </w:p>
    <w:p w14:paraId="02901D1B" w14:textId="77777777" w:rsidR="003F3CA7" w:rsidRDefault="00000000">
      <w:pPr>
        <w:pStyle w:val="printcontenth3"/>
        <w:spacing w:line="360" w:lineRule="auto"/>
        <w:ind w:left="150" w:right="150"/>
        <w:outlineLvl w:val="2"/>
        <w:rPr>
          <w:b/>
          <w:bCs/>
        </w:rPr>
      </w:pPr>
      <w:r>
        <w:rPr>
          <w:b/>
          <w:bCs/>
        </w:rPr>
        <w:t>Parallelfundstellen:</w:t>
      </w:r>
    </w:p>
    <w:p w14:paraId="6DB93925" w14:textId="77777777" w:rsidR="003F3CA7" w:rsidRDefault="00000000">
      <w:pPr>
        <w:pStyle w:val="printcontentdivnotlawversion"/>
        <w:spacing w:line="360" w:lineRule="auto"/>
        <w:ind w:left="150" w:right="150"/>
      </w:pPr>
      <w:r>
        <w:lastRenderedPageBreak/>
        <w:t>Entscheidungen | NJW-RR 2014, 235 | DStR 2014, 433 | NZG 2014, 273 | NZM 2014, 197 | NJ 2014, 169 | BeckRS 2014, 01205 | IBRRS 2014, 0276 | LSK 2014, 40685 (Ls.) | Entscheidungsbesprechungen | IMR 2014, 223 (RA und FA für Bau- und Architektenrecht Dr. Claus Schmitz, München) | GWR 2014, 65 (Jan Froehner) | FD-InsR 2014, 355428 (de Bra) | Weitere Fundstellen | DB 2014, 172 | DZWir 2014, 192 (m. Anm. Torsten Göcke) | EWiR 2014, 391 (m. Anm. Maik Luttmann) | GmbHR 2014, 259 (m. Anm. Dr. Jochen Blöse) | GmbH-Stpr 2014, 251 | MDR 2014, 371 | ZInsO 2014, 77 | ZIP 2014, 183</w:t>
      </w:r>
    </w:p>
    <w:p w14:paraId="75D24451" w14:textId="77777777" w:rsidR="003F3CA7" w:rsidRDefault="00000000">
      <w:pPr>
        <w:pStyle w:val="printcontenth3"/>
        <w:spacing w:line="360" w:lineRule="auto"/>
        <w:ind w:left="150" w:right="150"/>
        <w:outlineLvl w:val="2"/>
        <w:rPr>
          <w:b/>
          <w:bCs/>
        </w:rPr>
      </w:pPr>
      <w:r>
        <w:rPr>
          <w:b/>
          <w:bCs/>
        </w:rPr>
        <w:t>Weiteres zum Aktenzeichen:</w:t>
      </w:r>
    </w:p>
    <w:p w14:paraId="1E93BC35" w14:textId="77777777" w:rsidR="003F3CA7" w:rsidRDefault="00000000">
      <w:pPr>
        <w:pStyle w:val="printcontentdivnotlawversion"/>
        <w:spacing w:line="360" w:lineRule="auto"/>
        <w:ind w:left="150" w:right="150"/>
      </w:pPr>
      <w:r>
        <w:t>becklink 355730 | FD-DStR 2014, 355730</w:t>
      </w:r>
    </w:p>
    <w:p w14:paraId="24A7FC92" w14:textId="7EB30357" w:rsidR="003F3CA7" w:rsidRDefault="003F3CA7">
      <w:pPr>
        <w:pStyle w:val="tdm-long"/>
        <w:spacing w:before="225" w:after="2"/>
        <w:ind w:right="150"/>
        <w:rPr>
          <w:sz w:val="16"/>
          <w:szCs w:val="16"/>
        </w:rPr>
      </w:pPr>
    </w:p>
    <w:sectPr w:rsidR="003F3CA7">
      <w:headerReference w:type="even" r:id="rId109"/>
      <w:headerReference w:type="default" r:id="rId110"/>
      <w:headerReference w:type="first" r:id="rId111"/>
      <w:pgSz w:w="11906" w:h="16838"/>
      <w:pgMar w:top="505" w:right="1404" w:bottom="842" w:left="140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56A6410" w14:textId="77777777" w:rsidR="00AD68F2" w:rsidRDefault="00AD68F2">
      <w:r>
        <w:separator/>
      </w:r>
    </w:p>
  </w:endnote>
  <w:endnote w:type="continuationSeparator" w:id="0">
    <w:p w14:paraId="6CCD8F2C" w14:textId="77777777" w:rsidR="00AD68F2" w:rsidRDefault="00AD68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Roboto">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55F10C" w14:textId="77777777" w:rsidR="00AD68F2" w:rsidRDefault="00AD68F2">
      <w:r>
        <w:separator/>
      </w:r>
    </w:p>
  </w:footnote>
  <w:footnote w:type="continuationSeparator" w:id="0">
    <w:p w14:paraId="47F5AF02" w14:textId="77777777" w:rsidR="00AD68F2" w:rsidRDefault="00AD68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25BA69" w14:textId="77777777" w:rsidR="00292EA4" w:rsidRDefault="00292EA4">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30175A" w14:textId="2B14E4AC" w:rsidR="003F3CA7" w:rsidRDefault="003F3CA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94ACC8" w14:textId="77777777" w:rsidR="00292EA4" w:rsidRDefault="00292EA4">
    <w:pPr>
      <w:pStyle w:val="Kopfzeile"/>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isplayBackgroundShape/>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3CA7"/>
    <w:rsid w:val="00292EA4"/>
    <w:rsid w:val="003F3CA7"/>
    <w:rsid w:val="00AD68F2"/>
    <w:rsid w:val="00CD383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A7DDAD"/>
  <w15:docId w15:val="{613119DB-515C-E14F-9704-31AA9C34A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Roboto" w:eastAsia="Roboto" w:hAnsi="Roboto" w:cs="Roboto"/>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05BCE"/>
    <w:rPr>
      <w:color w:val="141414"/>
      <w:sz w:val="22"/>
      <w:szCs w:val="22"/>
    </w:rPr>
  </w:style>
  <w:style w:type="paragraph" w:styleId="berschrift1">
    <w:name w:val="heading 1"/>
    <w:basedOn w:val="Standard"/>
    <w:next w:val="Standard"/>
    <w:link w:val="berschrift1Zchn"/>
    <w:uiPriority w:val="9"/>
    <w:qFormat/>
    <w:rsid w:val="00506D7A"/>
    <w:pPr>
      <w:keepNext/>
      <w:keepLines/>
      <w:pBdr>
        <w:top w:val="none" w:sz="0" w:space="5" w:color="auto"/>
        <w:bottom w:val="none" w:sz="0" w:space="3" w:color="auto"/>
      </w:pBdr>
      <w:spacing w:before="240"/>
      <w:outlineLvl w:val="0"/>
    </w:pPr>
    <w:rPr>
      <w:b/>
      <w:bCs/>
      <w:color w:val="2F5496"/>
      <w:kern w:val="36"/>
      <w:sz w:val="48"/>
      <w:szCs w:val="48"/>
    </w:rPr>
  </w:style>
  <w:style w:type="paragraph" w:styleId="berschrift2">
    <w:name w:val="heading 2"/>
    <w:basedOn w:val="Standard"/>
    <w:next w:val="Standard"/>
    <w:link w:val="berschrift2Zchn"/>
    <w:uiPriority w:val="9"/>
    <w:qFormat/>
    <w:rsid w:val="00506D7A"/>
    <w:pPr>
      <w:keepNext/>
      <w:keepLines/>
      <w:spacing w:before="40"/>
      <w:outlineLvl w:val="1"/>
    </w:pPr>
    <w:rPr>
      <w:b/>
      <w:bCs/>
      <w:color w:val="2F5496"/>
      <w:sz w:val="31"/>
      <w:szCs w:val="31"/>
    </w:rPr>
  </w:style>
  <w:style w:type="paragraph" w:styleId="berschrift3">
    <w:name w:val="heading 3"/>
    <w:basedOn w:val="Standard"/>
    <w:next w:val="Standard"/>
    <w:link w:val="berschrift3Zchn"/>
    <w:uiPriority w:val="9"/>
    <w:qFormat/>
    <w:rsid w:val="00506D7A"/>
    <w:pPr>
      <w:keepNext/>
      <w:keepLines/>
      <w:spacing w:before="40"/>
      <w:outlineLvl w:val="2"/>
    </w:pPr>
    <w:rPr>
      <w:b/>
      <w:bCs/>
      <w:color w:val="1F3763"/>
      <w:sz w:val="28"/>
      <w:szCs w:val="28"/>
    </w:rPr>
  </w:style>
  <w:style w:type="paragraph" w:styleId="berschrift4">
    <w:name w:val="heading 4"/>
    <w:basedOn w:val="Standard"/>
    <w:next w:val="Standard"/>
    <w:link w:val="berschrift4Zchn"/>
    <w:uiPriority w:val="9"/>
    <w:qFormat/>
    <w:rsid w:val="00506D7A"/>
    <w:pPr>
      <w:keepNext/>
      <w:keepLines/>
      <w:spacing w:before="40"/>
      <w:outlineLvl w:val="3"/>
    </w:pPr>
    <w:rPr>
      <w:b/>
      <w:bCs/>
      <w:iCs/>
      <w:color w:val="2F5496"/>
      <w:sz w:val="24"/>
      <w:szCs w:val="24"/>
    </w:rPr>
  </w:style>
  <w:style w:type="paragraph" w:styleId="berschrift5">
    <w:name w:val="heading 5"/>
    <w:basedOn w:val="Standard"/>
    <w:next w:val="Standard"/>
    <w:link w:val="berschrift5Zchn"/>
    <w:uiPriority w:val="9"/>
    <w:qFormat/>
    <w:rsid w:val="00506D7A"/>
    <w:pPr>
      <w:keepNext/>
      <w:keepLines/>
      <w:spacing w:before="40"/>
      <w:outlineLvl w:val="4"/>
    </w:pPr>
    <w:rPr>
      <w:b/>
      <w:bCs/>
      <w:color w:val="2F5496"/>
      <w:sz w:val="20"/>
      <w:szCs w:val="20"/>
    </w:rPr>
  </w:style>
  <w:style w:type="paragraph" w:styleId="berschrift6">
    <w:name w:val="heading 6"/>
    <w:basedOn w:val="Standard"/>
    <w:next w:val="Standard"/>
    <w:link w:val="berschrift6Zchn"/>
    <w:uiPriority w:val="9"/>
    <w:qFormat/>
    <w:rsid w:val="00506D7A"/>
    <w:pPr>
      <w:keepNext/>
      <w:keepLines/>
      <w:spacing w:before="40"/>
      <w:outlineLvl w:val="5"/>
    </w:pPr>
    <w:rPr>
      <w:b/>
      <w:bCs/>
      <w:color w:val="1F3763"/>
      <w:sz w:val="16"/>
      <w:szCs w:val="1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06D7A"/>
    <w:rPr>
      <w:rFonts w:ascii="Calibri Light" w:eastAsia="Times New Roman" w:hAnsi="Calibri Light" w:cs="Times New Roman"/>
      <w:color w:val="2F5496"/>
      <w:sz w:val="32"/>
      <w:szCs w:val="32"/>
    </w:rPr>
  </w:style>
  <w:style w:type="character" w:customStyle="1" w:styleId="berschrift2Zchn">
    <w:name w:val="Überschrift 2 Zchn"/>
    <w:basedOn w:val="Absatz-Standardschriftart"/>
    <w:link w:val="berschrift2"/>
    <w:uiPriority w:val="9"/>
    <w:rsid w:val="00506D7A"/>
    <w:rPr>
      <w:rFonts w:ascii="Calibri Light" w:eastAsia="Times New Roman" w:hAnsi="Calibri Light" w:cs="Times New Roman"/>
      <w:color w:val="2F5496"/>
      <w:sz w:val="26"/>
      <w:szCs w:val="26"/>
    </w:rPr>
  </w:style>
  <w:style w:type="character" w:customStyle="1" w:styleId="berschrift3Zchn">
    <w:name w:val="Überschrift 3 Zchn"/>
    <w:basedOn w:val="Absatz-Standardschriftart"/>
    <w:link w:val="berschrift3"/>
    <w:uiPriority w:val="9"/>
    <w:rsid w:val="00506D7A"/>
    <w:rPr>
      <w:rFonts w:ascii="Calibri Light" w:eastAsia="Times New Roman" w:hAnsi="Calibri Light" w:cs="Times New Roman"/>
      <w:color w:val="1F3763"/>
      <w:sz w:val="24"/>
      <w:szCs w:val="24"/>
    </w:rPr>
  </w:style>
  <w:style w:type="character" w:customStyle="1" w:styleId="berschrift4Zchn">
    <w:name w:val="Überschrift 4 Zchn"/>
    <w:basedOn w:val="Absatz-Standardschriftart"/>
    <w:link w:val="berschrift4"/>
    <w:uiPriority w:val="9"/>
    <w:rsid w:val="00506D7A"/>
    <w:rPr>
      <w:rFonts w:ascii="Calibri Light" w:eastAsia="Times New Roman" w:hAnsi="Calibri Light" w:cs="Times New Roman"/>
      <w:i/>
      <w:iCs/>
      <w:color w:val="2F5496"/>
    </w:rPr>
  </w:style>
  <w:style w:type="character" w:customStyle="1" w:styleId="berschrift5Zchn">
    <w:name w:val="Überschrift 5 Zchn"/>
    <w:basedOn w:val="Absatz-Standardschriftart"/>
    <w:link w:val="berschrift5"/>
    <w:uiPriority w:val="9"/>
    <w:rsid w:val="00506D7A"/>
    <w:rPr>
      <w:rFonts w:ascii="Calibri Light" w:eastAsia="Times New Roman" w:hAnsi="Calibri Light" w:cs="Times New Roman"/>
      <w:color w:val="2F5496"/>
    </w:rPr>
  </w:style>
  <w:style w:type="character" w:customStyle="1" w:styleId="berschrift6Zchn">
    <w:name w:val="Überschrift 6 Zchn"/>
    <w:basedOn w:val="Absatz-Standardschriftart"/>
    <w:link w:val="berschrift6"/>
    <w:uiPriority w:val="9"/>
    <w:rsid w:val="00506D7A"/>
    <w:rPr>
      <w:rFonts w:ascii="Calibri Light" w:eastAsia="Times New Roman" w:hAnsi="Calibri Light" w:cs="Times New Roman"/>
      <w:color w:val="1F3763"/>
    </w:rPr>
  </w:style>
  <w:style w:type="paragraph" w:customStyle="1" w:styleId="divbocontentwrapper">
    <w:name w:val="div_bo_contentwrapper"/>
    <w:basedOn w:val="Standard"/>
  </w:style>
  <w:style w:type="paragraph" w:customStyle="1" w:styleId="bocontentwrapperbocenter">
    <w:name w:val="bo_contentwrapper &gt; bo_center"/>
    <w:basedOn w:val="Standard"/>
  </w:style>
  <w:style w:type="paragraph" w:customStyle="1" w:styleId="tdm-short">
    <w:name w:val="tdm-short"/>
    <w:basedOn w:val="Standard"/>
    <w:rPr>
      <w:sz w:val="18"/>
      <w:szCs w:val="18"/>
    </w:rPr>
  </w:style>
  <w:style w:type="paragraph" w:customStyle="1" w:styleId="printcontent">
    <w:name w:val="printcontent"/>
    <w:basedOn w:val="Standard"/>
    <w:pPr>
      <w:spacing w:line="360" w:lineRule="auto"/>
    </w:pPr>
  </w:style>
  <w:style w:type="paragraph" w:customStyle="1" w:styleId="printcontentdivnotlawversion">
    <w:name w:val="printcontent_div_not(#lawversion)"/>
    <w:basedOn w:val="Standard"/>
  </w:style>
  <w:style w:type="paragraph" w:customStyle="1" w:styleId="printcontentli">
    <w:name w:val="printcontent_li"/>
    <w:basedOn w:val="Standard"/>
  </w:style>
  <w:style w:type="character" w:customStyle="1" w:styleId="bocontentwrapperbocenteranotbeck-btn">
    <w:name w:val="bo_contentwrapper_bo_center_a_not(.beck-btn)"/>
    <w:basedOn w:val="Absatz-Standardschriftart"/>
    <w:rPr>
      <w:color w:val="A80030"/>
    </w:rPr>
  </w:style>
  <w:style w:type="paragraph" w:customStyle="1" w:styleId="printcontentdokcontentnth-of-type1divdk2">
    <w:name w:val="printcontent_dokcontent_nth-of-type(1)_div_dk2"/>
    <w:basedOn w:val="Standard"/>
  </w:style>
  <w:style w:type="character" w:customStyle="1" w:styleId="any">
    <w:name w:val="any"/>
    <w:basedOn w:val="Absatz-Standardschriftart"/>
  </w:style>
  <w:style w:type="paragraph" w:customStyle="1" w:styleId="printcontentdivdk2spancitation">
    <w:name w:val="printcontent_div_dk2_span_citation"/>
    <w:basedOn w:val="Standard"/>
  </w:style>
  <w:style w:type="table" w:customStyle="1" w:styleId="printcontentdivdk2table">
    <w:name w:val="printcontent_div_dk2_table"/>
    <w:basedOn w:val="NormaleTabelle"/>
    <w:tblPr/>
  </w:style>
  <w:style w:type="paragraph" w:customStyle="1" w:styleId="bocenterh1">
    <w:name w:val="bo_center_h1"/>
    <w:basedOn w:val="Standard"/>
    <w:rPr>
      <w:b/>
      <w:bCs/>
      <w:color w:val="A80030"/>
      <w:sz w:val="31"/>
      <w:szCs w:val="31"/>
    </w:rPr>
  </w:style>
  <w:style w:type="character" w:customStyle="1" w:styleId="divbocontentwrapperbocenterp">
    <w:name w:val="div_bo_contentwrapper_bo_center_p"/>
    <w:basedOn w:val="Absatz-Standardschriftart"/>
  </w:style>
  <w:style w:type="paragraph" w:customStyle="1" w:styleId="divbocontentwrapperbocenterpParagraph">
    <w:name w:val="div_bo_contentwrapper_bo_center_p Paragraph"/>
    <w:basedOn w:val="Standard"/>
  </w:style>
  <w:style w:type="character" w:customStyle="1" w:styleId="etyp">
    <w:name w:val="etyp"/>
    <w:basedOn w:val="Absatz-Standardschriftart"/>
    <w:rPr>
      <w:i w:val="0"/>
      <w:iCs w:val="0"/>
    </w:rPr>
  </w:style>
  <w:style w:type="character" w:customStyle="1" w:styleId="emitalicon">
    <w:name w:val="em_italic_on"/>
    <w:basedOn w:val="em"/>
    <w:rPr>
      <w:i/>
      <w:iCs/>
    </w:rPr>
  </w:style>
  <w:style w:type="character" w:customStyle="1" w:styleId="em">
    <w:name w:val="em"/>
    <w:basedOn w:val="Absatz-Standardschriftart"/>
    <w:rPr>
      <w:i w:val="0"/>
      <w:iCs w:val="0"/>
    </w:rPr>
  </w:style>
  <w:style w:type="character" w:customStyle="1" w:styleId="sbin2spansidebar-inside">
    <w:name w:val="sbin2_span_sidebar-inside"/>
    <w:basedOn w:val="Absatz-Standardschriftart"/>
  </w:style>
  <w:style w:type="character" w:customStyle="1" w:styleId="printcontentemrandnr">
    <w:name w:val="printcontent_em_randnr"/>
    <w:basedOn w:val="Absatz-Standardschriftart"/>
    <w:rPr>
      <w:i w:val="0"/>
      <w:iCs w:val="0"/>
    </w:rPr>
  </w:style>
  <w:style w:type="paragraph" w:customStyle="1" w:styleId="divpgdescrpspantitel">
    <w:name w:val="div_pgdescr_p_span_titel"/>
    <w:basedOn w:val="Standard"/>
  </w:style>
  <w:style w:type="character" w:customStyle="1" w:styleId="citation">
    <w:name w:val="citation"/>
    <w:basedOn w:val="Absatz-Standardschriftart"/>
  </w:style>
  <w:style w:type="paragraph" w:customStyle="1" w:styleId="divpgdescrpspanEL">
    <w:name w:val="div_pgdescr_p_span_EL"/>
    <w:basedOn w:val="Standard"/>
  </w:style>
  <w:style w:type="character" w:customStyle="1" w:styleId="divpgnavppgactspanpg">
    <w:name w:val="div_pgnav_p_pgact_span_pg"/>
    <w:basedOn w:val="Absatz-Standardschriftart"/>
    <w:rPr>
      <w:b w:val="0"/>
      <w:bCs w:val="0"/>
    </w:rPr>
  </w:style>
  <w:style w:type="table" w:customStyle="1" w:styleId="table">
    <w:name w:val="table"/>
    <w:basedOn w:val="NormaleTabelle"/>
    <w:tblPr/>
  </w:style>
  <w:style w:type="paragraph" w:customStyle="1" w:styleId="printcontenth3">
    <w:name w:val="printcontent_h3"/>
    <w:basedOn w:val="Standard"/>
    <w:rPr>
      <w:color w:val="000000"/>
      <w:sz w:val="18"/>
      <w:szCs w:val="18"/>
    </w:rPr>
  </w:style>
  <w:style w:type="paragraph" w:customStyle="1" w:styleId="tdm-long">
    <w:name w:val="tdm-long"/>
    <w:basedOn w:val="Standard"/>
    <w:rPr>
      <w:sz w:val="18"/>
      <w:szCs w:val="18"/>
    </w:rPr>
  </w:style>
  <w:style w:type="paragraph" w:styleId="Kopfzeile">
    <w:name w:val="header"/>
    <w:basedOn w:val="Standard"/>
    <w:link w:val="KopfzeileZchn"/>
    <w:uiPriority w:val="99"/>
    <w:unhideWhenUsed/>
    <w:rsid w:val="00292EA4"/>
    <w:pPr>
      <w:tabs>
        <w:tab w:val="center" w:pos="4536"/>
        <w:tab w:val="right" w:pos="9072"/>
      </w:tabs>
    </w:pPr>
  </w:style>
  <w:style w:type="character" w:customStyle="1" w:styleId="KopfzeileZchn">
    <w:name w:val="Kopfzeile Zchn"/>
    <w:basedOn w:val="Absatz-Standardschriftart"/>
    <w:link w:val="Kopfzeile"/>
    <w:uiPriority w:val="99"/>
    <w:rsid w:val="00292EA4"/>
    <w:rPr>
      <w:color w:val="141414"/>
      <w:sz w:val="22"/>
      <w:szCs w:val="22"/>
    </w:rPr>
  </w:style>
  <w:style w:type="paragraph" w:styleId="Fuzeile">
    <w:name w:val="footer"/>
    <w:basedOn w:val="Standard"/>
    <w:link w:val="FuzeileZchn"/>
    <w:uiPriority w:val="99"/>
    <w:unhideWhenUsed/>
    <w:rsid w:val="00292EA4"/>
    <w:pPr>
      <w:tabs>
        <w:tab w:val="center" w:pos="4536"/>
        <w:tab w:val="right" w:pos="9072"/>
      </w:tabs>
    </w:pPr>
  </w:style>
  <w:style w:type="character" w:customStyle="1" w:styleId="FuzeileZchn">
    <w:name w:val="Fußzeile Zchn"/>
    <w:basedOn w:val="Absatz-Standardschriftart"/>
    <w:link w:val="Fuzeile"/>
    <w:uiPriority w:val="99"/>
    <w:rsid w:val="00292EA4"/>
    <w:rPr>
      <w:color w:val="141414"/>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beck-online.beck.de/?typ=reference&amp;y=100&amp;g=INSO&amp;p=133" TargetMode="External"/><Relationship Id="rId21" Type="http://schemas.openxmlformats.org/officeDocument/2006/relationships/hyperlink" Target="https://beck-online.beck.de/?typ=reference&amp;y=100&amp;g=GMBHG&amp;p=32A" TargetMode="External"/><Relationship Id="rId42" Type="http://schemas.openxmlformats.org/officeDocument/2006/relationships/hyperlink" Target="https://beck-online.beck.de/?typ=reference&amp;y=300&amp;z=NZI&amp;b=2013&amp;s=249" TargetMode="External"/><Relationship Id="rId47" Type="http://schemas.openxmlformats.org/officeDocument/2006/relationships/hyperlink" Target="https://beck-online.beck.de/?typ=reference&amp;y=300&amp;z=NZI&amp;b=2013&amp;s=586&amp;rn=24" TargetMode="External"/><Relationship Id="rId63" Type="http://schemas.openxmlformats.org/officeDocument/2006/relationships/hyperlink" Target="https://beck-online.beck.de/?typ=reference&amp;y=100&amp;g=INSO&amp;p=143" TargetMode="External"/><Relationship Id="rId68" Type="http://schemas.openxmlformats.org/officeDocument/2006/relationships/hyperlink" Target="https://beck-online.beck.de/?typ=reference&amp;y=300&amp;z=NJW&amp;b=1999&amp;s=1395" TargetMode="External"/><Relationship Id="rId84" Type="http://schemas.openxmlformats.org/officeDocument/2006/relationships/hyperlink" Target="https://beck-online.beck.de/?typ=reference&amp;y=100&amp;g=INSO&amp;p=17" TargetMode="External"/><Relationship Id="rId89" Type="http://schemas.openxmlformats.org/officeDocument/2006/relationships/hyperlink" Target="https://beck-online.beck.de/?typ=reference&amp;y=300&amp;z=NZI&amp;b=2013&amp;s=932&amp;rn=7" TargetMode="External"/><Relationship Id="rId112" Type="http://schemas.openxmlformats.org/officeDocument/2006/relationships/fontTable" Target="fontTable.xml"/><Relationship Id="rId16" Type="http://schemas.openxmlformats.org/officeDocument/2006/relationships/hyperlink" Target="https://beck-online.beck.de/?typ=reference&amp;y=100&amp;g=INSO&amp;p=133" TargetMode="External"/><Relationship Id="rId107" Type="http://schemas.openxmlformats.org/officeDocument/2006/relationships/hyperlink" Target="https://beck-online.beck.de/?typ=reference&amp;y=100&amp;g=INSO&amp;p=17" TargetMode="External"/><Relationship Id="rId11" Type="http://schemas.openxmlformats.org/officeDocument/2006/relationships/hyperlink" Target="https://beck-online.beck.de/?typ=reference&amp;y=300&amp;z=BECKRS&amp;b=2013&amp;n=01213" TargetMode="External"/><Relationship Id="rId32" Type="http://schemas.openxmlformats.org/officeDocument/2006/relationships/hyperlink" Target="https://beck-online.beck.de/?typ=reference&amp;y=300&amp;z=NJW-RR&amp;b=2011&amp;s=1413" TargetMode="External"/><Relationship Id="rId37" Type="http://schemas.openxmlformats.org/officeDocument/2006/relationships/hyperlink" Target="https://beck-online.beck.de/?typ=reference&amp;y=300&amp;z=NJW-RR&amp;b=2013&amp;s=558" TargetMode="External"/><Relationship Id="rId53" Type="http://schemas.openxmlformats.org/officeDocument/2006/relationships/hyperlink" Target="https://beck-online.beck.de/?typ=reference&amp;y=100&amp;g=INSO&amp;p=17&amp;x=2" TargetMode="External"/><Relationship Id="rId58" Type="http://schemas.openxmlformats.org/officeDocument/2006/relationships/hyperlink" Target="https://beck-online.beck.de/?typ=reference&amp;y=300&amp;z=NJW-RR&amp;b=2013&amp;s=558&amp;rn=15" TargetMode="External"/><Relationship Id="rId74" Type="http://schemas.openxmlformats.org/officeDocument/2006/relationships/hyperlink" Target="https://beck-online.beck.de/?typ=reference&amp;y=100&amp;g=INSO&amp;p=133" TargetMode="External"/><Relationship Id="rId79" Type="http://schemas.openxmlformats.org/officeDocument/2006/relationships/hyperlink" Target="https://beck-online.beck.de/?typ=reference&amp;y=100&amp;g=INSO&amp;p=270B&amp;x=1" TargetMode="External"/><Relationship Id="rId102" Type="http://schemas.openxmlformats.org/officeDocument/2006/relationships/hyperlink" Target="https://beck-online.beck.de/?typ=reference&amp;y=100&amp;g=INSO&amp;p=17" TargetMode="External"/><Relationship Id="rId5" Type="http://schemas.openxmlformats.org/officeDocument/2006/relationships/endnotes" Target="endnotes.xml"/><Relationship Id="rId90" Type="http://schemas.openxmlformats.org/officeDocument/2006/relationships/hyperlink" Target="https://beck-online.beck.de/?typ=reference&amp;y=100&amp;g=INSO&amp;p=18" TargetMode="External"/><Relationship Id="rId95" Type="http://schemas.openxmlformats.org/officeDocument/2006/relationships/hyperlink" Target="https://beck-online.beck.de/?typ=reference&amp;y=100&amp;g=INSO&amp;p=17&amp;x=2" TargetMode="External"/><Relationship Id="rId22" Type="http://schemas.openxmlformats.org/officeDocument/2006/relationships/hyperlink" Target="https://beck-online.beck.de/?typ=reference&amp;y=100&amp;g=GMBHG&amp;p=32A&amp;x=1" TargetMode="External"/><Relationship Id="rId27" Type="http://schemas.openxmlformats.org/officeDocument/2006/relationships/hyperlink" Target="https://beck-online.beck.de/?typ=reference&amp;y=100&amp;g=INSO&amp;p=133&amp;x=1" TargetMode="External"/><Relationship Id="rId43" Type="http://schemas.openxmlformats.org/officeDocument/2006/relationships/hyperlink" Target="https://beck-online.beck.de/?typ=reference&amp;y=300&amp;z=NZI&amp;b=2013&amp;s=249&amp;rn=23" TargetMode="External"/><Relationship Id="rId48" Type="http://schemas.openxmlformats.org/officeDocument/2006/relationships/hyperlink" Target="https://beck-online.beck.de/?typ=reference&amp;y=300&amp;z=NZI&amp;b=2013&amp;s=133" TargetMode="External"/><Relationship Id="rId64" Type="http://schemas.openxmlformats.org/officeDocument/2006/relationships/hyperlink" Target="https://beck-online.beck.de/?typ=reference&amp;y=100&amp;g=INSO&amp;p=143&amp;x=1" TargetMode="External"/><Relationship Id="rId69" Type="http://schemas.openxmlformats.org/officeDocument/2006/relationships/hyperlink" Target="https://beck-online.beck.de/?typ=reference&amp;y=300&amp;z=ZIP&amp;b=1999&amp;s=196" TargetMode="External"/><Relationship Id="rId113" Type="http://schemas.openxmlformats.org/officeDocument/2006/relationships/theme" Target="theme/theme1.xml"/><Relationship Id="rId80" Type="http://schemas.openxmlformats.org/officeDocument/2006/relationships/hyperlink" Target="https://beck-online.beck.de/?typ=reference&amp;y=100&amp;g=INSO&amp;p=18" TargetMode="External"/><Relationship Id="rId85" Type="http://schemas.openxmlformats.org/officeDocument/2006/relationships/hyperlink" Target="https://beck-online.beck.de/?typ=reference&amp;y=100&amp;g=INSO&amp;p=17&amp;x=2" TargetMode="External"/><Relationship Id="rId12" Type="http://schemas.openxmlformats.org/officeDocument/2006/relationships/hyperlink" Target="https://beck-online.beck.de/?typ=reference&amp;y=200&amp;ge=LGHAMBURG&amp;az=334O25305&amp;d=2008-01-31" TargetMode="External"/><Relationship Id="rId17" Type="http://schemas.openxmlformats.org/officeDocument/2006/relationships/hyperlink" Target="https://beck-online.beck.de/?typ=reference&amp;y=100&amp;g=INSO&amp;p=133&amp;x=1" TargetMode="External"/><Relationship Id="rId33" Type="http://schemas.openxmlformats.org/officeDocument/2006/relationships/hyperlink" Target="https://beck-online.beck.de/?typ=reference&amp;y=300&amp;z=NJW-RR&amp;b=2011&amp;s=1413&amp;rn=14" TargetMode="External"/><Relationship Id="rId38" Type="http://schemas.openxmlformats.org/officeDocument/2006/relationships/hyperlink" Target="https://beck-online.beck.de/?typ=reference&amp;y=300&amp;z=NJW-RR&amp;b=2013&amp;s=558&amp;rn=7" TargetMode="External"/><Relationship Id="rId59" Type="http://schemas.openxmlformats.org/officeDocument/2006/relationships/hyperlink" Target="https://beck-online.beck.de/?typ=reference&amp;y=100&amp;g=ZPO&amp;p=562" TargetMode="External"/><Relationship Id="rId103" Type="http://schemas.openxmlformats.org/officeDocument/2006/relationships/hyperlink" Target="https://beck-online.beck.de/?typ=reference&amp;y=100&amp;g=INSO&amp;p=17&amp;x=2" TargetMode="External"/><Relationship Id="rId108" Type="http://schemas.openxmlformats.org/officeDocument/2006/relationships/hyperlink" Target="https://beck-online.beck.de/?typ=reference&amp;y=100&amp;g=INSO&amp;p=17&amp;x=2" TargetMode="External"/><Relationship Id="rId54" Type="http://schemas.openxmlformats.org/officeDocument/2006/relationships/hyperlink" Target="https://beck-online.beck.de/?typ=reference&amp;y=100&amp;g=INSO&amp;p=18" TargetMode="External"/><Relationship Id="rId70" Type="http://schemas.openxmlformats.org/officeDocument/2006/relationships/hyperlink" Target="https://beck-online.beck.de/?typ=reference&amp;y=300&amp;z=ZIP&amp;b=1999&amp;sx=199" TargetMode="External"/><Relationship Id="rId75" Type="http://schemas.openxmlformats.org/officeDocument/2006/relationships/hyperlink" Target="https://beck-online.beck.de/?typ=reference&amp;y=100&amp;g=INSO&amp;p=133&amp;x=1" TargetMode="External"/><Relationship Id="rId91" Type="http://schemas.openxmlformats.org/officeDocument/2006/relationships/hyperlink" Target="https://beck-online.beck.de/?typ=reference&amp;y=100&amp;g=INSO&amp;p=18&amp;x=2" TargetMode="External"/><Relationship Id="rId96" Type="http://schemas.openxmlformats.org/officeDocument/2006/relationships/hyperlink" Target="https://beck-online.beck.de/?typ=reference&amp;y=300&amp;z=BGHZ&amp;b=163&amp;s=134" TargetMode="External"/><Relationship Id="rId1" Type="http://schemas.openxmlformats.org/officeDocument/2006/relationships/styles" Target="styles.xml"/><Relationship Id="rId6" Type="http://schemas.openxmlformats.org/officeDocument/2006/relationships/hyperlink" Target="https://beck-online.beck.de/?typ=reference&amp;y=100&amp;g=INSO&amp;p=133" TargetMode="External"/><Relationship Id="rId15" Type="http://schemas.openxmlformats.org/officeDocument/2006/relationships/hyperlink" Target="https://beck-online.beck.de/?typ=reference&amp;y=100&amp;g=INSO&amp;p=143&amp;x=1" TargetMode="External"/><Relationship Id="rId23" Type="http://schemas.openxmlformats.org/officeDocument/2006/relationships/hyperlink" Target="https://beck-online.beck.de/?typ=reference&amp;y=100&amp;g=GMBHG&amp;p=32A&amp;x=3" TargetMode="External"/><Relationship Id="rId28" Type="http://schemas.openxmlformats.org/officeDocument/2006/relationships/hyperlink" Target="https://beck-online.beck.de/?typ=reference&amp;y=100&amp;g=GMBHG&amp;p=32A" TargetMode="External"/><Relationship Id="rId36" Type="http://schemas.openxmlformats.org/officeDocument/2006/relationships/hyperlink" Target="https://beck-online.beck.de/?typ=reference&amp;y=300&amp;z=NZI&amp;b=2013&amp;s=129" TargetMode="External"/><Relationship Id="rId49" Type="http://schemas.openxmlformats.org/officeDocument/2006/relationships/hyperlink" Target="https://beck-online.beck.de/?typ=reference&amp;y=300&amp;z=NJW&amp;b=2013&amp;s=611" TargetMode="External"/><Relationship Id="rId57" Type="http://schemas.openxmlformats.org/officeDocument/2006/relationships/hyperlink" Target="https://beck-online.beck.de/?typ=reference&amp;y=300&amp;z=NJW-RR&amp;b=2013&amp;s=558" TargetMode="External"/><Relationship Id="rId106" Type="http://schemas.openxmlformats.org/officeDocument/2006/relationships/hyperlink" Target="https://beck-online.beck.de/?typ=reference&amp;y=400&amp;w=UHLENBRUCKKOINSO&amp;g=INSO&amp;p=18&amp;rn=8" TargetMode="External"/><Relationship Id="rId10" Type="http://schemas.openxmlformats.org/officeDocument/2006/relationships/hyperlink" Target="https://beck-online.beck.de/?typ=reference&amp;y=200&amp;ge=OLGHAMBURG&amp;az=11U2508&amp;d=2011-05-27" TargetMode="External"/><Relationship Id="rId31" Type="http://schemas.openxmlformats.org/officeDocument/2006/relationships/hyperlink" Target="https://beck-online.beck.de/?typ=reference&amp;y=100&amp;g=INSO&amp;p=135&amp;n=2" TargetMode="External"/><Relationship Id="rId44" Type="http://schemas.openxmlformats.org/officeDocument/2006/relationships/hyperlink" Target="https://beck-online.beck.de/?typ=reference&amp;y=300&amp;z=NZI&amp;b=2013&amp;s=251" TargetMode="External"/><Relationship Id="rId52" Type="http://schemas.openxmlformats.org/officeDocument/2006/relationships/hyperlink" Target="https://beck-online.beck.de/?typ=reference&amp;y=100&amp;g=INSO&amp;p=17" TargetMode="External"/><Relationship Id="rId60" Type="http://schemas.openxmlformats.org/officeDocument/2006/relationships/hyperlink" Target="https://beck-online.beck.de/?typ=reference&amp;y=100&amp;g=ZPO&amp;p=562&amp;x=1" TargetMode="External"/><Relationship Id="rId65" Type="http://schemas.openxmlformats.org/officeDocument/2006/relationships/hyperlink" Target="https://beck-online.beck.de/?typ=reference&amp;y=100&amp;g=INSO&amp;p=133" TargetMode="External"/><Relationship Id="rId73" Type="http://schemas.openxmlformats.org/officeDocument/2006/relationships/hyperlink" Target="https://beck-online.beck.de/?typ=reference&amp;y=100&amp;g=INSO&amp;p=18" TargetMode="External"/><Relationship Id="rId78" Type="http://schemas.openxmlformats.org/officeDocument/2006/relationships/hyperlink" Target="https://beck-online.beck.de/?typ=reference&amp;y=100&amp;g=INSO&amp;p=270B" TargetMode="External"/><Relationship Id="rId81" Type="http://schemas.openxmlformats.org/officeDocument/2006/relationships/hyperlink" Target="https://beck-online.beck.de/?typ=reference&amp;y=100&amp;g=INSO&amp;p=18&amp;x=2" TargetMode="External"/><Relationship Id="rId86" Type="http://schemas.openxmlformats.org/officeDocument/2006/relationships/hyperlink" Target="https://beck-online.beck.de/?typ=reference&amp;y=300&amp;z=BGHZ&amp;b=163&amp;s=134" TargetMode="External"/><Relationship Id="rId94" Type="http://schemas.openxmlformats.org/officeDocument/2006/relationships/hyperlink" Target="https://beck-online.beck.de/?typ=reference&amp;y=100&amp;g=INSO&amp;p=17" TargetMode="External"/><Relationship Id="rId99" Type="http://schemas.openxmlformats.org/officeDocument/2006/relationships/hyperlink" Target="https://beck-online.beck.de/?typ=reference&amp;y=100&amp;g=INSO&amp;p=17&amp;x=2" TargetMode="External"/><Relationship Id="rId101" Type="http://schemas.openxmlformats.org/officeDocument/2006/relationships/hyperlink" Target="https://beck-online.beck.de/?typ=reference&amp;y=100&amp;g=INSO&amp;p=18" TargetMode="External"/><Relationship Id="rId4" Type="http://schemas.openxmlformats.org/officeDocument/2006/relationships/footnotes" Target="footnotes.xml"/><Relationship Id="rId9" Type="http://schemas.openxmlformats.org/officeDocument/2006/relationships/hyperlink" Target="https://beck-online.beck.de/?typ=reference&amp;y=100&amp;g=INSO&amp;p=18&amp;x=2" TargetMode="External"/><Relationship Id="rId13" Type="http://schemas.openxmlformats.org/officeDocument/2006/relationships/hyperlink" Target="https://beck-online.beck.de/?typ=reference&amp;y=300&amp;z=BECKRS&amp;b=2014&amp;n=01214" TargetMode="External"/><Relationship Id="rId18" Type="http://schemas.openxmlformats.org/officeDocument/2006/relationships/hyperlink" Target="https://beck-online.beck.de/?typ=reference&amp;y=100&amp;g=GMBHG&amp;p=32A" TargetMode="External"/><Relationship Id="rId39" Type="http://schemas.openxmlformats.org/officeDocument/2006/relationships/hyperlink" Target="https://beck-online.beck.de/?typ=reference&amp;y=300&amp;z=NZI&amp;b=2013&amp;s=133" TargetMode="External"/><Relationship Id="rId109" Type="http://schemas.openxmlformats.org/officeDocument/2006/relationships/header" Target="header1.xml"/><Relationship Id="rId34" Type="http://schemas.openxmlformats.org/officeDocument/2006/relationships/hyperlink" Target="https://beck-online.beck.de/?typ=reference&amp;y=300&amp;z=NZI&amp;b=2013&amp;s=932" TargetMode="External"/><Relationship Id="rId50" Type="http://schemas.openxmlformats.org/officeDocument/2006/relationships/hyperlink" Target="https://beck-online.beck.de/?typ=reference&amp;y=300&amp;z=NJW&amp;b=2013&amp;s=611&amp;rn=15" TargetMode="External"/><Relationship Id="rId55" Type="http://schemas.openxmlformats.org/officeDocument/2006/relationships/hyperlink" Target="https://beck-online.beck.de/?typ=reference&amp;y=100&amp;g=INSO&amp;p=18&amp;x=2" TargetMode="External"/><Relationship Id="rId76" Type="http://schemas.openxmlformats.org/officeDocument/2006/relationships/hyperlink" Target="https://beck-online.beck.de/?typ=reference&amp;y=100&amp;g=INSO&amp;p=17" TargetMode="External"/><Relationship Id="rId97" Type="http://schemas.openxmlformats.org/officeDocument/2006/relationships/hyperlink" Target="https://beck-online.beck.de/?typ=reference&amp;y=300&amp;z=NZI&amp;b=2005&amp;s=547" TargetMode="External"/><Relationship Id="rId104" Type="http://schemas.openxmlformats.org/officeDocument/2006/relationships/hyperlink" Target="https://beck-online.beck.de/?typ=reference&amp;y=300&amp;z=BGHZ&amp;b=163&amp;s=134" TargetMode="External"/><Relationship Id="rId7" Type="http://schemas.openxmlformats.org/officeDocument/2006/relationships/hyperlink" Target="https://beck-online.beck.de/?typ=reference&amp;y=100&amp;g=INSO&amp;p=133&amp;x=1" TargetMode="External"/><Relationship Id="rId71" Type="http://schemas.openxmlformats.org/officeDocument/2006/relationships/hyperlink" Target="https://beck-online.beck.de/?typ=reference&amp;y=100&amp;g=INSO&amp;p=133" TargetMode="External"/><Relationship Id="rId92" Type="http://schemas.openxmlformats.org/officeDocument/2006/relationships/hyperlink" Target="https://beck-online.beck.de/?typ=reference&amp;y=100&amp;g=INSO&amp;p=17" TargetMode="External"/><Relationship Id="rId2" Type="http://schemas.openxmlformats.org/officeDocument/2006/relationships/settings" Target="settings.xml"/><Relationship Id="rId29" Type="http://schemas.openxmlformats.org/officeDocument/2006/relationships/hyperlink" Target="https://beck-online.beck.de/?typ=reference&amp;y=100&amp;g=GMBHG&amp;p=32B" TargetMode="External"/><Relationship Id="rId24" Type="http://schemas.openxmlformats.org/officeDocument/2006/relationships/hyperlink" Target="https://beck-online.beck.de/?typ=reference&amp;y=100&amp;g=INSO&amp;p=143" TargetMode="External"/><Relationship Id="rId40" Type="http://schemas.openxmlformats.org/officeDocument/2006/relationships/hyperlink" Target="https://beck-online.beck.de/?typ=reference&amp;y=300&amp;z=NJW&amp;b=2013&amp;s=611" TargetMode="External"/><Relationship Id="rId45" Type="http://schemas.openxmlformats.org/officeDocument/2006/relationships/hyperlink" Target="https://beck-online.beck.de/?typ=reference&amp;y=300&amp;z=NZI&amp;b=2013&amp;s=583" TargetMode="External"/><Relationship Id="rId66" Type="http://schemas.openxmlformats.org/officeDocument/2006/relationships/hyperlink" Target="https://beck-online.beck.de/?typ=reference&amp;y=100&amp;g=INSO&amp;p=133&amp;x=1" TargetMode="External"/><Relationship Id="rId87" Type="http://schemas.openxmlformats.org/officeDocument/2006/relationships/hyperlink" Target="https://beck-online.beck.de/?typ=reference&amp;y=300&amp;z=NZI&amp;b=2005&amp;s=547" TargetMode="External"/><Relationship Id="rId110" Type="http://schemas.openxmlformats.org/officeDocument/2006/relationships/header" Target="header2.xml"/><Relationship Id="rId61" Type="http://schemas.openxmlformats.org/officeDocument/2006/relationships/hyperlink" Target="https://beck-online.beck.de/?typ=reference&amp;y=100&amp;g=ZPO&amp;p=563" TargetMode="External"/><Relationship Id="rId82" Type="http://schemas.openxmlformats.org/officeDocument/2006/relationships/hyperlink" Target="https://beck-online.beck.de/?typ=reference&amp;y=100&amp;g=INSO&amp;p=18" TargetMode="External"/><Relationship Id="rId19" Type="http://schemas.openxmlformats.org/officeDocument/2006/relationships/hyperlink" Target="https://beck-online.beck.de/?typ=reference&amp;y=100&amp;g=GMBHG&amp;p=32B" TargetMode="External"/><Relationship Id="rId14" Type="http://schemas.openxmlformats.org/officeDocument/2006/relationships/hyperlink" Target="https://beck-online.beck.de/?typ=reference&amp;y=100&amp;g=INSO&amp;p=143" TargetMode="External"/><Relationship Id="rId30" Type="http://schemas.openxmlformats.org/officeDocument/2006/relationships/hyperlink" Target="https://beck-online.beck.de/?typ=reference&amp;y=100&amp;g=INSO&amp;p=135" TargetMode="External"/><Relationship Id="rId35" Type="http://schemas.openxmlformats.org/officeDocument/2006/relationships/hyperlink" Target="https://beck-online.beck.de/?typ=reference&amp;y=300&amp;z=NZI&amp;b=2013&amp;s=932&amp;rn=11" TargetMode="External"/><Relationship Id="rId56" Type="http://schemas.openxmlformats.org/officeDocument/2006/relationships/hyperlink" Target="https://beck-online.beck.de/?typ=reference&amp;y=300&amp;z=NZI&amp;b=2013&amp;s=129" TargetMode="External"/><Relationship Id="rId77" Type="http://schemas.openxmlformats.org/officeDocument/2006/relationships/hyperlink" Target="https://beck-online.beck.de/?typ=reference&amp;y=100&amp;g=INSO&amp;p=18" TargetMode="External"/><Relationship Id="rId100" Type="http://schemas.openxmlformats.org/officeDocument/2006/relationships/hyperlink" Target="https://beck-online.beck.de/?typ=reference&amp;y=100&amp;g=INSO&amp;p=17" TargetMode="External"/><Relationship Id="rId105" Type="http://schemas.openxmlformats.org/officeDocument/2006/relationships/hyperlink" Target="https://beck-online.beck.de/?typ=reference&amp;y=300&amp;z=NZI&amp;b=2005&amp;s=547" TargetMode="External"/><Relationship Id="rId8" Type="http://schemas.openxmlformats.org/officeDocument/2006/relationships/hyperlink" Target="https://beck-online.beck.de/?typ=reference&amp;y=100&amp;g=INSO&amp;p=18" TargetMode="External"/><Relationship Id="rId51" Type="http://schemas.openxmlformats.org/officeDocument/2006/relationships/hyperlink" Target="https://beck-online.beck.de/?typ=reference&amp;y=100&amp;g=INSO&amp;p=17" TargetMode="External"/><Relationship Id="rId72" Type="http://schemas.openxmlformats.org/officeDocument/2006/relationships/hyperlink" Target="https://beck-online.beck.de/?typ=reference&amp;y=100&amp;g=INSO&amp;p=133&amp;x=1" TargetMode="External"/><Relationship Id="rId93" Type="http://schemas.openxmlformats.org/officeDocument/2006/relationships/hyperlink" Target="https://beck-online.beck.de/?typ=reference&amp;y=100&amp;g=INSO&amp;p=17&amp;x=2" TargetMode="External"/><Relationship Id="rId98" Type="http://schemas.openxmlformats.org/officeDocument/2006/relationships/hyperlink" Target="https://beck-online.beck.de/?typ=reference&amp;y=100&amp;g=INSO&amp;p=17" TargetMode="External"/><Relationship Id="rId3" Type="http://schemas.openxmlformats.org/officeDocument/2006/relationships/webSettings" Target="webSettings.xml"/><Relationship Id="rId25" Type="http://schemas.openxmlformats.org/officeDocument/2006/relationships/hyperlink" Target="https://beck-online.beck.de/?typ=reference&amp;y=100&amp;g=INSO&amp;p=143&amp;x=1" TargetMode="External"/><Relationship Id="rId46" Type="http://schemas.openxmlformats.org/officeDocument/2006/relationships/hyperlink" Target="https://beck-online.beck.de/?typ=reference&amp;y=300&amp;z=NZI&amp;b=2013&amp;s=586" TargetMode="External"/><Relationship Id="rId67" Type="http://schemas.openxmlformats.org/officeDocument/2006/relationships/hyperlink" Target="https://beck-online.beck.de/?typ=reference&amp;y=400&amp;w=MUEKOINSO&amp;aufl=3&amp;g=INSO&amp;p=130&amp;rn=50" TargetMode="External"/><Relationship Id="rId20" Type="http://schemas.openxmlformats.org/officeDocument/2006/relationships/hyperlink" Target="https://beck-online.beck.de/?typ=reference&amp;y=100&amp;g=INSO&amp;p=135" TargetMode="External"/><Relationship Id="rId41" Type="http://schemas.openxmlformats.org/officeDocument/2006/relationships/hyperlink" Target="https://beck-online.beck.de/?typ=reference&amp;y=300&amp;z=NJW&amp;b=2013&amp;s=611&amp;rn=14" TargetMode="External"/><Relationship Id="rId62" Type="http://schemas.openxmlformats.org/officeDocument/2006/relationships/hyperlink" Target="https://beck-online.beck.de/?typ=reference&amp;y=100&amp;g=ZPO&amp;p=563&amp;x=3" TargetMode="External"/><Relationship Id="rId83" Type="http://schemas.openxmlformats.org/officeDocument/2006/relationships/hyperlink" Target="https://beck-online.beck.de/?typ=reference&amp;y=100&amp;g=INSO&amp;p=18&amp;x=2" TargetMode="External"/><Relationship Id="rId88" Type="http://schemas.openxmlformats.org/officeDocument/2006/relationships/hyperlink" Target="https://beck-online.beck.de/?typ=reference&amp;y=300&amp;z=NZI&amp;b=2013&amp;s=932" TargetMode="External"/><Relationship Id="rId111"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4629</Words>
  <Characters>29072</Characters>
  <Application>Microsoft Office Word</Application>
  <DocSecurity>0</DocSecurity>
  <Lines>454</Lines>
  <Paragraphs>72</Paragraphs>
  <ScaleCrop>false</ScaleCrop>
  <Company/>
  <LinksUpToDate>false</LinksUpToDate>
  <CharactersWithSpaces>33629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BGH: Prognose drohender Zahlungsunfähigkeit - Steuern und Bilanzen</dc:title>
  <dc:creator>beck-online.beck.de</dc:creator>
  <cp:lastModifiedBy>Martin Otten</cp:lastModifiedBy>
  <cp:revision>2</cp:revision>
  <dcterms:created xsi:type="dcterms:W3CDTF">2026-06-30T09:59:00Z</dcterms:created>
  <dcterms:modified xsi:type="dcterms:W3CDTF">2026-06-30T09:59:00Z</dcterms:modified>
</cp:coreProperties>
</file>