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4F03CCF8" w14:textId="0189D93E" w:rsidR="002E6714" w:rsidRDefault="002E6714">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139"/>
        <w:gridCol w:w="1951"/>
      </w:tblGrid>
      <w:tr w:rsidR="002E6714" w14:paraId="06CDCDD5" w14:textId="77777777">
        <w:tc>
          <w:tcPr>
            <w:tcW w:w="0" w:type="auto"/>
            <w:shd w:val="clear" w:color="auto" w:fill="F7F7F0"/>
            <w:tcMar>
              <w:top w:w="45" w:type="dxa"/>
              <w:left w:w="45" w:type="dxa"/>
              <w:bottom w:w="105" w:type="dxa"/>
              <w:right w:w="90" w:type="dxa"/>
            </w:tcMar>
            <w:hideMark/>
          </w:tcPr>
          <w:p w14:paraId="5FDB2CBE" w14:textId="77777777" w:rsidR="002E6714" w:rsidRDefault="00000000">
            <w:r>
              <w:rPr>
                <w:rStyle w:val="any"/>
                <w:sz w:val="20"/>
              </w:rPr>
              <w:t>BGH: Schadensersatzpflicht des Geschäftsführers einer GmbH gegenüber Neugläubigern</w:t>
            </w:r>
          </w:p>
        </w:tc>
        <w:tc>
          <w:tcPr>
            <w:tcW w:w="0" w:type="auto"/>
            <w:shd w:val="clear" w:color="auto" w:fill="F7F7F0"/>
            <w:noWrap/>
            <w:tcMar>
              <w:top w:w="45" w:type="dxa"/>
              <w:left w:w="45" w:type="dxa"/>
              <w:bottom w:w="105" w:type="dxa"/>
              <w:right w:w="98" w:type="dxa"/>
            </w:tcMar>
            <w:hideMark/>
          </w:tcPr>
          <w:p w14:paraId="76506F61" w14:textId="77777777" w:rsidR="002E6714" w:rsidRDefault="00000000">
            <w:pPr>
              <w:pStyle w:val="printcontentdivdk2spancitation"/>
              <w:ind w:left="150"/>
              <w:jc w:val="right"/>
            </w:pPr>
            <w:r>
              <w:rPr>
                <w:sz w:val="20"/>
              </w:rPr>
              <w:t>NJW-RR 2007, 759</w:t>
            </w:r>
          </w:p>
        </w:tc>
      </w:tr>
    </w:tbl>
    <w:p w14:paraId="205E25F2" w14:textId="77777777" w:rsidR="002E6714"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Schadensersatzpflicht des Geschäftsführers einer GmbH gegenüber Neugläubigern</w:t>
      </w:r>
    </w:p>
    <w:p w14:paraId="56E265EB" w14:textId="77777777" w:rsidR="002E6714" w:rsidRDefault="00000000">
      <w:pPr>
        <w:pStyle w:val="printcontentdivnotlawversion"/>
        <w:spacing w:line="360" w:lineRule="auto"/>
        <w:ind w:right="150"/>
      </w:pPr>
      <w:r>
        <w:rPr>
          <w:rStyle w:val="any"/>
          <w:color w:val="000000"/>
        </w:rPr>
        <w:t xml:space="preserve">BGB § </w:t>
      </w:r>
      <w:hyperlink r:id="rId6" w:history="1">
        <w:r>
          <w:rPr>
            <w:rStyle w:val="bocontentwrapperbocenteranotbeck-btn"/>
            <w:color w:val="000000"/>
            <w:u w:val="single" w:color="000000"/>
          </w:rPr>
          <w:t>823</w:t>
        </w:r>
      </w:hyperlink>
      <w:r>
        <w:rPr>
          <w:rStyle w:val="any"/>
          <w:color w:val="000000"/>
        </w:rPr>
        <w:t xml:space="preserve"> </w:t>
      </w:r>
      <w:hyperlink r:id="rId7" w:history="1">
        <w:r>
          <w:rPr>
            <w:rStyle w:val="bocontentwrapperbocenteranotbeck-btn"/>
            <w:color w:val="000000"/>
            <w:u w:val="single" w:color="000000"/>
          </w:rPr>
          <w:t>II</w:t>
        </w:r>
      </w:hyperlink>
      <w:r>
        <w:rPr>
          <w:rStyle w:val="divbocontentwrapperbocenterp"/>
          <w:color w:val="000000"/>
        </w:rPr>
        <w:t xml:space="preserve">; </w:t>
      </w:r>
      <w:r>
        <w:rPr>
          <w:rStyle w:val="any"/>
          <w:color w:val="000000"/>
        </w:rPr>
        <w:t xml:space="preserve">GmbHG § </w:t>
      </w:r>
      <w:hyperlink r:id="rId8" w:history="1">
        <w:r>
          <w:rPr>
            <w:rStyle w:val="bocontentwrapperbocenteranotbeck-btn"/>
            <w:color w:val="000000"/>
            <w:u w:val="single" w:color="000000"/>
          </w:rPr>
          <w:t>64</w:t>
        </w:r>
      </w:hyperlink>
      <w:r>
        <w:rPr>
          <w:rStyle w:val="any"/>
          <w:color w:val="000000"/>
        </w:rPr>
        <w:t xml:space="preserve"> </w:t>
      </w:r>
      <w:hyperlink r:id="rId9" w:history="1">
        <w:r>
          <w:rPr>
            <w:rStyle w:val="bocontentwrapperbocenteranotbeck-btn"/>
            <w:color w:val="000000"/>
            <w:u w:val="single" w:color="000000"/>
          </w:rPr>
          <w:t>I</w:t>
        </w:r>
      </w:hyperlink>
    </w:p>
    <w:p w14:paraId="466CBA45" w14:textId="77777777" w:rsidR="002E6714"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Eine Bank, bei der eine GmbH einen Kontokorrentkredit unterhält, ist Neugläubigerin im Sinne des Senatsurteils vom 6. 6. 1994 (</w:t>
      </w:r>
      <w:r>
        <w:rPr>
          <w:rStyle w:val="any"/>
          <w:b/>
          <w:bCs/>
          <w:color w:val="000000"/>
        </w:rPr>
        <w:t xml:space="preserve">BGHZ 126, </w:t>
      </w:r>
      <w:hyperlink r:id="rId10" w:history="1">
        <w:r>
          <w:rPr>
            <w:rStyle w:val="bocontentwrapperbocenteranotbeck-btn"/>
            <w:b/>
            <w:bCs/>
            <w:color w:val="000000"/>
            <w:u w:val="single" w:color="000000"/>
          </w:rPr>
          <w:t>181</w:t>
        </w:r>
      </w:hyperlink>
      <w:r>
        <w:rPr>
          <w:b/>
          <w:bCs/>
          <w:color w:val="000000"/>
        </w:rPr>
        <w:t xml:space="preserve"> = </w:t>
      </w:r>
      <w:r>
        <w:rPr>
          <w:rStyle w:val="any"/>
          <w:b/>
          <w:bCs/>
          <w:color w:val="000000"/>
        </w:rPr>
        <w:t xml:space="preserve">NJW 1994, </w:t>
      </w:r>
      <w:hyperlink r:id="rId11" w:history="1">
        <w:r>
          <w:rPr>
            <w:rStyle w:val="bocontentwrapperbocenteranotbeck-btn"/>
            <w:b/>
            <w:bCs/>
            <w:color w:val="000000"/>
            <w:u w:val="single" w:color="000000"/>
          </w:rPr>
          <w:t>2220</w:t>
        </w:r>
      </w:hyperlink>
      <w:r>
        <w:rPr>
          <w:b/>
          <w:bCs/>
          <w:color w:val="000000"/>
        </w:rPr>
        <w:t>), soweit sich das von der GmbH in Anspruch genommene Kreditvolumen im Stadium der Insolvenzverschleppung erhöht. Für den Differenzschaden haftet der schuldhaft pflichtwidrig handelnde Geschäftsführer bis zur Höhe des negativen Interesses der Bank.</w:t>
      </w:r>
    </w:p>
    <w:p w14:paraId="5432B0FF" w14:textId="77777777" w:rsidR="002E6714"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Die Schadensersatzpflicht des Geschäftsführers einer GmbH gegenüber Neugläubigern (</w:t>
      </w:r>
      <w:r>
        <w:rPr>
          <w:rStyle w:val="any"/>
          <w:b/>
          <w:bCs/>
          <w:color w:val="000000"/>
        </w:rPr>
        <w:t xml:space="preserve">§ </w:t>
      </w:r>
      <w:hyperlink r:id="rId12" w:history="1">
        <w:r>
          <w:rPr>
            <w:rStyle w:val="bocontentwrapperbocenteranotbeck-btn"/>
            <w:b/>
            <w:bCs/>
            <w:color w:val="000000"/>
            <w:u w:val="single" w:color="000000"/>
          </w:rPr>
          <w:t>823</w:t>
        </w:r>
      </w:hyperlink>
      <w:r>
        <w:rPr>
          <w:rStyle w:val="any"/>
          <w:b/>
          <w:bCs/>
          <w:color w:val="000000"/>
        </w:rPr>
        <w:t xml:space="preserve"> </w:t>
      </w:r>
      <w:hyperlink r:id="rId13" w:history="1">
        <w:r>
          <w:rPr>
            <w:rStyle w:val="bocontentwrapperbocenteranotbeck-btn"/>
            <w:b/>
            <w:bCs/>
            <w:color w:val="000000"/>
            <w:u w:val="single" w:color="000000"/>
          </w:rPr>
          <w:t>II</w:t>
        </w:r>
      </w:hyperlink>
      <w:r>
        <w:rPr>
          <w:rStyle w:val="any"/>
          <w:b/>
          <w:bCs/>
          <w:color w:val="000000"/>
        </w:rPr>
        <w:t xml:space="preserve"> BGB</w:t>
      </w:r>
      <w:r>
        <w:rPr>
          <w:b/>
          <w:bCs/>
          <w:color w:val="000000"/>
        </w:rPr>
        <w:t xml:space="preserve">, </w:t>
      </w:r>
      <w:r>
        <w:rPr>
          <w:rStyle w:val="any"/>
          <w:b/>
          <w:bCs/>
          <w:color w:val="000000"/>
        </w:rPr>
        <w:t xml:space="preserve">§ </w:t>
      </w:r>
      <w:hyperlink r:id="rId14" w:history="1">
        <w:r>
          <w:rPr>
            <w:rStyle w:val="bocontentwrapperbocenteranotbeck-btn"/>
            <w:b/>
            <w:bCs/>
            <w:color w:val="000000"/>
            <w:u w:val="single" w:color="000000"/>
          </w:rPr>
          <w:t>64</w:t>
        </w:r>
      </w:hyperlink>
      <w:r>
        <w:rPr>
          <w:rStyle w:val="any"/>
          <w:b/>
          <w:bCs/>
          <w:color w:val="000000"/>
        </w:rPr>
        <w:t xml:space="preserve"> </w:t>
      </w:r>
      <w:hyperlink r:id="rId15" w:history="1">
        <w:r>
          <w:rPr>
            <w:rStyle w:val="bocontentwrapperbocenteranotbeck-btn"/>
            <w:b/>
            <w:bCs/>
            <w:color w:val="000000"/>
            <w:u w:val="single" w:color="000000"/>
          </w:rPr>
          <w:t>I</w:t>
        </w:r>
      </w:hyperlink>
      <w:r>
        <w:rPr>
          <w:rStyle w:val="any"/>
          <w:b/>
          <w:bCs/>
          <w:color w:val="000000"/>
        </w:rPr>
        <w:t xml:space="preserve"> GmbHG</w:t>
      </w:r>
      <w:r>
        <w:rPr>
          <w:b/>
          <w:bCs/>
          <w:color w:val="000000"/>
        </w:rPr>
        <w:t xml:space="preserve">) ist nicht um die auf diese entfallende Insolvenzquote zu kürzen (Abweichung von </w:t>
      </w:r>
      <w:r>
        <w:rPr>
          <w:rStyle w:val="any"/>
          <w:b/>
          <w:bCs/>
          <w:color w:val="000000"/>
        </w:rPr>
        <w:t xml:space="preserve">BGHZ 126, </w:t>
      </w:r>
      <w:hyperlink r:id="rId16" w:history="1">
        <w:r>
          <w:rPr>
            <w:rStyle w:val="bocontentwrapperbocenteranotbeck-btn"/>
            <w:b/>
            <w:bCs/>
            <w:color w:val="000000"/>
            <w:u w:val="single" w:color="000000"/>
          </w:rPr>
          <w:t>181</w:t>
        </w:r>
      </w:hyperlink>
      <w:r>
        <w:rPr>
          <w:rStyle w:val="any"/>
          <w:b/>
          <w:bCs/>
          <w:color w:val="000000"/>
        </w:rPr>
        <w:t xml:space="preserve"> [</w:t>
      </w:r>
      <w:hyperlink r:id="rId17" w:history="1">
        <w:r>
          <w:rPr>
            <w:rStyle w:val="bocontentwrapperbocenteranotbeck-btn"/>
            <w:b/>
            <w:bCs/>
            <w:color w:val="000000"/>
            <w:u w:val="single" w:color="000000"/>
          </w:rPr>
          <w:t>201</w:t>
        </w:r>
      </w:hyperlink>
      <w:r>
        <w:rPr>
          <w:b/>
          <w:bCs/>
          <w:color w:val="000000"/>
        </w:rPr>
        <w:t xml:space="preserve">] = </w:t>
      </w:r>
      <w:r>
        <w:rPr>
          <w:rStyle w:val="any"/>
          <w:b/>
          <w:bCs/>
          <w:color w:val="000000"/>
        </w:rPr>
        <w:t xml:space="preserve">NJW 1994, </w:t>
      </w:r>
      <w:hyperlink r:id="rId18" w:history="1">
        <w:r>
          <w:rPr>
            <w:rStyle w:val="bocontentwrapperbocenteranotbeck-btn"/>
            <w:b/>
            <w:bCs/>
            <w:color w:val="000000"/>
            <w:u w:val="single" w:color="000000"/>
          </w:rPr>
          <w:t>2220</w:t>
        </w:r>
      </w:hyperlink>
      <w:r>
        <w:rPr>
          <w:b/>
          <w:bCs/>
          <w:color w:val="000000"/>
        </w:rPr>
        <w:t xml:space="preserve">); vielmehr ist dem Geschäftsführer entsprechend </w:t>
      </w:r>
      <w:r>
        <w:rPr>
          <w:rStyle w:val="any"/>
          <w:b/>
          <w:bCs/>
          <w:color w:val="000000"/>
        </w:rPr>
        <w:t xml:space="preserve">§ </w:t>
      </w:r>
      <w:hyperlink r:id="rId19" w:history="1">
        <w:r>
          <w:rPr>
            <w:rStyle w:val="bocontentwrapperbocenteranotbeck-btn"/>
            <w:b/>
            <w:bCs/>
            <w:color w:val="000000"/>
            <w:u w:val="single" w:color="000000"/>
          </w:rPr>
          <w:t>255</w:t>
        </w:r>
      </w:hyperlink>
      <w:r>
        <w:rPr>
          <w:rStyle w:val="any"/>
          <w:b/>
          <w:bCs/>
          <w:color w:val="000000"/>
        </w:rPr>
        <w:t xml:space="preserve"> BGB</w:t>
      </w:r>
      <w:r>
        <w:rPr>
          <w:b/>
          <w:bCs/>
          <w:color w:val="000000"/>
        </w:rPr>
        <w:t xml:space="preserve"> i.V. mit </w:t>
      </w:r>
      <w:r>
        <w:rPr>
          <w:rStyle w:val="any"/>
          <w:b/>
          <w:bCs/>
          <w:color w:val="000000"/>
        </w:rPr>
        <w:t xml:space="preserve">§§ </w:t>
      </w:r>
      <w:hyperlink r:id="rId20" w:history="1">
        <w:r>
          <w:rPr>
            <w:rStyle w:val="bocontentwrapperbocenteranotbeck-btn"/>
            <w:b/>
            <w:bCs/>
            <w:color w:val="000000"/>
            <w:u w:val="single" w:color="000000"/>
          </w:rPr>
          <w:t>273</w:t>
        </w:r>
      </w:hyperlink>
      <w:r>
        <w:rPr>
          <w:rStyle w:val="any"/>
          <w:b/>
          <w:bCs/>
          <w:color w:val="000000"/>
        </w:rPr>
        <w:t>f. BGB</w:t>
      </w:r>
      <w:r>
        <w:rPr>
          <w:b/>
          <w:bCs/>
          <w:color w:val="000000"/>
        </w:rPr>
        <w:t xml:space="preserve"> ein Anspruch auf Abtretung der Insolvenzforderung des Neugläubigers gegen die Gesellschaft zuzubilligen (vgl. auch </w:t>
      </w:r>
      <w:r>
        <w:rPr>
          <w:rStyle w:val="any"/>
          <w:b/>
          <w:bCs/>
          <w:color w:val="000000"/>
        </w:rPr>
        <w:t xml:space="preserve">BGHZ 146, </w:t>
      </w:r>
      <w:hyperlink r:id="rId21" w:history="1">
        <w:r>
          <w:rPr>
            <w:rStyle w:val="bocontentwrapperbocenteranotbeck-btn"/>
            <w:b/>
            <w:bCs/>
            <w:color w:val="000000"/>
            <w:u w:val="single" w:color="000000"/>
          </w:rPr>
          <w:t>264</w:t>
        </w:r>
      </w:hyperlink>
      <w:r>
        <w:rPr>
          <w:rStyle w:val="any"/>
          <w:b/>
          <w:bCs/>
          <w:color w:val="000000"/>
        </w:rPr>
        <w:t xml:space="preserve"> [</w:t>
      </w:r>
      <w:hyperlink r:id="rId22" w:history="1">
        <w:r>
          <w:rPr>
            <w:rStyle w:val="bocontentwrapperbocenteranotbeck-btn"/>
            <w:b/>
            <w:bCs/>
            <w:color w:val="000000"/>
            <w:u w:val="single" w:color="000000"/>
          </w:rPr>
          <w:t>278</w:t>
        </w:r>
      </w:hyperlink>
      <w:r>
        <w:rPr>
          <w:b/>
          <w:bCs/>
          <w:color w:val="000000"/>
        </w:rPr>
        <w:t xml:space="preserve">f.] = </w:t>
      </w:r>
      <w:r>
        <w:rPr>
          <w:rStyle w:val="any"/>
          <w:b/>
          <w:bCs/>
          <w:color w:val="000000"/>
        </w:rPr>
        <w:t xml:space="preserve">NJW 2001, </w:t>
      </w:r>
      <w:hyperlink r:id="rId23" w:history="1">
        <w:r>
          <w:rPr>
            <w:rStyle w:val="bocontentwrapperbocenteranotbeck-btn"/>
            <w:b/>
            <w:bCs/>
            <w:color w:val="000000"/>
            <w:u w:val="single" w:color="000000"/>
          </w:rPr>
          <w:t>1280</w:t>
        </w:r>
      </w:hyperlink>
      <w:r>
        <w:rPr>
          <w:b/>
          <w:bCs/>
          <w:color w:val="000000"/>
        </w:rPr>
        <w:t xml:space="preserve"> = </w:t>
      </w:r>
      <w:r>
        <w:rPr>
          <w:rStyle w:val="any"/>
          <w:b/>
          <w:bCs/>
          <w:color w:val="000000"/>
        </w:rPr>
        <w:t xml:space="preserve">NZG 2001, </w:t>
      </w:r>
      <w:hyperlink r:id="rId24" w:history="1">
        <w:r>
          <w:rPr>
            <w:rStyle w:val="bocontentwrapperbocenteranotbeck-btn"/>
            <w:b/>
            <w:bCs/>
            <w:color w:val="000000"/>
            <w:u w:val="single" w:color="000000"/>
          </w:rPr>
          <w:t>361</w:t>
        </w:r>
      </w:hyperlink>
      <w:r>
        <w:rPr>
          <w:b/>
          <w:bCs/>
          <w:color w:val="000000"/>
        </w:rPr>
        <w:t xml:space="preserve"> zu </w:t>
      </w:r>
      <w:r>
        <w:rPr>
          <w:rStyle w:val="any"/>
          <w:b/>
          <w:bCs/>
          <w:color w:val="000000"/>
        </w:rPr>
        <w:t xml:space="preserve">§ </w:t>
      </w:r>
      <w:hyperlink r:id="rId25" w:history="1">
        <w:r>
          <w:rPr>
            <w:rStyle w:val="bocontentwrapperbocenteranotbeck-btn"/>
            <w:b/>
            <w:bCs/>
            <w:color w:val="000000"/>
            <w:u w:val="single" w:color="000000"/>
          </w:rPr>
          <w:t>64</w:t>
        </w:r>
      </w:hyperlink>
      <w:r>
        <w:rPr>
          <w:rStyle w:val="any"/>
          <w:b/>
          <w:bCs/>
          <w:color w:val="000000"/>
        </w:rPr>
        <w:t xml:space="preserve"> </w:t>
      </w:r>
      <w:hyperlink r:id="rId26" w:history="1">
        <w:r>
          <w:rPr>
            <w:rStyle w:val="bocontentwrapperbocenteranotbeck-btn"/>
            <w:b/>
            <w:bCs/>
            <w:color w:val="000000"/>
            <w:u w:val="single" w:color="000000"/>
          </w:rPr>
          <w:t>II</w:t>
        </w:r>
      </w:hyperlink>
      <w:r>
        <w:rPr>
          <w:rStyle w:val="any"/>
          <w:b/>
          <w:bCs/>
          <w:color w:val="000000"/>
        </w:rPr>
        <w:t xml:space="preserve"> GmbHG</w:t>
      </w:r>
      <w:r>
        <w:rPr>
          <w:b/>
          <w:bCs/>
          <w:color w:val="000000"/>
        </w:rPr>
        <w:t>).</w:t>
      </w:r>
    </w:p>
    <w:p w14:paraId="37BD0EDD" w14:textId="77777777" w:rsidR="002E6714" w:rsidRDefault="00000000">
      <w:pPr>
        <w:pStyle w:val="divbocontentwrapperbocenterpParagraph"/>
        <w:spacing w:after="120" w:line="360" w:lineRule="auto"/>
        <w:ind w:right="150"/>
        <w:rPr>
          <w:b/>
          <w:bCs/>
          <w:color w:val="000000"/>
        </w:rPr>
      </w:pPr>
      <w:r>
        <w:rPr>
          <w:rStyle w:val="aufz"/>
          <w:b/>
          <w:bCs/>
          <w:color w:val="000000"/>
        </w:rPr>
        <w:t xml:space="preserve">3. </w:t>
      </w:r>
      <w:r>
        <w:rPr>
          <w:b/>
          <w:bCs/>
          <w:color w:val="000000"/>
        </w:rPr>
        <w:t>Für einen Schadensersatzanspruch wegen Insolvenzverschleppung (</w:t>
      </w:r>
      <w:r>
        <w:rPr>
          <w:rStyle w:val="any"/>
          <w:b/>
          <w:bCs/>
          <w:color w:val="000000"/>
        </w:rPr>
        <w:t xml:space="preserve">§ </w:t>
      </w:r>
      <w:hyperlink r:id="rId27" w:history="1">
        <w:r>
          <w:rPr>
            <w:rStyle w:val="bocontentwrapperbocenteranotbeck-btn"/>
            <w:b/>
            <w:bCs/>
            <w:color w:val="000000"/>
            <w:u w:val="single" w:color="000000"/>
          </w:rPr>
          <w:t>823</w:t>
        </w:r>
      </w:hyperlink>
      <w:r>
        <w:rPr>
          <w:rStyle w:val="any"/>
          <w:b/>
          <w:bCs/>
          <w:color w:val="000000"/>
        </w:rPr>
        <w:t xml:space="preserve"> </w:t>
      </w:r>
      <w:hyperlink r:id="rId28" w:history="1">
        <w:r>
          <w:rPr>
            <w:rStyle w:val="bocontentwrapperbocenteranotbeck-btn"/>
            <w:b/>
            <w:bCs/>
            <w:color w:val="000000"/>
            <w:u w:val="single" w:color="000000"/>
          </w:rPr>
          <w:t>II</w:t>
        </w:r>
      </w:hyperlink>
      <w:r>
        <w:rPr>
          <w:rStyle w:val="any"/>
          <w:b/>
          <w:bCs/>
          <w:color w:val="000000"/>
        </w:rPr>
        <w:t xml:space="preserve"> BGB</w:t>
      </w:r>
      <w:r>
        <w:rPr>
          <w:b/>
          <w:bCs/>
          <w:color w:val="000000"/>
        </w:rPr>
        <w:t xml:space="preserve">, </w:t>
      </w:r>
      <w:r>
        <w:rPr>
          <w:rStyle w:val="any"/>
          <w:b/>
          <w:bCs/>
          <w:color w:val="000000"/>
        </w:rPr>
        <w:t xml:space="preserve">§ </w:t>
      </w:r>
      <w:hyperlink r:id="rId29" w:history="1">
        <w:r>
          <w:rPr>
            <w:rStyle w:val="bocontentwrapperbocenteranotbeck-btn"/>
            <w:b/>
            <w:bCs/>
            <w:color w:val="000000"/>
            <w:u w:val="single" w:color="000000"/>
          </w:rPr>
          <w:t>64</w:t>
        </w:r>
      </w:hyperlink>
      <w:r>
        <w:rPr>
          <w:rStyle w:val="any"/>
          <w:b/>
          <w:bCs/>
          <w:color w:val="000000"/>
        </w:rPr>
        <w:t xml:space="preserve"> </w:t>
      </w:r>
      <w:hyperlink r:id="rId30" w:history="1">
        <w:r>
          <w:rPr>
            <w:rStyle w:val="bocontentwrapperbocenteranotbeck-btn"/>
            <w:b/>
            <w:bCs/>
            <w:color w:val="000000"/>
            <w:u w:val="single" w:color="000000"/>
          </w:rPr>
          <w:t>I</w:t>
        </w:r>
      </w:hyperlink>
      <w:r>
        <w:rPr>
          <w:rStyle w:val="any"/>
          <w:b/>
          <w:bCs/>
          <w:color w:val="000000"/>
        </w:rPr>
        <w:t xml:space="preserve"> GmbHG</w:t>
      </w:r>
      <w:r>
        <w:rPr>
          <w:b/>
          <w:bCs/>
          <w:color w:val="000000"/>
        </w:rPr>
        <w:t>) kommt es auf das Vorliegen ihrer Voraussetzungen im Zeitraum der Gläubigerschädigung und nicht auf lange zurückliegende Gegebenheiten an.</w:t>
      </w:r>
    </w:p>
    <w:p w14:paraId="6AF00129" w14:textId="77777777" w:rsidR="002E6714" w:rsidRDefault="00000000">
      <w:pPr>
        <w:pStyle w:val="divbocontentwrapperbocenterpParagraph"/>
        <w:spacing w:after="120" w:line="360" w:lineRule="auto"/>
        <w:ind w:right="150"/>
        <w:rPr>
          <w:b/>
          <w:bCs/>
          <w:color w:val="000000"/>
        </w:rPr>
      </w:pPr>
      <w:r>
        <w:rPr>
          <w:rStyle w:val="aufz"/>
          <w:b/>
          <w:bCs/>
          <w:color w:val="000000"/>
        </w:rPr>
        <w:t xml:space="preserve">4. </w:t>
      </w:r>
      <w:r>
        <w:rPr>
          <w:b/>
          <w:bCs/>
          <w:color w:val="000000"/>
        </w:rPr>
        <w:t xml:space="preserve">Mit der Neufassung des Überschuldungstatbestands in </w:t>
      </w:r>
      <w:r>
        <w:rPr>
          <w:rStyle w:val="any"/>
          <w:b/>
          <w:bCs/>
          <w:color w:val="000000"/>
        </w:rPr>
        <w:t xml:space="preserve">§ </w:t>
      </w:r>
      <w:hyperlink r:id="rId31" w:history="1">
        <w:r>
          <w:rPr>
            <w:rStyle w:val="bocontentwrapperbocenteranotbeck-btn"/>
            <w:b/>
            <w:bCs/>
            <w:color w:val="000000"/>
            <w:u w:val="single" w:color="000000"/>
          </w:rPr>
          <w:t>19</w:t>
        </w:r>
      </w:hyperlink>
      <w:r>
        <w:rPr>
          <w:rStyle w:val="any"/>
          <w:b/>
          <w:bCs/>
          <w:color w:val="000000"/>
        </w:rPr>
        <w:t xml:space="preserve"> </w:t>
      </w:r>
      <w:hyperlink r:id="rId32" w:history="1">
        <w:r>
          <w:rPr>
            <w:rStyle w:val="bocontentwrapperbocenteranotbeck-btn"/>
            <w:b/>
            <w:bCs/>
            <w:color w:val="000000"/>
            <w:u w:val="single" w:color="000000"/>
          </w:rPr>
          <w:t>II</w:t>
        </w:r>
      </w:hyperlink>
      <w:r>
        <w:rPr>
          <w:rStyle w:val="any"/>
          <w:b/>
          <w:bCs/>
          <w:color w:val="000000"/>
        </w:rPr>
        <w:t xml:space="preserve"> InsO</w:t>
      </w:r>
      <w:r>
        <w:rPr>
          <w:b/>
          <w:bCs/>
          <w:color w:val="000000"/>
        </w:rPr>
        <w:t xml:space="preserve"> ist für das neue Recht der zur Konkursordnung ergangenen Rechtsprechung des Senats zum sog. „zweistufigen Überschuldungsbegriff” (</w:t>
      </w:r>
      <w:r>
        <w:rPr>
          <w:rStyle w:val="any"/>
          <w:b/>
          <w:bCs/>
          <w:color w:val="000000"/>
        </w:rPr>
        <w:t xml:space="preserve">BGHZ 119, </w:t>
      </w:r>
      <w:hyperlink r:id="rId33" w:history="1">
        <w:r>
          <w:rPr>
            <w:rStyle w:val="bocontentwrapperbocenteranotbeck-btn"/>
            <w:b/>
            <w:bCs/>
            <w:color w:val="000000"/>
            <w:u w:val="single" w:color="000000"/>
          </w:rPr>
          <w:t>201</w:t>
        </w:r>
      </w:hyperlink>
      <w:r>
        <w:rPr>
          <w:rStyle w:val="any"/>
          <w:b/>
          <w:bCs/>
          <w:color w:val="000000"/>
        </w:rPr>
        <w:t xml:space="preserve"> [</w:t>
      </w:r>
      <w:hyperlink r:id="rId34" w:history="1">
        <w:r>
          <w:rPr>
            <w:rStyle w:val="bocontentwrapperbocenteranotbeck-btn"/>
            <w:b/>
            <w:bCs/>
            <w:color w:val="000000"/>
            <w:u w:val="single" w:color="000000"/>
          </w:rPr>
          <w:t>214</w:t>
        </w:r>
      </w:hyperlink>
      <w:r>
        <w:rPr>
          <w:b/>
          <w:bCs/>
          <w:color w:val="000000"/>
        </w:rPr>
        <w:t xml:space="preserve">] = </w:t>
      </w:r>
      <w:r>
        <w:rPr>
          <w:rStyle w:val="any"/>
          <w:b/>
          <w:bCs/>
          <w:color w:val="000000"/>
        </w:rPr>
        <w:t xml:space="preserve">NJW 1992, </w:t>
      </w:r>
      <w:hyperlink r:id="rId35" w:history="1">
        <w:r>
          <w:rPr>
            <w:rStyle w:val="bocontentwrapperbocenteranotbeck-btn"/>
            <w:b/>
            <w:bCs/>
            <w:color w:val="000000"/>
            <w:u w:val="single" w:color="000000"/>
          </w:rPr>
          <w:t>2891</w:t>
        </w:r>
      </w:hyperlink>
      <w:r>
        <w:rPr>
          <w:b/>
          <w:bCs/>
          <w:color w:val="000000"/>
        </w:rPr>
        <w:t>) die Grundlage entzogen.</w:t>
      </w:r>
    </w:p>
    <w:p w14:paraId="146969AC" w14:textId="77777777" w:rsidR="002E6714"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5. 2. 2007</w:t>
      </w:r>
      <w:r>
        <w:rPr>
          <w:color w:val="000000"/>
        </w:rPr>
        <w:t xml:space="preserve"> - </w:t>
      </w:r>
      <w:r>
        <w:rPr>
          <w:rStyle w:val="any"/>
          <w:color w:val="000000"/>
        </w:rPr>
        <w:t xml:space="preserve">II ZR 234/05 (OLG Koblenz) </w:t>
      </w:r>
      <w:bookmarkStart w:id="0" w:name="Y-300-Z-NJW-RR-B-2007-S-759-N-1-NAME-SAC"/>
      <w:bookmarkEnd w:id="0"/>
    </w:p>
    <w:p w14:paraId="2B07B4FE" w14:textId="77777777" w:rsidR="002E6714" w:rsidRDefault="00000000">
      <w:pPr>
        <w:pStyle w:val="printcontenth2"/>
        <w:spacing w:line="360" w:lineRule="auto"/>
        <w:ind w:right="150"/>
        <w:outlineLvl w:val="1"/>
        <w:rPr>
          <w:b/>
          <w:bCs/>
        </w:rPr>
      </w:pPr>
      <w:r>
        <w:rPr>
          <w:b/>
          <w:bCs/>
        </w:rPr>
        <w:t>Zum Sachverhalt:</w:t>
      </w:r>
    </w:p>
    <w:p w14:paraId="61B72F04" w14:textId="77777777" w:rsidR="002E6714" w:rsidRDefault="00000000">
      <w:pPr>
        <w:pStyle w:val="divbocontentwrapperbocenterpParagraph"/>
        <w:spacing w:after="120" w:line="360" w:lineRule="auto"/>
        <w:ind w:right="150"/>
        <w:rPr>
          <w:color w:val="000000"/>
        </w:rPr>
      </w:pPr>
      <w:r>
        <w:rPr>
          <w:color w:val="000000"/>
        </w:rPr>
        <w:t xml:space="preserve">Die Kl. war seit etwa 1980 die Hausbank der Mitte 2003 in Insolvenz geratenen </w:t>
      </w:r>
      <w:r>
        <w:rPr>
          <w:rStyle w:val="emitalicon"/>
          <w:color w:val="000000"/>
        </w:rPr>
        <w:t>A</w:t>
      </w:r>
      <w:r>
        <w:rPr>
          <w:color w:val="000000"/>
        </w:rPr>
        <w:t xml:space="preserve">-GmbH (nachfolgend: Schuldnerin) mit einem Stammkapital von 50000 DM. Der Bekl. war ihr Geschäftsführer; er und seine Ehefrau waren deren Alleingesellschafter. Der - erst im Oktober 2001 erstellte - Jahresabschluss der Schuldnerin per 31. 12. 1996 wies einen durch Eigenkapital nicht gedeckten Fehlbetrag in Höhe von ca. 485000 DM aus, wobei Gesellschafterdarlehen von ca. 963000 DM passiviert waren. Die Kreditverbindlichkeiten der Schuldnerin gegenüber der Kl. beliefen sich per 31. 12. 1996 auf ca. 136000 DM. Mit Vertrag vom 22. 10. 1997 erhöhte die Kl. den der Schuldnerin eingeräumten Kontokorrentkredit um weitere 300000 DM. Der Bekl. übernahm dafür eine Bürgschaft in entsprechender Höhe. Ende 1997 wies das Kontokorrentkonto der Schuldnerin ein Haben </w:t>
      </w:r>
      <w:r>
        <w:rPr>
          <w:color w:val="000000"/>
        </w:rPr>
        <w:lastRenderedPageBreak/>
        <w:t>von ca. 156000 DM auf und wurde auch in den Folgejahren, insbesondere im Verlauf des Jahres 2001 immer wieder im Haben geführt. In der Zeit danach erhöhte sich das von der Schuldnerin in Anspruch genommene Kreditvolumen bis zum 30. 9. 2003 auf 371656,04 Euro einschließlich Zinsen. In dem Insolvenzverfahren über das Vermögen der Schuldnerin ist mit einer Befriedigungsquote von 1% zu rechnen.</w:t>
      </w:r>
    </w:p>
    <w:p w14:paraId="4B9395E0" w14:textId="77777777" w:rsidR="002E6714" w:rsidRDefault="00000000">
      <w:pPr>
        <w:pStyle w:val="divbocontentwrapperbocenterpParagraph"/>
        <w:spacing w:after="120" w:line="360" w:lineRule="auto"/>
        <w:ind w:right="150"/>
        <w:rPr>
          <w:color w:val="000000"/>
        </w:rPr>
      </w:pPr>
      <w:r>
        <w:rPr>
          <w:color w:val="000000"/>
        </w:rPr>
        <w:t xml:space="preserve">Mit ihrer Klage verlangt die Kl. von dem Bekl. Schadensersatz aus </w:t>
      </w:r>
      <w:r>
        <w:rPr>
          <w:rStyle w:val="any"/>
          <w:color w:val="000000"/>
        </w:rPr>
        <w:t xml:space="preserve">§ </w:t>
      </w:r>
      <w:hyperlink r:id="rId36" w:history="1">
        <w:r>
          <w:rPr>
            <w:rStyle w:val="bocontentwrapperbocenteranotbeck-btn"/>
            <w:color w:val="000000"/>
            <w:u w:val="single" w:color="000000"/>
          </w:rPr>
          <w:t>823</w:t>
        </w:r>
      </w:hyperlink>
      <w:r>
        <w:rPr>
          <w:rStyle w:val="any"/>
          <w:color w:val="000000"/>
        </w:rPr>
        <w:t xml:space="preserve"> </w:t>
      </w:r>
      <w:hyperlink r:id="rId37" w:history="1">
        <w:r>
          <w:rPr>
            <w:rStyle w:val="bocontentwrapperbocenteranotbeck-btn"/>
            <w:color w:val="000000"/>
            <w:u w:val="single" w:color="000000"/>
          </w:rPr>
          <w:t>II</w:t>
        </w:r>
      </w:hyperlink>
      <w:r>
        <w:rPr>
          <w:rStyle w:val="any"/>
          <w:color w:val="000000"/>
        </w:rPr>
        <w:t xml:space="preserve"> BGB</w:t>
      </w:r>
      <w:r>
        <w:rPr>
          <w:color w:val="000000"/>
        </w:rPr>
        <w:t xml:space="preserve">, </w:t>
      </w:r>
      <w:r>
        <w:rPr>
          <w:rStyle w:val="any"/>
          <w:color w:val="000000"/>
        </w:rPr>
        <w:t xml:space="preserve">§ </w:t>
      </w:r>
      <w:hyperlink r:id="rId38" w:history="1">
        <w:r>
          <w:rPr>
            <w:rStyle w:val="bocontentwrapperbocenteranotbeck-btn"/>
            <w:color w:val="000000"/>
            <w:u w:val="single" w:color="000000"/>
          </w:rPr>
          <w:t>64</w:t>
        </w:r>
      </w:hyperlink>
      <w:r>
        <w:rPr>
          <w:rStyle w:val="any"/>
          <w:color w:val="000000"/>
        </w:rPr>
        <w:t xml:space="preserve"> </w:t>
      </w:r>
      <w:hyperlink r:id="rId39" w:history="1">
        <w:r>
          <w:rPr>
            <w:rStyle w:val="bocontentwrapperbocenteranotbeck-btn"/>
            <w:color w:val="000000"/>
            <w:u w:val="single" w:color="000000"/>
          </w:rPr>
          <w:t>I</w:t>
        </w:r>
      </w:hyperlink>
      <w:r>
        <w:rPr>
          <w:rStyle w:val="any"/>
          <w:color w:val="000000"/>
        </w:rPr>
        <w:t xml:space="preserve"> GmbHG</w:t>
      </w:r>
      <w:r>
        <w:rPr>
          <w:color w:val="000000"/>
        </w:rPr>
        <w:t xml:space="preserve"> mit der Begründung, dass er bereits Anfang 1997 angesichts der damaligen Überschuldung der GmbH hätte Konkursantrag stellen müssen; hätte er dies getan, hätte sie der Schuldnerin keine weiteren Kredite bis zu dem Betrag von 371656,04 Euro gewährt. Abzüglich des von dem Bekl. als Bürge geschuldeten Betrags von 153387,56 Euro (= 300000 DM) verbleibe ein Schaden von 218268,48 Euro. Hilfsweise werde ein Schaden von 162410,29 Euro geltend gemacht, der sich unter Zugrundelegung der durchschnittlichen Refinanzierungskosten anstelle der vereinbarten Zinsen für das an die Schuldnerin ausgereichte Darlehenskapital errechne.</w:t>
      </w:r>
    </w:p>
    <w:p w14:paraId="77E9A204" w14:textId="77777777" w:rsidR="002E6714" w:rsidRDefault="00000000">
      <w:pPr>
        <w:pStyle w:val="divbocontentwrapperbocenterpParagraph"/>
        <w:spacing w:after="120" w:line="360" w:lineRule="auto"/>
        <w:ind w:right="150"/>
        <w:rPr>
          <w:color w:val="000000"/>
        </w:rPr>
      </w:pPr>
      <w:r>
        <w:rPr>
          <w:color w:val="000000"/>
        </w:rPr>
        <w:t xml:space="preserve">Das </w:t>
      </w:r>
      <w:r>
        <w:rPr>
          <w:rStyle w:val="emitalicon"/>
          <w:color w:val="000000"/>
        </w:rPr>
        <w:t>LG</w:t>
      </w:r>
      <w:r>
        <w:rPr>
          <w:color w:val="000000"/>
        </w:rPr>
        <w:t xml:space="preserve"> hat die Klage abgewiesen; das BerGer. hat ihr - unter Anrechnung eines hälftigen Mitverschuldens der Kl. - in Höhe von 109134,24 Euro entsprochen. Dagegen richtete sich die Revision des Bekl., die der </w:t>
      </w:r>
      <w:r>
        <w:rPr>
          <w:rStyle w:val="emitalicon"/>
          <w:color w:val="000000"/>
        </w:rPr>
        <w:t>Senat</w:t>
      </w:r>
      <w:r>
        <w:rPr>
          <w:color w:val="000000"/>
        </w:rPr>
        <w:t xml:space="preserve"> auf dessen Nichtzulassungsbeschwerde zugelassen hat.</w:t>
      </w:r>
    </w:p>
    <w:p w14:paraId="58F96604" w14:textId="77777777" w:rsidR="002E6714" w:rsidRDefault="00000000">
      <w:pPr>
        <w:pStyle w:val="divbocontentwrapperbocenterpParagraph"/>
        <w:spacing w:after="120" w:line="360" w:lineRule="auto"/>
        <w:ind w:right="150"/>
        <w:rPr>
          <w:color w:val="000000"/>
        </w:rPr>
      </w:pPr>
      <w:r>
        <w:rPr>
          <w:color w:val="000000"/>
        </w:rPr>
        <w:t xml:space="preserve">Die Revision führte zur Aufhebung und Zurückverweisung an einen anderen </w:t>
      </w:r>
      <w:r>
        <w:rPr>
          <w:rStyle w:val="emitalicon"/>
          <w:color w:val="000000"/>
        </w:rPr>
        <w:t>Senat</w:t>
      </w:r>
      <w:r>
        <w:rPr>
          <w:color w:val="000000"/>
        </w:rPr>
        <w:t xml:space="preserve"> des BerGer., soweit es zum Nachteil des Bekl. erkannt hat.</w:t>
      </w:r>
      <w:bookmarkStart w:id="1" w:name="Y-300-Z-NJW-RR-B-2007-S-759-N-1-NAME-GRU"/>
      <w:bookmarkEnd w:id="1"/>
    </w:p>
    <w:p w14:paraId="72CB9D50" w14:textId="77777777" w:rsidR="002E6714" w:rsidRDefault="00000000">
      <w:pPr>
        <w:pStyle w:val="printcontenth2"/>
        <w:spacing w:line="360" w:lineRule="auto"/>
        <w:ind w:right="150"/>
        <w:outlineLvl w:val="1"/>
        <w:rPr>
          <w:b/>
          <w:bCs/>
        </w:rPr>
      </w:pPr>
      <w:r>
        <w:rPr>
          <w:b/>
          <w:bCs/>
        </w:rPr>
        <w:t>Aus den Gründen:</w:t>
      </w:r>
    </w:p>
    <w:p w14:paraId="085EFB8E" w14:textId="77777777" w:rsidR="002E6714" w:rsidRDefault="00000000">
      <w:pPr>
        <w:pStyle w:val="divbocontentwrapperbocenterpParagraph"/>
        <w:spacing w:after="120" w:line="360" w:lineRule="auto"/>
        <w:ind w:right="150"/>
        <w:rPr>
          <w:color w:val="000000"/>
        </w:rPr>
      </w:pPr>
      <w:r>
        <w:rPr>
          <w:color w:val="000000"/>
        </w:rPr>
        <w:t xml:space="preserve">[5]I. Das BerGer. geht davon aus, dass die Schuldnerin ausweislich einer von der Kl. vorgelegten „Überschuldungsbilanz” bereits per 31. 12. 1996 mit mindestens ca. 287000 DM überschuldet und konkursreif gewesen sei. Die Eigenkapital ersetzenden Gesellschafterdarlehen in Höhe von 963488,14 DM seien - entsprechend der Entscheidung des </w:t>
      </w:r>
      <w:r>
        <w:rPr>
          <w:rStyle w:val="emitalicon"/>
          <w:color w:val="000000"/>
        </w:rPr>
        <w:t>BGH</w:t>
      </w:r>
      <w:r>
        <w:rPr>
          <w:color w:val="000000"/>
        </w:rPr>
        <w:t xml:space="preserve"> vom 8. 1. 2001 (</w:t>
      </w:r>
      <w:r>
        <w:rPr>
          <w:rStyle w:val="any"/>
          <w:color w:val="000000"/>
        </w:rPr>
        <w:t xml:space="preserve">BGHZ 146, </w:t>
      </w:r>
      <w:hyperlink r:id="rId40" w:history="1">
        <w:r>
          <w:rPr>
            <w:rStyle w:val="bocontentwrapperbocenteranotbeck-btn"/>
            <w:color w:val="000000"/>
            <w:u w:val="single" w:color="000000"/>
          </w:rPr>
          <w:t>264</w:t>
        </w:r>
      </w:hyperlink>
      <w:r>
        <w:rPr>
          <w:color w:val="000000"/>
        </w:rPr>
        <w:t xml:space="preserve"> = </w:t>
      </w:r>
      <w:r>
        <w:rPr>
          <w:rStyle w:val="any"/>
          <w:color w:val="000000"/>
        </w:rPr>
        <w:t xml:space="preserve">NJW 2001, </w:t>
      </w:r>
      <w:hyperlink r:id="rId41" w:history="1">
        <w:r>
          <w:rPr>
            <w:rStyle w:val="bocontentwrapperbocenteranotbeck-btn"/>
            <w:color w:val="000000"/>
            <w:u w:val="single" w:color="000000"/>
          </w:rPr>
          <w:t>1280</w:t>
        </w:r>
      </w:hyperlink>
      <w:r>
        <w:rPr>
          <w:color w:val="000000"/>
        </w:rPr>
        <w:t xml:space="preserve"> = </w:t>
      </w:r>
      <w:r>
        <w:rPr>
          <w:rStyle w:val="any"/>
          <w:color w:val="000000"/>
        </w:rPr>
        <w:t xml:space="preserve">NZG 2001, </w:t>
      </w:r>
      <w:hyperlink r:id="rId42" w:history="1">
        <w:r>
          <w:rPr>
            <w:rStyle w:val="bocontentwrapperbocenteranotbeck-btn"/>
            <w:color w:val="000000"/>
            <w:u w:val="single" w:color="000000"/>
          </w:rPr>
          <w:t>361</w:t>
        </w:r>
      </w:hyperlink>
      <w:r>
        <w:rPr>
          <w:color w:val="000000"/>
        </w:rPr>
        <w:t>) - im Überschuldungsstatus zu passivieren. Die im Jahresabschluss der Schuldnerin per 31. 12. 1996 dokumentierte Erklärung des Bekl. und seiner Ehefrau, aus Sanierungsgründen auf eine kurzfristige Rückführung von 50% der Gesellschafterdarlehen zu verzichten, genüge den an einen Rangrücktritt zu stellenden Anforderungen (</w:t>
      </w:r>
      <w:r>
        <w:rPr>
          <w:rStyle w:val="any"/>
          <w:color w:val="000000"/>
        </w:rPr>
        <w:t xml:space="preserve">BGHZ 146, </w:t>
      </w:r>
      <w:hyperlink r:id="rId43" w:history="1">
        <w:r>
          <w:rPr>
            <w:rStyle w:val="bocontentwrapperbocenteranotbeck-btn"/>
            <w:color w:val="000000"/>
            <w:u w:val="single" w:color="000000"/>
          </w:rPr>
          <w:t>264</w:t>
        </w:r>
      </w:hyperlink>
      <w:r>
        <w:rPr>
          <w:color w:val="000000"/>
        </w:rPr>
        <w:t xml:space="preserve"> = </w:t>
      </w:r>
      <w:r>
        <w:rPr>
          <w:rStyle w:val="any"/>
          <w:color w:val="000000"/>
        </w:rPr>
        <w:t xml:space="preserve">NJW 2001, </w:t>
      </w:r>
      <w:hyperlink r:id="rId44" w:history="1">
        <w:r>
          <w:rPr>
            <w:rStyle w:val="bocontentwrapperbocenteranotbeck-btn"/>
            <w:color w:val="000000"/>
            <w:u w:val="single" w:color="000000"/>
          </w:rPr>
          <w:t>1280</w:t>
        </w:r>
      </w:hyperlink>
      <w:r>
        <w:rPr>
          <w:color w:val="000000"/>
        </w:rPr>
        <w:t xml:space="preserve"> = </w:t>
      </w:r>
      <w:r>
        <w:rPr>
          <w:rStyle w:val="any"/>
          <w:color w:val="000000"/>
        </w:rPr>
        <w:t xml:space="preserve">NZG 2001, </w:t>
      </w:r>
      <w:hyperlink r:id="rId45" w:history="1">
        <w:r>
          <w:rPr>
            <w:rStyle w:val="bocontentwrapperbocenteranotbeck-btn"/>
            <w:color w:val="000000"/>
            <w:u w:val="single" w:color="000000"/>
          </w:rPr>
          <w:t>361</w:t>
        </w:r>
      </w:hyperlink>
      <w:r>
        <w:rPr>
          <w:color w:val="000000"/>
        </w:rPr>
        <w:t>) nicht. Darauf sowie auf das faktische Stehenlassen der Darlehen in den Folgejahren habe der Bekl. auch keine positive Fortführungsprognose gründen können. Er habe seine Insolvenzantragspflicht schuldhaft verletzt. Bei pflichtgemäßer Einholung fachkundigen Rats hätte er „wohl” schon um die Jahreswende 1996/97, jedenfalls aber ab Anfang 2001 erkennen können, dass die Gesellschafterdarlehen im Überschuldungsstatus zu passivieren seien. Die Kl. könne Schadensersatz als „Neugläubigerin” (</w:t>
      </w:r>
      <w:r>
        <w:rPr>
          <w:rStyle w:val="any"/>
          <w:color w:val="000000"/>
        </w:rPr>
        <w:t xml:space="preserve">BGHZ 126, </w:t>
      </w:r>
      <w:hyperlink r:id="rId46"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47" w:history="1">
        <w:r>
          <w:rPr>
            <w:rStyle w:val="bocontentwrapperbocenteranotbeck-btn"/>
            <w:color w:val="000000"/>
            <w:u w:val="single" w:color="000000"/>
          </w:rPr>
          <w:t>2220</w:t>
        </w:r>
      </w:hyperlink>
      <w:r>
        <w:rPr>
          <w:color w:val="000000"/>
        </w:rPr>
        <w:t xml:space="preserve">) verlangen, weil das Kontokorrentkonto der Schuldnerin im Jahr 2001 noch </w:t>
      </w:r>
      <w:r>
        <w:rPr>
          <w:color w:val="000000"/>
        </w:rPr>
        <w:lastRenderedPageBreak/>
        <w:t>im Haben geführt worden und der von der Kl. als Schaden geltend gemachte Sollsaldo der Schuldnerin folglich erst danach, somit jedenfalls nach Eintritt der Insolvenzantragspflicht entstanden sei. Die Kl. müsse sich aber in Anbetracht der von ihr leichtsinnig zugelassenen Kontoüberziehungen ein hälftiges Mitverschulden anrechnen lassen. In die Schadensberechnung seien die vereinbarten Bankzinsen einzubeziehen, weil das von dem Bekl. zu ersetzende negative Interesse auch den entgangenen Gewinn (</w:t>
      </w:r>
      <w:r>
        <w:rPr>
          <w:rStyle w:val="any"/>
          <w:color w:val="000000"/>
        </w:rPr>
        <w:t xml:space="preserve">§ </w:t>
      </w:r>
      <w:hyperlink r:id="rId48" w:history="1">
        <w:r>
          <w:rPr>
            <w:rStyle w:val="bocontentwrapperbocenteranotbeck-btn"/>
            <w:color w:val="000000"/>
            <w:u w:val="single" w:color="000000"/>
          </w:rPr>
          <w:t>252</w:t>
        </w:r>
      </w:hyperlink>
      <w:r>
        <w:rPr>
          <w:rStyle w:val="any"/>
          <w:color w:val="000000"/>
        </w:rPr>
        <w:t xml:space="preserve"> BGB</w:t>
      </w:r>
      <w:r>
        <w:rPr>
          <w:color w:val="000000"/>
        </w:rPr>
        <w:t>) erfasse, den die Kl. durch Kreditvergabe an einen Dritten anstelle der Schuldnerin hätte erzielen können.</w:t>
      </w:r>
    </w:p>
    <w:p w14:paraId="3EE522DE" w14:textId="77777777" w:rsidR="002E6714" w:rsidRDefault="00000000">
      <w:pPr>
        <w:pStyle w:val="divbocontentwrapperbocenterpParagraph"/>
        <w:spacing w:after="120" w:line="360" w:lineRule="auto"/>
        <w:ind w:right="150"/>
        <w:rPr>
          <w:color w:val="000000"/>
        </w:rPr>
      </w:pPr>
      <w:r>
        <w:rPr>
          <w:color w:val="000000"/>
        </w:rPr>
        <w:t>[6]II. Das Berufungsurteil hält, soweit es angefochten ist, revisionsrechtlicher Nachprüfung nicht stand.</w:t>
      </w:r>
    </w:p>
    <w:p w14:paraId="777785E6" w14:textId="77777777" w:rsidR="002E6714" w:rsidRDefault="00000000">
      <w:pPr>
        <w:pStyle w:val="divbocontentwrapperbocenterpParagraph"/>
        <w:spacing w:after="120" w:line="360" w:lineRule="auto"/>
        <w:ind w:right="150"/>
        <w:rPr>
          <w:color w:val="000000"/>
        </w:rPr>
      </w:pPr>
      <w:r>
        <w:rPr>
          <w:color w:val="000000"/>
        </w:rPr>
        <w:t>[7]1. In mehrfacher Hinsicht von Rechtsirrtum beeinflusst ist die Ansicht des BerGer., der Bekl. hafte deshalb (dem Grunde nach) für den von der Kl. geltend gemachten Schaden in Gestalt des Kontokorrentsaldos per 30. 9. 2003, weil die Schuldnerin per 31. 12. 1996 konkursreif, nämlich überschuldet gewesen sei und er, der Bekl., damals nicht unverzüglich Konkursantrag gestellt habe.</w:t>
      </w:r>
    </w:p>
    <w:p w14:paraId="3F58ADEF" w14:textId="77777777" w:rsidR="002E6714" w:rsidRDefault="00000000">
      <w:pPr>
        <w:pStyle w:val="divbocontentwrapperbocenterpParagraph"/>
        <w:spacing w:after="120" w:line="360" w:lineRule="auto"/>
        <w:ind w:right="150"/>
        <w:rPr>
          <w:color w:val="000000"/>
        </w:rPr>
      </w:pPr>
      <w:r>
        <w:rPr>
          <w:color w:val="000000"/>
        </w:rPr>
        <w:t xml:space="preserve">[8]a) Zu Recht rügt die Revision, dass das BerGer. von einer haftungsbegründenden Versäumung der Konkursantragspflicht des Bekl. zum Jahreswechsel 1996/97 ausgegangen ist, obwohl es eine für den Bekl. </w:t>
      </w:r>
      <w:r>
        <w:rPr>
          <w:rStyle w:val="emitalicon"/>
          <w:color w:val="000000"/>
        </w:rPr>
        <w:t>erkennbare</w:t>
      </w:r>
      <w:r>
        <w:rPr>
          <w:color w:val="000000"/>
        </w:rPr>
        <w:t xml:space="preserve"> Konkursreife und damit eine schuldhafte Pflichtverletzung erst für die Zeit nach dem Senatsurteil vom 8. 1. 2001 (</w:t>
      </w:r>
      <w:r>
        <w:rPr>
          <w:rStyle w:val="any"/>
          <w:color w:val="000000"/>
        </w:rPr>
        <w:t xml:space="preserve">BGHZ 146, </w:t>
      </w:r>
      <w:hyperlink r:id="rId49" w:history="1">
        <w:r>
          <w:rPr>
            <w:rStyle w:val="bocontentwrapperbocenteranotbeck-btn"/>
            <w:color w:val="000000"/>
            <w:u w:val="single" w:color="000000"/>
          </w:rPr>
          <w:t>264</w:t>
        </w:r>
      </w:hyperlink>
      <w:r>
        <w:rPr>
          <w:color w:val="000000"/>
        </w:rPr>
        <w:t xml:space="preserve"> = </w:t>
      </w:r>
      <w:r>
        <w:rPr>
          <w:rStyle w:val="any"/>
          <w:color w:val="000000"/>
        </w:rPr>
        <w:t xml:space="preserve">NJW 2001, </w:t>
      </w:r>
      <w:hyperlink r:id="rId50" w:history="1">
        <w:r>
          <w:rPr>
            <w:rStyle w:val="bocontentwrapperbocenteranotbeck-btn"/>
            <w:color w:val="000000"/>
            <w:u w:val="single" w:color="000000"/>
          </w:rPr>
          <w:t>1280</w:t>
        </w:r>
      </w:hyperlink>
      <w:r>
        <w:rPr>
          <w:color w:val="000000"/>
        </w:rPr>
        <w:t>) definitiv festgestellt hat. Der objektive und der subjektive Tatbestand einer Pflichtverletzung müssen zeitlich zusammenfallen. Das gilt auch bei einem Dauerdelikt wie der Konkursverschleppung (</w:t>
      </w:r>
      <w:r>
        <w:rPr>
          <w:rStyle w:val="any"/>
          <w:color w:val="000000"/>
        </w:rPr>
        <w:t xml:space="preserve">§§ </w:t>
      </w:r>
      <w:hyperlink r:id="rId51" w:history="1">
        <w:r>
          <w:rPr>
            <w:rStyle w:val="bocontentwrapperbocenteranotbeck-btn"/>
            <w:color w:val="000000"/>
            <w:u w:val="single" w:color="000000"/>
          </w:rPr>
          <w:t>64</w:t>
        </w:r>
      </w:hyperlink>
      <w:r>
        <w:rPr>
          <w:rStyle w:val="any"/>
          <w:color w:val="000000"/>
        </w:rPr>
        <w:t xml:space="preserve"> </w:t>
      </w:r>
      <w:hyperlink r:id="rId52" w:history="1">
        <w:r>
          <w:rPr>
            <w:rStyle w:val="bocontentwrapperbocenteranotbeck-btn"/>
            <w:color w:val="000000"/>
            <w:u w:val="single" w:color="000000"/>
          </w:rPr>
          <w:t>I</w:t>
        </w:r>
      </w:hyperlink>
      <w:r>
        <w:rPr>
          <w:rStyle w:val="any"/>
          <w:color w:val="000000"/>
        </w:rPr>
        <w:t xml:space="preserve">, </w:t>
      </w:r>
      <w:hyperlink r:id="rId53" w:history="1">
        <w:r>
          <w:rPr>
            <w:rStyle w:val="bocontentwrapperbocenteranotbeck-btn"/>
            <w:color w:val="000000"/>
            <w:u w:val="single" w:color="000000"/>
          </w:rPr>
          <w:t>84</w:t>
        </w:r>
      </w:hyperlink>
      <w:r>
        <w:rPr>
          <w:rStyle w:val="any"/>
          <w:color w:val="000000"/>
        </w:rPr>
        <w:t xml:space="preserve"> </w:t>
      </w:r>
      <w:hyperlink r:id="rId54" w:history="1">
        <w:r>
          <w:rPr>
            <w:rStyle w:val="bocontentwrapperbocenteranotbeck-btn"/>
            <w:color w:val="000000"/>
            <w:u w:val="single" w:color="000000"/>
          </w:rPr>
          <w:t>I</w:t>
        </w:r>
      </w:hyperlink>
      <w:r>
        <w:rPr>
          <w:rStyle w:val="any"/>
          <w:color w:val="000000"/>
        </w:rPr>
        <w:t xml:space="preserve"> Nr. 2 GmbHG</w:t>
      </w:r>
      <w:r>
        <w:rPr>
          <w:color w:val="000000"/>
        </w:rPr>
        <w:t>), soweit für eine daraus resultierende zivilrechtliche Haftung (</w:t>
      </w:r>
      <w:r>
        <w:rPr>
          <w:rStyle w:val="any"/>
          <w:color w:val="000000"/>
        </w:rPr>
        <w:t xml:space="preserve">§ </w:t>
      </w:r>
      <w:hyperlink r:id="rId55" w:history="1">
        <w:r>
          <w:rPr>
            <w:rStyle w:val="bocontentwrapperbocenteranotbeck-btn"/>
            <w:color w:val="000000"/>
            <w:u w:val="single" w:color="000000"/>
          </w:rPr>
          <w:t>823</w:t>
        </w:r>
      </w:hyperlink>
      <w:r>
        <w:rPr>
          <w:rStyle w:val="any"/>
          <w:color w:val="000000"/>
        </w:rPr>
        <w:t xml:space="preserve"> </w:t>
      </w:r>
      <w:hyperlink r:id="rId56" w:history="1">
        <w:r>
          <w:rPr>
            <w:rStyle w:val="bocontentwrapperbocenteranotbeck-btn"/>
            <w:color w:val="000000"/>
            <w:u w:val="single" w:color="000000"/>
          </w:rPr>
          <w:t>II</w:t>
        </w:r>
      </w:hyperlink>
      <w:r>
        <w:rPr>
          <w:rStyle w:val="any"/>
          <w:color w:val="000000"/>
        </w:rPr>
        <w:t xml:space="preserve"> BGB</w:t>
      </w:r>
      <w:r>
        <w:rPr>
          <w:color w:val="000000"/>
        </w:rPr>
        <w:t xml:space="preserve">) auf einen bestimmten Zeitpunkt oder Zeitraum abgestellt wird. Dass der Bekl. die - nur bei Passivierung der Gesellschafterdarlehen gegebene - Überschuldung der Gesellschaft im Jahr 1996/97 hätte erkennen müssen, stellt das BerGer. nicht abschließend fest und ist auch nicht ersichtlich. Zwar ist ein Verschulden des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2E6714" w14:paraId="5134F8B0" w14:textId="77777777">
        <w:tc>
          <w:tcPr>
            <w:tcW w:w="4000" w:type="pct"/>
            <w:shd w:val="clear" w:color="auto" w:fill="F0F0F0"/>
            <w:tcMar>
              <w:top w:w="0" w:type="dxa"/>
              <w:left w:w="0" w:type="dxa"/>
              <w:bottom w:w="0" w:type="dxa"/>
              <w:right w:w="0" w:type="dxa"/>
            </w:tcMar>
            <w:vAlign w:val="center"/>
            <w:hideMark/>
          </w:tcPr>
          <w:p w14:paraId="48157A86" w14:textId="77777777" w:rsidR="002E6714"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Schadensersatzpflicht des Geschäftsführers einer GmbH gegenüber Neugläubigern</w:t>
            </w:r>
            <w:r>
              <w:rPr>
                <w:rStyle w:val="citation"/>
                <w:color w:val="000000"/>
              </w:rPr>
              <w:t>(NJW-RR 2007, 759)</w:t>
            </w:r>
          </w:p>
        </w:tc>
        <w:tc>
          <w:tcPr>
            <w:tcW w:w="1000" w:type="pct"/>
            <w:shd w:val="clear" w:color="auto" w:fill="F0F0F0"/>
            <w:tcMar>
              <w:top w:w="0" w:type="dxa"/>
              <w:left w:w="0" w:type="dxa"/>
              <w:bottom w:w="0" w:type="dxa"/>
              <w:right w:w="0" w:type="dxa"/>
            </w:tcMar>
            <w:vAlign w:val="center"/>
            <w:hideMark/>
          </w:tcPr>
          <w:p w14:paraId="7B0A3234" w14:textId="77777777" w:rsidR="002E6714"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760</w:t>
            </w:r>
          </w:p>
        </w:tc>
      </w:tr>
    </w:tbl>
    <w:p w14:paraId="78356541" w14:textId="77777777" w:rsidR="002E6714" w:rsidRDefault="00000000">
      <w:pPr>
        <w:pStyle w:val="divbocontentwrapperbocenterpParagraph"/>
        <w:spacing w:after="120" w:line="360" w:lineRule="auto"/>
        <w:ind w:right="150"/>
        <w:rPr>
          <w:color w:val="000000"/>
        </w:rPr>
      </w:pPr>
      <w:r>
        <w:rPr>
          <w:color w:val="000000"/>
        </w:rPr>
        <w:t>Geschäftsführers bei objektiver Versäumung der Insolvenzantragspflicht (</w:t>
      </w:r>
      <w:r>
        <w:rPr>
          <w:rStyle w:val="any"/>
          <w:color w:val="000000"/>
        </w:rPr>
        <w:t xml:space="preserve">§ </w:t>
      </w:r>
      <w:hyperlink r:id="rId57" w:history="1">
        <w:r>
          <w:rPr>
            <w:rStyle w:val="bocontentwrapperbocenteranotbeck-btn"/>
            <w:color w:val="000000"/>
            <w:u w:val="single" w:color="000000"/>
          </w:rPr>
          <w:t>64</w:t>
        </w:r>
      </w:hyperlink>
      <w:r>
        <w:rPr>
          <w:rStyle w:val="any"/>
          <w:color w:val="000000"/>
        </w:rPr>
        <w:t xml:space="preserve"> </w:t>
      </w:r>
      <w:hyperlink r:id="rId58" w:history="1">
        <w:r>
          <w:rPr>
            <w:rStyle w:val="bocontentwrapperbocenteranotbeck-btn"/>
            <w:color w:val="000000"/>
            <w:u w:val="single" w:color="000000"/>
          </w:rPr>
          <w:t>I</w:t>
        </w:r>
      </w:hyperlink>
      <w:r>
        <w:rPr>
          <w:rStyle w:val="any"/>
          <w:color w:val="000000"/>
        </w:rPr>
        <w:t xml:space="preserve"> GmbHG</w:t>
      </w:r>
      <w:r>
        <w:rPr>
          <w:color w:val="000000"/>
        </w:rPr>
        <w:t>) zu vermuten (</w:t>
      </w:r>
      <w:r>
        <w:rPr>
          <w:rStyle w:val="any"/>
          <w:color w:val="000000"/>
        </w:rPr>
        <w:t xml:space="preserve">BGHZ 143, </w:t>
      </w:r>
      <w:hyperlink r:id="rId59" w:history="1">
        <w:r>
          <w:rPr>
            <w:rStyle w:val="bocontentwrapperbocenteranotbeck-btn"/>
            <w:color w:val="000000"/>
            <w:u w:val="single" w:color="000000"/>
          </w:rPr>
          <w:t>184</w:t>
        </w:r>
      </w:hyperlink>
      <w:r>
        <w:rPr>
          <w:color w:val="000000"/>
        </w:rPr>
        <w:t xml:space="preserve"> = </w:t>
      </w:r>
      <w:r>
        <w:rPr>
          <w:rStyle w:val="any"/>
          <w:color w:val="000000"/>
        </w:rPr>
        <w:t xml:space="preserve">NJW-RR 2000, </w:t>
      </w:r>
      <w:hyperlink r:id="rId60" w:history="1">
        <w:r>
          <w:rPr>
            <w:rStyle w:val="bocontentwrapperbocenteranotbeck-btn"/>
            <w:color w:val="000000"/>
            <w:u w:val="single" w:color="000000"/>
          </w:rPr>
          <w:t>623</w:t>
        </w:r>
      </w:hyperlink>
      <w:r>
        <w:rPr>
          <w:color w:val="000000"/>
        </w:rPr>
        <w:t xml:space="preserve">). Entgegen den Erwägungen des BerGer. konnte der Bekl. aber nach dem Meinungsstand vor Bekanntwerden des genannten Senatsurteils (vgl. die dortigen Nachw. </w:t>
      </w:r>
      <w:r>
        <w:rPr>
          <w:rStyle w:val="any"/>
          <w:color w:val="000000"/>
        </w:rPr>
        <w:t xml:space="preserve">BGHZ 146, </w:t>
      </w:r>
      <w:hyperlink r:id="rId61" w:history="1">
        <w:r>
          <w:rPr>
            <w:rStyle w:val="bocontentwrapperbocenteranotbeck-btn"/>
            <w:color w:val="000000"/>
            <w:u w:val="single" w:color="000000"/>
          </w:rPr>
          <w:t>264</w:t>
        </w:r>
      </w:hyperlink>
      <w:r>
        <w:rPr>
          <w:rStyle w:val="any"/>
          <w:color w:val="000000"/>
        </w:rPr>
        <w:t xml:space="preserve"> [</w:t>
      </w:r>
      <w:hyperlink r:id="rId62" w:history="1">
        <w:r>
          <w:rPr>
            <w:rStyle w:val="bocontentwrapperbocenteranotbeck-btn"/>
            <w:color w:val="000000"/>
            <w:u w:val="single" w:color="000000"/>
          </w:rPr>
          <w:t>269</w:t>
        </w:r>
      </w:hyperlink>
      <w:r>
        <w:rPr>
          <w:color w:val="000000"/>
        </w:rPr>
        <w:t xml:space="preserve">f.] = </w:t>
      </w:r>
      <w:r>
        <w:rPr>
          <w:rStyle w:val="any"/>
          <w:color w:val="000000"/>
        </w:rPr>
        <w:t xml:space="preserve">NJW 2001, </w:t>
      </w:r>
      <w:hyperlink r:id="rId63" w:history="1">
        <w:r>
          <w:rPr>
            <w:rStyle w:val="bocontentwrapperbocenteranotbeck-btn"/>
            <w:color w:val="000000"/>
            <w:u w:val="single" w:color="000000"/>
          </w:rPr>
          <w:t>1280</w:t>
        </w:r>
      </w:hyperlink>
      <w:r>
        <w:rPr>
          <w:color w:val="000000"/>
        </w:rPr>
        <w:t xml:space="preserve"> = </w:t>
      </w:r>
      <w:r>
        <w:rPr>
          <w:rStyle w:val="any"/>
          <w:color w:val="000000"/>
        </w:rPr>
        <w:t xml:space="preserve">NZG 2001, </w:t>
      </w:r>
      <w:hyperlink r:id="rId64" w:history="1">
        <w:r>
          <w:rPr>
            <w:rStyle w:val="bocontentwrapperbocenteranotbeck-btn"/>
            <w:color w:val="000000"/>
            <w:u w:val="single" w:color="000000"/>
          </w:rPr>
          <w:t>361</w:t>
        </w:r>
      </w:hyperlink>
      <w:r>
        <w:rPr>
          <w:color w:val="000000"/>
        </w:rPr>
        <w:t xml:space="preserve">) durchaus davon ausgehen, dass Eigenkapital ersetzende Darlehen im Überschuldungsstatus nicht zu passivieren sind (vgl. auch </w:t>
      </w:r>
      <w:r>
        <w:rPr>
          <w:rStyle w:val="emitalicon"/>
          <w:color w:val="000000"/>
        </w:rPr>
        <w:t>OLG München,</w:t>
      </w:r>
      <w:r>
        <w:rPr>
          <w:color w:val="000000"/>
        </w:rPr>
        <w:t xml:space="preserve"> </w:t>
      </w:r>
      <w:r>
        <w:rPr>
          <w:rStyle w:val="any"/>
          <w:color w:val="000000"/>
        </w:rPr>
        <w:t xml:space="preserve">NJW 1994, </w:t>
      </w:r>
      <w:hyperlink r:id="rId65" w:history="1">
        <w:r>
          <w:rPr>
            <w:rStyle w:val="bocontentwrapperbocenteranotbeck-btn"/>
            <w:color w:val="000000"/>
            <w:u w:val="single" w:color="000000"/>
          </w:rPr>
          <w:t>3112</w:t>
        </w:r>
      </w:hyperlink>
      <w:r>
        <w:rPr>
          <w:color w:val="000000"/>
        </w:rPr>
        <w:t xml:space="preserve">; </w:t>
      </w:r>
      <w:r>
        <w:rPr>
          <w:rStyle w:val="emitalicon"/>
          <w:color w:val="000000"/>
        </w:rPr>
        <w:t>OLG Düsseldorf</w:t>
      </w:r>
      <w:r>
        <w:rPr>
          <w:color w:val="000000"/>
        </w:rPr>
        <w:t xml:space="preserve">, </w:t>
      </w:r>
      <w:r>
        <w:rPr>
          <w:rStyle w:val="any"/>
          <w:color w:val="000000"/>
        </w:rPr>
        <w:t xml:space="preserve">NJW-RR 1998, </w:t>
      </w:r>
      <w:hyperlink r:id="rId66" w:history="1">
        <w:r>
          <w:rPr>
            <w:rStyle w:val="bocontentwrapperbocenteranotbeck-btn"/>
            <w:color w:val="000000"/>
            <w:u w:val="single" w:color="000000"/>
          </w:rPr>
          <w:t>1256</w:t>
        </w:r>
      </w:hyperlink>
      <w:r>
        <w:rPr>
          <w:color w:val="000000"/>
        </w:rPr>
        <w:t xml:space="preserve"> = </w:t>
      </w:r>
      <w:r>
        <w:rPr>
          <w:rStyle w:val="any"/>
          <w:color w:val="000000"/>
        </w:rPr>
        <w:t xml:space="preserve">GmbHR 1997, </w:t>
      </w:r>
      <w:hyperlink r:id="rId67" w:history="1">
        <w:r>
          <w:rPr>
            <w:rStyle w:val="bocontentwrapperbocenteranotbeck-btn"/>
            <w:color w:val="000000"/>
            <w:u w:val="single" w:color="000000"/>
          </w:rPr>
          <w:t>699</w:t>
        </w:r>
      </w:hyperlink>
      <w:r>
        <w:rPr>
          <w:color w:val="000000"/>
        </w:rPr>
        <w:t xml:space="preserve">; </w:t>
      </w:r>
      <w:r>
        <w:rPr>
          <w:rStyle w:val="emitalicon"/>
          <w:color w:val="000000"/>
        </w:rPr>
        <w:t>OLG Stuttgart,</w:t>
      </w:r>
      <w:r>
        <w:rPr>
          <w:color w:val="000000"/>
        </w:rPr>
        <w:t xml:space="preserve"> </w:t>
      </w:r>
      <w:r>
        <w:rPr>
          <w:rStyle w:val="any"/>
          <w:color w:val="000000"/>
        </w:rPr>
        <w:t xml:space="preserve">NZG 1998, </w:t>
      </w:r>
      <w:hyperlink r:id="rId68" w:history="1">
        <w:r>
          <w:rPr>
            <w:rStyle w:val="bocontentwrapperbocenteranotbeck-btn"/>
            <w:color w:val="000000"/>
            <w:u w:val="single" w:color="000000"/>
          </w:rPr>
          <w:t>308</w:t>
        </w:r>
      </w:hyperlink>
      <w:r>
        <w:rPr>
          <w:color w:val="000000"/>
        </w:rPr>
        <w:t>).</w:t>
      </w:r>
    </w:p>
    <w:p w14:paraId="337A6F57" w14:textId="77777777" w:rsidR="002E6714" w:rsidRDefault="00000000">
      <w:pPr>
        <w:pStyle w:val="divbocontentwrapperbocenterpParagraph"/>
        <w:spacing w:after="120" w:line="360" w:lineRule="auto"/>
        <w:ind w:right="150"/>
        <w:rPr>
          <w:color w:val="000000"/>
        </w:rPr>
      </w:pPr>
      <w:r>
        <w:rPr>
          <w:color w:val="000000"/>
        </w:rPr>
        <w:lastRenderedPageBreak/>
        <w:t>[9]b) Soweit das BerGer. darauf abstellt, dass der Bekl. „jedenfalls” im Jahr 2001 nach Bekanntwerden des Senatsurteils vom 8. 1. 2001 seine Insolvenzantragspflicht habe erkennen müssen, verkennt es andererseits, wie die Revision ebenfalls zu Recht rügt, dass es an Feststellungen für eine Insolvenzreife der Schuldnerin im Jahr 2001 fehlt und dazu nicht die von der Kl. vorgelegte Überschuldungsbilanz per 31. 12. 1996 herangezogen werden kann. Gegen eine Insolvenzreife der Schuldnerin im Jahr 2001 spricht immerhin, dass ihr Kontokorrentkonto bei der Kl., wie das BerGer. selbst ausführt, noch im Verlauf dieses Jahres unstreitig im Haben geführt wurde. Zudem hat der Bekl., worauf die Revision hinweist, geltend gemacht, die Schuldnerin sei in den Jahren 1996/97 allenfalls vorübergehend und in den Folgejahren nicht mehr überschuldet gewesen. Gegenteiliges ist nicht festgestellt.</w:t>
      </w:r>
    </w:p>
    <w:p w14:paraId="7B0E38B0" w14:textId="77777777" w:rsidR="002E6714" w:rsidRDefault="00000000">
      <w:pPr>
        <w:pStyle w:val="divbocontentwrapperbocenterpParagraph"/>
        <w:spacing w:after="120" w:line="360" w:lineRule="auto"/>
        <w:ind w:right="150"/>
        <w:rPr>
          <w:color w:val="000000"/>
        </w:rPr>
      </w:pPr>
      <w:r>
        <w:rPr>
          <w:color w:val="000000"/>
        </w:rPr>
        <w:t xml:space="preserve">[10]c) Selbst wenn der Bekl. seine Insolvenzantragspflicht in den Jahren 1996/97 schuldhaft verletzt hätte, ließe sich - was das BerGer. ebenfalls verkannt hat - seine Haftung für den bis zum 30. 9. 2003 entstandenen Schaden der Kl. hierauf nicht gründen. Wurde nämlich das Kontokorrentkonto der Schuldnerin bei der Kl. im Jahr 2001 noch im Haben geführt, so ist der Kl. bis dahin ein Schaden überhaupt noch nicht entstanden. Eine irgendwann einmal gegebene Verletzung der Konkursantragspflicht genügt nicht, um dem betreffenden Geschäftsführer jedwede spätere Gläubigerschädigung mit der Begründung zuzurechnen, dass es dazu bei Erfüllung der ursprünglichen Konkursantragspflicht nicht gekommen wäre. Vielmehr muss eine schuldhafte Verletzung der Konkursantragspflicht des Geschäftsführers in der zum Schaden des Vertragspartners der Gesellschaft führenden Geschäftssituation (noch) vorliegen (vgl. </w:t>
      </w:r>
      <w:r>
        <w:rPr>
          <w:rStyle w:val="any"/>
          <w:color w:val="000000"/>
        </w:rPr>
        <w:t xml:space="preserve">BGHZ 164, </w:t>
      </w:r>
      <w:hyperlink r:id="rId69" w:history="1">
        <w:r>
          <w:rPr>
            <w:rStyle w:val="bocontentwrapperbocenteranotbeck-btn"/>
            <w:color w:val="000000"/>
            <w:u w:val="single" w:color="000000"/>
          </w:rPr>
          <w:t>50</w:t>
        </w:r>
      </w:hyperlink>
      <w:r>
        <w:rPr>
          <w:rStyle w:val="any"/>
          <w:color w:val="000000"/>
        </w:rPr>
        <w:t xml:space="preserve"> [</w:t>
      </w:r>
      <w:hyperlink r:id="rId70" w:history="1">
        <w:r>
          <w:rPr>
            <w:rStyle w:val="bocontentwrapperbocenteranotbeck-btn"/>
            <w:color w:val="000000"/>
            <w:u w:val="single" w:color="000000"/>
          </w:rPr>
          <w:t>55</w:t>
        </w:r>
      </w:hyperlink>
      <w:r>
        <w:rPr>
          <w:color w:val="000000"/>
        </w:rPr>
        <w:t xml:space="preserve">f.] = </w:t>
      </w:r>
      <w:r>
        <w:rPr>
          <w:rStyle w:val="any"/>
          <w:color w:val="000000"/>
        </w:rPr>
        <w:t xml:space="preserve">NJW 2005, </w:t>
      </w:r>
      <w:hyperlink r:id="rId71" w:history="1">
        <w:r>
          <w:rPr>
            <w:rStyle w:val="bocontentwrapperbocenteranotbeck-btn"/>
            <w:color w:val="000000"/>
            <w:u w:val="single" w:color="000000"/>
          </w:rPr>
          <w:t>3137</w:t>
        </w:r>
      </w:hyperlink>
      <w:r>
        <w:rPr>
          <w:color w:val="000000"/>
        </w:rPr>
        <w:t>). Auch deshalb kommt es hier allein darauf an, ob und ab wann in den Jahren ab 2001 eine schuldhafte Konkursverschleppung des Bekl. vorlag. Feststellungen dazu fehlen.</w:t>
      </w:r>
    </w:p>
    <w:p w14:paraId="6BA1C134" w14:textId="77777777" w:rsidR="002E6714" w:rsidRDefault="00000000">
      <w:pPr>
        <w:pStyle w:val="divbocontentwrapperbocenterpParagraph"/>
        <w:spacing w:after="120" w:line="360" w:lineRule="auto"/>
        <w:ind w:right="150"/>
        <w:rPr>
          <w:color w:val="000000"/>
        </w:rPr>
      </w:pPr>
      <w:r>
        <w:rPr>
          <w:color w:val="000000"/>
        </w:rPr>
        <w:t>[11]2. Nach allem kann das angefochtene Urteil mit der von dem BerGer. gegebenen Begründung nicht bestehen bleiben. Eine Entscheidung in der Sache selbst (</w:t>
      </w:r>
      <w:r>
        <w:rPr>
          <w:rStyle w:val="any"/>
          <w:color w:val="000000"/>
        </w:rPr>
        <w:t xml:space="preserve">§ </w:t>
      </w:r>
      <w:hyperlink r:id="rId72" w:history="1">
        <w:r>
          <w:rPr>
            <w:rStyle w:val="bocontentwrapperbocenteranotbeck-btn"/>
            <w:color w:val="000000"/>
            <w:u w:val="single" w:color="000000"/>
          </w:rPr>
          <w:t>563</w:t>
        </w:r>
      </w:hyperlink>
      <w:r>
        <w:rPr>
          <w:rStyle w:val="any"/>
          <w:color w:val="000000"/>
        </w:rPr>
        <w:t xml:space="preserve"> </w:t>
      </w:r>
      <w:hyperlink r:id="rId73" w:history="1">
        <w:r>
          <w:rPr>
            <w:rStyle w:val="bocontentwrapperbocenteranotbeck-btn"/>
            <w:color w:val="000000"/>
            <w:u w:val="single" w:color="000000"/>
          </w:rPr>
          <w:t>III</w:t>
        </w:r>
      </w:hyperlink>
      <w:r>
        <w:rPr>
          <w:rStyle w:val="any"/>
          <w:color w:val="000000"/>
        </w:rPr>
        <w:t xml:space="preserve"> ZPO</w:t>
      </w:r>
      <w:r>
        <w:rPr>
          <w:color w:val="000000"/>
        </w:rPr>
        <w:t xml:space="preserve">) ist dem </w:t>
      </w:r>
      <w:r>
        <w:rPr>
          <w:rStyle w:val="emitalicon"/>
          <w:color w:val="000000"/>
        </w:rPr>
        <w:t>Senat</w:t>
      </w:r>
      <w:r>
        <w:rPr>
          <w:color w:val="000000"/>
        </w:rPr>
        <w:t xml:space="preserve"> verwehrt, weil es dazu weiterer tatrichterlicher Feststellungen bedarf.</w:t>
      </w:r>
    </w:p>
    <w:p w14:paraId="377DDF1A" w14:textId="77777777" w:rsidR="002E6714" w:rsidRDefault="00000000">
      <w:pPr>
        <w:pStyle w:val="divbocontentwrapperbocenterpParagraph"/>
        <w:spacing w:after="120" w:line="360" w:lineRule="auto"/>
        <w:ind w:right="150"/>
        <w:rPr>
          <w:color w:val="000000"/>
        </w:rPr>
      </w:pPr>
      <w:r>
        <w:rPr>
          <w:color w:val="000000"/>
        </w:rPr>
        <w:t>[12]a) Die Klage wäre allerdings aus Rechtsgründen abweisungsreif, wenn die Kl. entgegen der Ansicht des BerGer. als „Altgläubigerin” der Schuldnerin anzusehen und deshalb auf den Ersatz eines „Quotenschadens” (</w:t>
      </w:r>
      <w:r>
        <w:rPr>
          <w:rStyle w:val="any"/>
          <w:color w:val="000000"/>
        </w:rPr>
        <w:t xml:space="preserve">BGHZ 29, </w:t>
      </w:r>
      <w:hyperlink r:id="rId74" w:history="1">
        <w:r>
          <w:rPr>
            <w:rStyle w:val="bocontentwrapperbocenteranotbeck-btn"/>
            <w:color w:val="000000"/>
            <w:u w:val="single" w:color="000000"/>
          </w:rPr>
          <w:t>100</w:t>
        </w:r>
      </w:hyperlink>
      <w:r>
        <w:rPr>
          <w:rStyle w:val="any"/>
          <w:color w:val="000000"/>
        </w:rPr>
        <w:t xml:space="preserve">, </w:t>
      </w:r>
      <w:hyperlink r:id="rId75" w:history="1">
        <w:r>
          <w:rPr>
            <w:rStyle w:val="bocontentwrapperbocenteranotbeck-btn"/>
            <w:color w:val="000000"/>
            <w:u w:val="single" w:color="000000"/>
          </w:rPr>
          <w:t>104</w:t>
        </w:r>
      </w:hyperlink>
      <w:r>
        <w:rPr>
          <w:color w:val="000000"/>
        </w:rPr>
        <w:t xml:space="preserve"> = </w:t>
      </w:r>
      <w:r>
        <w:rPr>
          <w:rStyle w:val="any"/>
          <w:color w:val="000000"/>
        </w:rPr>
        <w:t xml:space="preserve">NJW 1959, </w:t>
      </w:r>
      <w:hyperlink r:id="rId76" w:history="1">
        <w:r>
          <w:rPr>
            <w:rStyle w:val="bocontentwrapperbocenteranotbeck-btn"/>
            <w:color w:val="000000"/>
            <w:u w:val="single" w:color="000000"/>
          </w:rPr>
          <w:t>623</w:t>
        </w:r>
      </w:hyperlink>
      <w:r>
        <w:rPr>
          <w:color w:val="000000"/>
        </w:rPr>
        <w:t xml:space="preserve">) beschränkt wäre, der in einem - wie hier - eröffneten Insolvenzverfahren als einheitlicher Gesamtgläubigerschaden gem. </w:t>
      </w:r>
      <w:r>
        <w:rPr>
          <w:rStyle w:val="any"/>
          <w:color w:val="000000"/>
        </w:rPr>
        <w:t xml:space="preserve">§ </w:t>
      </w:r>
      <w:hyperlink r:id="rId77" w:history="1">
        <w:r>
          <w:rPr>
            <w:rStyle w:val="bocontentwrapperbocenteranotbeck-btn"/>
            <w:color w:val="000000"/>
            <w:u w:val="single" w:color="000000"/>
          </w:rPr>
          <w:t>92</w:t>
        </w:r>
      </w:hyperlink>
      <w:r>
        <w:rPr>
          <w:rStyle w:val="any"/>
          <w:color w:val="000000"/>
        </w:rPr>
        <w:t xml:space="preserve"> InsO</w:t>
      </w:r>
      <w:r>
        <w:rPr>
          <w:color w:val="000000"/>
        </w:rPr>
        <w:t xml:space="preserve"> allein von dem Insolvenzverwalter gegenüber dem Geschäftsführer geltend zu machen ist (vgl. </w:t>
      </w:r>
      <w:r>
        <w:rPr>
          <w:rStyle w:val="any"/>
          <w:color w:val="000000"/>
        </w:rPr>
        <w:t xml:space="preserve">BGHZ 126, </w:t>
      </w:r>
      <w:hyperlink r:id="rId78" w:history="1">
        <w:r>
          <w:rPr>
            <w:rStyle w:val="bocontentwrapperbocenteranotbeck-btn"/>
            <w:color w:val="000000"/>
            <w:u w:val="single" w:color="000000"/>
          </w:rPr>
          <w:t>181</w:t>
        </w:r>
      </w:hyperlink>
      <w:r>
        <w:rPr>
          <w:rStyle w:val="any"/>
          <w:color w:val="000000"/>
        </w:rPr>
        <w:t xml:space="preserve"> [</w:t>
      </w:r>
      <w:hyperlink r:id="rId79" w:history="1">
        <w:r>
          <w:rPr>
            <w:rStyle w:val="bocontentwrapperbocenteranotbeck-btn"/>
            <w:color w:val="000000"/>
            <w:u w:val="single" w:color="000000"/>
          </w:rPr>
          <w:t>190</w:t>
        </w:r>
      </w:hyperlink>
      <w:r>
        <w:rPr>
          <w:color w:val="000000"/>
        </w:rPr>
        <w:t xml:space="preserve">] = </w:t>
      </w:r>
      <w:r>
        <w:rPr>
          <w:rStyle w:val="any"/>
          <w:color w:val="000000"/>
        </w:rPr>
        <w:t xml:space="preserve">NJW 1994, </w:t>
      </w:r>
      <w:hyperlink r:id="rId80" w:history="1">
        <w:r>
          <w:rPr>
            <w:rStyle w:val="bocontentwrapperbocenteranotbeck-btn"/>
            <w:color w:val="000000"/>
            <w:u w:val="single" w:color="000000"/>
          </w:rPr>
          <w:t>2220</w:t>
        </w:r>
      </w:hyperlink>
      <w:r>
        <w:rPr>
          <w:color w:val="000000"/>
        </w:rPr>
        <w:t xml:space="preserve">; </w:t>
      </w:r>
      <w:r>
        <w:rPr>
          <w:rStyle w:val="any"/>
          <w:color w:val="000000"/>
        </w:rPr>
        <w:t xml:space="preserve">BGHZ 138, </w:t>
      </w:r>
      <w:hyperlink r:id="rId81" w:history="1">
        <w:r>
          <w:rPr>
            <w:rStyle w:val="bocontentwrapperbocenteranotbeck-btn"/>
            <w:color w:val="000000"/>
            <w:u w:val="single" w:color="000000"/>
          </w:rPr>
          <w:t>211</w:t>
        </w:r>
      </w:hyperlink>
      <w:r>
        <w:rPr>
          <w:rStyle w:val="any"/>
          <w:color w:val="000000"/>
        </w:rPr>
        <w:t xml:space="preserve"> [</w:t>
      </w:r>
      <w:hyperlink r:id="rId82" w:history="1">
        <w:r>
          <w:rPr>
            <w:rStyle w:val="bocontentwrapperbocenteranotbeck-btn"/>
            <w:color w:val="000000"/>
            <w:u w:val="single" w:color="000000"/>
          </w:rPr>
          <w:t>214</w:t>
        </w:r>
      </w:hyperlink>
      <w:r>
        <w:rPr>
          <w:rStyle w:val="any"/>
          <w:color w:val="000000"/>
        </w:rPr>
        <w:t xml:space="preserve">, </w:t>
      </w:r>
      <w:hyperlink r:id="rId83" w:history="1">
        <w:r>
          <w:rPr>
            <w:rStyle w:val="bocontentwrapperbocenteranotbeck-btn"/>
            <w:color w:val="000000"/>
            <w:u w:val="single" w:color="000000"/>
          </w:rPr>
          <w:t>217</w:t>
        </w:r>
      </w:hyperlink>
      <w:r>
        <w:rPr>
          <w:color w:val="000000"/>
        </w:rPr>
        <w:t xml:space="preserve">] = </w:t>
      </w:r>
      <w:r>
        <w:rPr>
          <w:rStyle w:val="any"/>
          <w:color w:val="000000"/>
        </w:rPr>
        <w:t xml:space="preserve">NJW 1998, </w:t>
      </w:r>
      <w:hyperlink r:id="rId84" w:history="1">
        <w:r>
          <w:rPr>
            <w:rStyle w:val="bocontentwrapperbocenteranotbeck-btn"/>
            <w:color w:val="000000"/>
            <w:u w:val="single" w:color="000000"/>
          </w:rPr>
          <w:t>2667</w:t>
        </w:r>
      </w:hyperlink>
      <w:r>
        <w:rPr>
          <w:color w:val="000000"/>
        </w:rPr>
        <w:t xml:space="preserve">; </w:t>
      </w:r>
      <w:r>
        <w:rPr>
          <w:rStyle w:val="emitalicon"/>
          <w:color w:val="000000"/>
        </w:rPr>
        <w:t>Scholz/K. Schmidt,</w:t>
      </w:r>
      <w:r>
        <w:rPr>
          <w:color w:val="000000"/>
        </w:rPr>
        <w:t xml:space="preserve"> GmbHG, 9. Aufl., § 64 Rdnrn. 49, 85). Das ist indessen hier nicht schon deshalb der Fall, weil die Geschäftsverbindung zwischen der Kl. und der Schuldnerin schon im Jahr 1980 und damit </w:t>
      </w:r>
      <w:r>
        <w:rPr>
          <w:color w:val="000000"/>
        </w:rPr>
        <w:lastRenderedPageBreak/>
        <w:t>lange Zeit vor dem von der Kl. behaupteten Zeitpunkt der Insolvenzreife der Schuldnerin begründet worden ist.</w:t>
      </w:r>
    </w:p>
    <w:p w14:paraId="72E4C1FB" w14:textId="77777777" w:rsidR="002E6714" w:rsidRDefault="00000000">
      <w:pPr>
        <w:pStyle w:val="divbocontentwrapperbocenterpParagraph"/>
        <w:spacing w:after="120" w:line="360" w:lineRule="auto"/>
        <w:ind w:right="150"/>
        <w:rPr>
          <w:color w:val="000000"/>
        </w:rPr>
      </w:pPr>
      <w:r>
        <w:rPr>
          <w:color w:val="000000"/>
        </w:rPr>
        <w:t xml:space="preserve">[13]aa) Bei der Unterscheidung zwischen Alt- und Neugläubigern geht es nicht um den persönlichen Schutzbereich des </w:t>
      </w:r>
      <w:r>
        <w:rPr>
          <w:rStyle w:val="any"/>
          <w:color w:val="000000"/>
        </w:rPr>
        <w:t xml:space="preserve">§ </w:t>
      </w:r>
      <w:hyperlink r:id="rId85" w:history="1">
        <w:r>
          <w:rPr>
            <w:rStyle w:val="bocontentwrapperbocenteranotbeck-btn"/>
            <w:color w:val="000000"/>
            <w:u w:val="single" w:color="000000"/>
          </w:rPr>
          <w:t>64</w:t>
        </w:r>
      </w:hyperlink>
      <w:r>
        <w:rPr>
          <w:rStyle w:val="any"/>
          <w:color w:val="000000"/>
        </w:rPr>
        <w:t xml:space="preserve"> </w:t>
      </w:r>
      <w:hyperlink r:id="rId86" w:history="1">
        <w:r>
          <w:rPr>
            <w:rStyle w:val="bocontentwrapperbocenteranotbeck-btn"/>
            <w:color w:val="000000"/>
            <w:u w:val="single" w:color="000000"/>
          </w:rPr>
          <w:t>I</w:t>
        </w:r>
      </w:hyperlink>
      <w:r>
        <w:rPr>
          <w:rStyle w:val="any"/>
          <w:color w:val="000000"/>
        </w:rPr>
        <w:t xml:space="preserve"> GmbHG</w:t>
      </w:r>
      <w:r>
        <w:rPr>
          <w:color w:val="000000"/>
        </w:rPr>
        <w:t xml:space="preserve">, sondern um die Art und den Umfang des ihnen durch eine Konkursverschleppung entstandenen Schadens (vgl. </w:t>
      </w:r>
      <w:r>
        <w:rPr>
          <w:rStyle w:val="any"/>
          <w:color w:val="000000"/>
        </w:rPr>
        <w:t xml:space="preserve">BGHZ 126, </w:t>
      </w:r>
      <w:hyperlink r:id="rId87" w:history="1">
        <w:r>
          <w:rPr>
            <w:rStyle w:val="bocontentwrapperbocenteranotbeck-btn"/>
            <w:color w:val="000000"/>
            <w:u w:val="single" w:color="000000"/>
          </w:rPr>
          <w:t>181</w:t>
        </w:r>
      </w:hyperlink>
      <w:r>
        <w:rPr>
          <w:rStyle w:val="any"/>
          <w:color w:val="000000"/>
        </w:rPr>
        <w:t xml:space="preserve"> [</w:t>
      </w:r>
      <w:hyperlink r:id="rId88" w:history="1">
        <w:r>
          <w:rPr>
            <w:rStyle w:val="bocontentwrapperbocenteranotbeck-btn"/>
            <w:color w:val="000000"/>
            <w:u w:val="single" w:color="000000"/>
          </w:rPr>
          <w:t>193</w:t>
        </w:r>
      </w:hyperlink>
      <w:r>
        <w:rPr>
          <w:color w:val="000000"/>
        </w:rPr>
        <w:t xml:space="preserve">] = </w:t>
      </w:r>
      <w:r>
        <w:rPr>
          <w:rStyle w:val="any"/>
          <w:color w:val="000000"/>
        </w:rPr>
        <w:t xml:space="preserve">NJW 1994, </w:t>
      </w:r>
      <w:hyperlink r:id="rId89" w:history="1">
        <w:r>
          <w:rPr>
            <w:rStyle w:val="bocontentwrapperbocenteranotbeck-btn"/>
            <w:color w:val="000000"/>
            <w:u w:val="single" w:color="000000"/>
          </w:rPr>
          <w:t>2220</w:t>
        </w:r>
      </w:hyperlink>
      <w:r>
        <w:rPr>
          <w:color w:val="000000"/>
        </w:rPr>
        <w:t>). Nach dem Senatsurteil vom 6. 6. 1994 (</w:t>
      </w:r>
      <w:r>
        <w:rPr>
          <w:rStyle w:val="any"/>
          <w:color w:val="000000"/>
        </w:rPr>
        <w:t xml:space="preserve">BGHZ 126, </w:t>
      </w:r>
      <w:hyperlink r:id="rId90"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91" w:history="1">
        <w:r>
          <w:rPr>
            <w:rStyle w:val="bocontentwrapperbocenteranotbeck-btn"/>
            <w:color w:val="000000"/>
            <w:u w:val="single" w:color="000000"/>
          </w:rPr>
          <w:t>2220</w:t>
        </w:r>
      </w:hyperlink>
      <w:r>
        <w:rPr>
          <w:color w:val="000000"/>
        </w:rPr>
        <w:t xml:space="preserve">) sind Neugläubiger diejenigen Gläubiger, die ihre Forderungen gegen eine GmbH nach Eintritt der Insolvenzantragspflicht des Geschäftsführers erworben haben; sie haben Anspruch auf Ersatz des vollen Schadens, der ihnen dadurch entsteht, dass sie in Rechtsbeziehungen zu der insolvenzreifen GmbH getreten sind. Dem steht bei einem Dauerschuldverhältnis wie dem vorliegenden Kontokorrentkredit jedenfalls der Abschluss eines Verlängerungs- oder Erweiterungsvertrags im Stadium der Insolvenzverschleppung gleich, darüber hinaus aber auch die Gewährung zusätzlichen Kredits bzw. dessen Inanspruchnahme durch die GmbH im Rahmen einer bestehenden Geschäftsverbindung. Soweit </w:t>
      </w:r>
      <w:r>
        <w:rPr>
          <w:rStyle w:val="any"/>
          <w:color w:val="000000"/>
        </w:rPr>
        <w:t xml:space="preserve">§ </w:t>
      </w:r>
      <w:hyperlink r:id="rId92" w:history="1">
        <w:r>
          <w:rPr>
            <w:rStyle w:val="bocontentwrapperbocenteranotbeck-btn"/>
            <w:color w:val="000000"/>
            <w:u w:val="single" w:color="000000"/>
          </w:rPr>
          <w:t>64</w:t>
        </w:r>
      </w:hyperlink>
      <w:r>
        <w:rPr>
          <w:rStyle w:val="any"/>
          <w:color w:val="000000"/>
        </w:rPr>
        <w:t xml:space="preserve"> </w:t>
      </w:r>
      <w:hyperlink r:id="rId93" w:history="1">
        <w:r>
          <w:rPr>
            <w:rStyle w:val="bocontentwrapperbocenteranotbeck-btn"/>
            <w:color w:val="000000"/>
            <w:u w:val="single" w:color="000000"/>
          </w:rPr>
          <w:t>I</w:t>
        </w:r>
      </w:hyperlink>
      <w:r>
        <w:rPr>
          <w:rStyle w:val="any"/>
          <w:color w:val="000000"/>
        </w:rPr>
        <w:t xml:space="preserve"> GmbHG</w:t>
      </w:r>
      <w:r>
        <w:rPr>
          <w:color w:val="000000"/>
        </w:rPr>
        <w:t xml:space="preserve"> potenzielle Neugläubiger schon vor der Eingehung von Geschäftsbeziehungen mit einer insolvenzreifen GmbH schützen soll (</w:t>
      </w:r>
      <w:r>
        <w:rPr>
          <w:rStyle w:val="any"/>
          <w:color w:val="000000"/>
        </w:rPr>
        <w:t xml:space="preserve">BGHZ 126, </w:t>
      </w:r>
      <w:hyperlink r:id="rId94" w:history="1">
        <w:r>
          <w:rPr>
            <w:rStyle w:val="bocontentwrapperbocenteranotbeck-btn"/>
            <w:color w:val="000000"/>
            <w:u w:val="single" w:color="000000"/>
          </w:rPr>
          <w:t>181</w:t>
        </w:r>
      </w:hyperlink>
      <w:r>
        <w:rPr>
          <w:rStyle w:val="any"/>
          <w:color w:val="000000"/>
        </w:rPr>
        <w:t xml:space="preserve"> [</w:t>
      </w:r>
      <w:hyperlink r:id="rId95" w:history="1">
        <w:r>
          <w:rPr>
            <w:rStyle w:val="bocontentwrapperbocenteranotbeck-btn"/>
            <w:color w:val="000000"/>
            <w:u w:val="single" w:color="000000"/>
          </w:rPr>
          <w:t>192</w:t>
        </w:r>
      </w:hyperlink>
      <w:r>
        <w:rPr>
          <w:color w:val="000000"/>
        </w:rPr>
        <w:t xml:space="preserve">] = </w:t>
      </w:r>
      <w:r>
        <w:rPr>
          <w:rStyle w:val="any"/>
          <w:color w:val="000000"/>
        </w:rPr>
        <w:t xml:space="preserve">NJW 1994, </w:t>
      </w:r>
      <w:hyperlink r:id="rId96" w:history="1">
        <w:r>
          <w:rPr>
            <w:rStyle w:val="bocontentwrapperbocenteranotbeck-btn"/>
            <w:color w:val="000000"/>
            <w:u w:val="single" w:color="000000"/>
          </w:rPr>
          <w:t>2220</w:t>
        </w:r>
      </w:hyperlink>
      <w:r>
        <w:rPr>
          <w:color w:val="000000"/>
        </w:rPr>
        <w:t xml:space="preserve">), geschieht dies nur zu dem Zweck, sie davor zu bewahren, einer solchen GmbH noch Geld- oder Sachkredit zu gewähren und dadurch einen Schaden zu erleiden (vgl. </w:t>
      </w:r>
      <w:r>
        <w:rPr>
          <w:rStyle w:val="any"/>
          <w:color w:val="000000"/>
        </w:rPr>
        <w:t xml:space="preserve">BGHZ 164, </w:t>
      </w:r>
      <w:hyperlink r:id="rId97" w:history="1">
        <w:r>
          <w:rPr>
            <w:rStyle w:val="bocontentwrapperbocenteranotbeck-btn"/>
            <w:color w:val="000000"/>
            <w:u w:val="single" w:color="000000"/>
          </w:rPr>
          <w:t>50</w:t>
        </w:r>
      </w:hyperlink>
      <w:r>
        <w:rPr>
          <w:rStyle w:val="any"/>
          <w:color w:val="000000"/>
        </w:rPr>
        <w:t xml:space="preserve"> [</w:t>
      </w:r>
      <w:hyperlink r:id="rId98" w:history="1">
        <w:r>
          <w:rPr>
            <w:rStyle w:val="bocontentwrapperbocenteranotbeck-btn"/>
            <w:color w:val="000000"/>
            <w:u w:val="single" w:color="000000"/>
          </w:rPr>
          <w:t>60</w:t>
        </w:r>
      </w:hyperlink>
      <w:r>
        <w:rPr>
          <w:color w:val="000000"/>
        </w:rPr>
        <w:t xml:space="preserve">f.] = </w:t>
      </w:r>
      <w:r>
        <w:rPr>
          <w:rStyle w:val="any"/>
          <w:color w:val="000000"/>
        </w:rPr>
        <w:t xml:space="preserve">NJW 2005, </w:t>
      </w:r>
      <w:hyperlink r:id="rId99" w:history="1">
        <w:r>
          <w:rPr>
            <w:rStyle w:val="bocontentwrapperbocenteranotbeck-btn"/>
            <w:color w:val="000000"/>
            <w:u w:val="single" w:color="000000"/>
          </w:rPr>
          <w:t>3137</w:t>
        </w:r>
      </w:hyperlink>
      <w:r>
        <w:rPr>
          <w:color w:val="000000"/>
        </w:rPr>
        <w:t xml:space="preserve">; </w:t>
      </w:r>
      <w:r>
        <w:rPr>
          <w:rStyle w:val="emitalicon"/>
          <w:color w:val="000000"/>
        </w:rPr>
        <w:t>Osterloh,</w:t>
      </w:r>
      <w:r>
        <w:rPr>
          <w:color w:val="000000"/>
        </w:rPr>
        <w:t xml:space="preserve"> in: </w:t>
      </w:r>
      <w:r>
        <w:rPr>
          <w:rStyle w:val="emitalicon"/>
          <w:color w:val="000000"/>
        </w:rPr>
        <w:t>Baumbach/Hueck/Schulze</w:t>
      </w:r>
      <w:r>
        <w:rPr>
          <w:color w:val="000000"/>
        </w:rPr>
        <w:t xml:space="preserve">, GmbHG, 18. Aufl., § 64 Rdnr. 92 m.w.Nachw.; </w:t>
      </w:r>
      <w:r>
        <w:rPr>
          <w:rStyle w:val="emitalicon"/>
          <w:color w:val="000000"/>
        </w:rPr>
        <w:t>Haas,</w:t>
      </w:r>
      <w:r>
        <w:rPr>
          <w:color w:val="000000"/>
        </w:rPr>
        <w:t xml:space="preserve"> </w:t>
      </w:r>
      <w:r>
        <w:rPr>
          <w:rStyle w:val="any"/>
          <w:color w:val="000000"/>
        </w:rPr>
        <w:t xml:space="preserve">DStR 2003, </w:t>
      </w:r>
      <w:hyperlink r:id="rId100" w:history="1">
        <w:r>
          <w:rPr>
            <w:rStyle w:val="bocontentwrapperbocenteranotbeck-btn"/>
            <w:color w:val="000000"/>
            <w:u w:val="single" w:color="000000"/>
          </w:rPr>
          <w:t>423</w:t>
        </w:r>
      </w:hyperlink>
      <w:r>
        <w:rPr>
          <w:rStyle w:val="any"/>
          <w:color w:val="000000"/>
        </w:rPr>
        <w:t xml:space="preserve"> [</w:t>
      </w:r>
      <w:hyperlink r:id="rId101" w:history="1">
        <w:r>
          <w:rPr>
            <w:rStyle w:val="bocontentwrapperbocenteranotbeck-btn"/>
            <w:color w:val="000000"/>
            <w:u w:val="single" w:color="000000"/>
          </w:rPr>
          <w:t>427</w:t>
        </w:r>
      </w:hyperlink>
      <w:r>
        <w:rPr>
          <w:color w:val="000000"/>
        </w:rPr>
        <w:t xml:space="preserve">]). Anders als der Quotenschaden der Altgläubiger, der in der durch Insolvenzverschleppung bedingten Masse- und Quotenverminderung besteht, liegt der Schaden eines Neugläubigers darin, dass er der GmbH im Vertrauen auf deren Solvenz noch Geld- oder Sachmittel zur Verfügung gestellt hat, ohne einen entsprechend werthaltigen Gegenanspruch zu erlangen (vgl. </w:t>
      </w:r>
      <w:r>
        <w:rPr>
          <w:rStyle w:val="any"/>
          <w:color w:val="000000"/>
        </w:rPr>
        <w:t xml:space="preserve">BGHZ 164, </w:t>
      </w:r>
      <w:hyperlink r:id="rId102" w:history="1">
        <w:r>
          <w:rPr>
            <w:rStyle w:val="bocontentwrapperbocenteranotbeck-btn"/>
            <w:color w:val="000000"/>
            <w:u w:val="single" w:color="000000"/>
          </w:rPr>
          <w:t>50</w:t>
        </w:r>
      </w:hyperlink>
      <w:r>
        <w:rPr>
          <w:rStyle w:val="any"/>
          <w:color w:val="000000"/>
        </w:rPr>
        <w:t xml:space="preserve"> [</w:t>
      </w:r>
      <w:hyperlink r:id="rId103" w:history="1">
        <w:r>
          <w:rPr>
            <w:rStyle w:val="bocontentwrapperbocenteranotbeck-btn"/>
            <w:color w:val="000000"/>
            <w:u w:val="single" w:color="000000"/>
          </w:rPr>
          <w:t>60</w:t>
        </w:r>
      </w:hyperlink>
      <w:r>
        <w:rPr>
          <w:color w:val="000000"/>
        </w:rPr>
        <w:t xml:space="preserve">f.] = </w:t>
      </w:r>
      <w:r>
        <w:rPr>
          <w:rStyle w:val="any"/>
          <w:color w:val="000000"/>
        </w:rPr>
        <w:t xml:space="preserve">NJW 2005, </w:t>
      </w:r>
      <w:hyperlink r:id="rId104" w:history="1">
        <w:r>
          <w:rPr>
            <w:rStyle w:val="bocontentwrapperbocenteranotbeck-btn"/>
            <w:color w:val="000000"/>
            <w:u w:val="single" w:color="000000"/>
          </w:rPr>
          <w:t>3137</w:t>
        </w:r>
      </w:hyperlink>
      <w:r>
        <w:rPr>
          <w:color w:val="000000"/>
        </w:rPr>
        <w:t xml:space="preserve">). Einen solchen Kreditgewährungsschaden erleidet eine Bank auch im Rahmen eines der GmbH eingeräumten Kontokorrentkredits, soweit sich dessen Saldo in der Insolvenzverschleppungsphase erhöht. Insoweit hat die Bank in solchem Fall eine (wertlose) Forderung gegen die GmbH nach Eintritt der Insolvenzantragspflicht des Geschäftsführers erworben (vgl. </w:t>
      </w:r>
      <w:r>
        <w:rPr>
          <w:rStyle w:val="any"/>
          <w:color w:val="000000"/>
        </w:rPr>
        <w:t xml:space="preserve">BGHZ 126, </w:t>
      </w:r>
      <w:hyperlink r:id="rId105"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106" w:history="1">
        <w:r>
          <w:rPr>
            <w:rStyle w:val="bocontentwrapperbocenteranotbeck-btn"/>
            <w:color w:val="000000"/>
            <w:u w:val="single" w:color="000000"/>
          </w:rPr>
          <w:t>2220</w:t>
        </w:r>
      </w:hyperlink>
      <w:r>
        <w:rPr>
          <w:color w:val="000000"/>
        </w:rPr>
        <w:t xml:space="preserve">), wie das BerGer. im Ansatz zutreffend ausführt. Für die Neugläubigereigenschaft der Bank kommt es - ebenso wie für ihren durch die Konkursverschleppung bedingten Kreditgewährungsschaden - nicht auf etwaige Novationen der Kreditschuld durch zwischenzeitliche Rechnungsabschlüsse entsprechend </w:t>
      </w:r>
      <w:r>
        <w:rPr>
          <w:rStyle w:val="any"/>
          <w:color w:val="000000"/>
        </w:rPr>
        <w:t xml:space="preserve">§ </w:t>
      </w:r>
      <w:hyperlink r:id="rId107" w:history="1">
        <w:r>
          <w:rPr>
            <w:rStyle w:val="bocontentwrapperbocenteranotbeck-btn"/>
            <w:color w:val="000000"/>
            <w:u w:val="single" w:color="000000"/>
          </w:rPr>
          <w:t>355</w:t>
        </w:r>
      </w:hyperlink>
      <w:r>
        <w:rPr>
          <w:rStyle w:val="any"/>
          <w:color w:val="000000"/>
        </w:rPr>
        <w:t xml:space="preserve"> HGB</w:t>
      </w:r>
      <w:r>
        <w:rPr>
          <w:color w:val="000000"/>
        </w:rPr>
        <w:t xml:space="preserve"> an (vgl. zum Bankenkontokorrent </w:t>
      </w:r>
      <w:r>
        <w:rPr>
          <w:rStyle w:val="any"/>
          <w:color w:val="000000"/>
        </w:rPr>
        <w:t xml:space="preserve">BGHZ 50, </w:t>
      </w:r>
      <w:hyperlink r:id="rId108" w:history="1">
        <w:r>
          <w:rPr>
            <w:rStyle w:val="bocontentwrapperbocenteranotbeck-btn"/>
            <w:color w:val="000000"/>
            <w:u w:val="single" w:color="000000"/>
          </w:rPr>
          <w:t>277</w:t>
        </w:r>
      </w:hyperlink>
      <w:r>
        <w:rPr>
          <w:rStyle w:val="any"/>
          <w:color w:val="000000"/>
        </w:rPr>
        <w:t xml:space="preserve"> [</w:t>
      </w:r>
      <w:hyperlink r:id="rId109" w:history="1">
        <w:r>
          <w:rPr>
            <w:rStyle w:val="bocontentwrapperbocenteranotbeck-btn"/>
            <w:color w:val="000000"/>
            <w:u w:val="single" w:color="000000"/>
          </w:rPr>
          <w:t>280</w:t>
        </w:r>
      </w:hyperlink>
      <w:r>
        <w:rPr>
          <w:rStyle w:val="any"/>
          <w:color w:val="000000"/>
        </w:rPr>
        <w:t xml:space="preserve">, </w:t>
      </w:r>
      <w:hyperlink r:id="rId110" w:history="1">
        <w:r>
          <w:rPr>
            <w:rStyle w:val="bocontentwrapperbocenteranotbeck-btn"/>
            <w:color w:val="000000"/>
            <w:u w:val="single" w:color="000000"/>
          </w:rPr>
          <w:t>283</w:t>
        </w:r>
      </w:hyperlink>
      <w:r>
        <w:rPr>
          <w:color w:val="000000"/>
        </w:rPr>
        <w:t xml:space="preserve">] = </w:t>
      </w:r>
      <w:r>
        <w:rPr>
          <w:rStyle w:val="any"/>
          <w:color w:val="000000"/>
        </w:rPr>
        <w:t xml:space="preserve">NJW 1968, </w:t>
      </w:r>
      <w:hyperlink r:id="rId111" w:history="1">
        <w:r>
          <w:rPr>
            <w:rStyle w:val="bocontentwrapperbocenteranotbeck-btn"/>
            <w:color w:val="000000"/>
            <w:u w:val="single" w:color="000000"/>
          </w:rPr>
          <w:t>2100</w:t>
        </w:r>
      </w:hyperlink>
      <w:r>
        <w:rPr>
          <w:color w:val="000000"/>
        </w:rPr>
        <w:t xml:space="preserve">; </w:t>
      </w:r>
      <w:r>
        <w:rPr>
          <w:rStyle w:val="emitalicon"/>
          <w:color w:val="000000"/>
        </w:rPr>
        <w:t>Baumbach/Hopt,</w:t>
      </w:r>
      <w:r>
        <w:rPr>
          <w:color w:val="000000"/>
        </w:rPr>
        <w:t xml:space="preserve"> HGB, 32. Aufl., § 355 Rdnr. 9), sondern auf die Differenz zwischen dem bis zur tatsächlichen Stellung des Konkursantrags aufgelaufenen und demjenigen Kreditvolumen, das sich bei pflichtgemäßer Stellung des Konkursantrags ergeben hätte. Es handelt sich dabei nicht um </w:t>
      </w:r>
      <w:r>
        <w:rPr>
          <w:color w:val="000000"/>
        </w:rPr>
        <w:lastRenderedPageBreak/>
        <w:t xml:space="preserve">einen Gesamtgläubigerschaden i.S. von </w:t>
      </w:r>
      <w:r>
        <w:rPr>
          <w:rStyle w:val="any"/>
          <w:color w:val="000000"/>
        </w:rPr>
        <w:t xml:space="preserve">§ </w:t>
      </w:r>
      <w:hyperlink r:id="rId112" w:history="1">
        <w:r>
          <w:rPr>
            <w:rStyle w:val="bocontentwrapperbocenteranotbeck-btn"/>
            <w:color w:val="000000"/>
            <w:u w:val="single" w:color="000000"/>
          </w:rPr>
          <w:t>92</w:t>
        </w:r>
      </w:hyperlink>
      <w:r>
        <w:rPr>
          <w:rStyle w:val="any"/>
          <w:color w:val="000000"/>
        </w:rPr>
        <w:t xml:space="preserve"> InsO</w:t>
      </w:r>
      <w:r>
        <w:rPr>
          <w:color w:val="000000"/>
        </w:rPr>
        <w:t xml:space="preserve">, sondern um einen Individualschaden der Bank (vgl. </w:t>
      </w:r>
      <w:r>
        <w:rPr>
          <w:rStyle w:val="any"/>
          <w:color w:val="000000"/>
        </w:rPr>
        <w:t xml:space="preserve">BGHZ 138, </w:t>
      </w:r>
      <w:hyperlink r:id="rId113" w:history="1">
        <w:r>
          <w:rPr>
            <w:rStyle w:val="bocontentwrapperbocenteranotbeck-btn"/>
            <w:color w:val="000000"/>
            <w:u w:val="single" w:color="000000"/>
          </w:rPr>
          <w:t>211</w:t>
        </w:r>
      </w:hyperlink>
      <w:r>
        <w:rPr>
          <w:rStyle w:val="any"/>
          <w:color w:val="000000"/>
        </w:rPr>
        <w:t xml:space="preserve"> [</w:t>
      </w:r>
      <w:hyperlink r:id="rId114" w:history="1">
        <w:r>
          <w:rPr>
            <w:rStyle w:val="bocontentwrapperbocenteranotbeck-btn"/>
            <w:color w:val="000000"/>
            <w:u w:val="single" w:color="000000"/>
          </w:rPr>
          <w:t>216</w:t>
        </w:r>
      </w:hyperlink>
      <w:r>
        <w:rPr>
          <w:color w:val="000000"/>
        </w:rPr>
        <w:t xml:space="preserve">] = </w:t>
      </w:r>
      <w:r>
        <w:rPr>
          <w:rStyle w:val="any"/>
          <w:color w:val="000000"/>
        </w:rPr>
        <w:t xml:space="preserve">NJW 1998, </w:t>
      </w:r>
      <w:hyperlink r:id="rId115" w:history="1">
        <w:r>
          <w:rPr>
            <w:rStyle w:val="bocontentwrapperbocenteranotbeck-btn"/>
            <w:color w:val="000000"/>
            <w:u w:val="single" w:color="000000"/>
          </w:rPr>
          <w:t>2667</w:t>
        </w:r>
      </w:hyperlink>
      <w:r>
        <w:rPr>
          <w:color w:val="000000"/>
        </w:rPr>
        <w:t>).</w:t>
      </w:r>
    </w:p>
    <w:p w14:paraId="4CF2BCB5" w14:textId="77777777" w:rsidR="002E6714" w:rsidRDefault="00000000">
      <w:pPr>
        <w:pStyle w:val="divbocontentwrapperbocenterpParagraph"/>
        <w:spacing w:after="120" w:line="360" w:lineRule="auto"/>
        <w:ind w:right="150"/>
        <w:rPr>
          <w:color w:val="000000"/>
        </w:rPr>
      </w:pPr>
      <w:r>
        <w:rPr>
          <w:color w:val="000000"/>
        </w:rPr>
        <w:t xml:space="preserve">[14]bb) Der entsprechende Schaden ist dem Geschäftsführer gem. </w:t>
      </w:r>
      <w:r>
        <w:rPr>
          <w:rStyle w:val="any"/>
          <w:color w:val="000000"/>
        </w:rPr>
        <w:t xml:space="preserve">§ </w:t>
      </w:r>
      <w:hyperlink r:id="rId116" w:history="1">
        <w:r>
          <w:rPr>
            <w:rStyle w:val="bocontentwrapperbocenteranotbeck-btn"/>
            <w:color w:val="000000"/>
            <w:u w:val="single" w:color="000000"/>
          </w:rPr>
          <w:t>64</w:t>
        </w:r>
      </w:hyperlink>
      <w:r>
        <w:rPr>
          <w:rStyle w:val="any"/>
          <w:color w:val="000000"/>
        </w:rPr>
        <w:t xml:space="preserve"> </w:t>
      </w:r>
      <w:hyperlink r:id="rId117" w:history="1">
        <w:r>
          <w:rPr>
            <w:rStyle w:val="bocontentwrapperbocenteranotbeck-btn"/>
            <w:color w:val="000000"/>
            <w:u w:val="single" w:color="000000"/>
          </w:rPr>
          <w:t>I</w:t>
        </w:r>
      </w:hyperlink>
      <w:r>
        <w:rPr>
          <w:rStyle w:val="any"/>
          <w:color w:val="000000"/>
        </w:rPr>
        <w:t xml:space="preserve"> GmbHG</w:t>
      </w:r>
      <w:r>
        <w:rPr>
          <w:color w:val="000000"/>
        </w:rPr>
        <w:t xml:space="preserve">, </w:t>
      </w:r>
      <w:r>
        <w:rPr>
          <w:rStyle w:val="any"/>
          <w:color w:val="000000"/>
        </w:rPr>
        <w:t xml:space="preserve">§ </w:t>
      </w:r>
      <w:hyperlink r:id="rId118" w:history="1">
        <w:r>
          <w:rPr>
            <w:rStyle w:val="bocontentwrapperbocenteranotbeck-btn"/>
            <w:color w:val="000000"/>
            <w:u w:val="single" w:color="000000"/>
          </w:rPr>
          <w:t>823</w:t>
        </w:r>
      </w:hyperlink>
      <w:r>
        <w:rPr>
          <w:rStyle w:val="any"/>
          <w:color w:val="000000"/>
        </w:rPr>
        <w:t xml:space="preserve"> </w:t>
      </w:r>
      <w:hyperlink r:id="rId119" w:history="1">
        <w:r>
          <w:rPr>
            <w:rStyle w:val="bocontentwrapperbocenteranotbeck-btn"/>
            <w:color w:val="000000"/>
            <w:u w:val="single" w:color="000000"/>
          </w:rPr>
          <w:t>II</w:t>
        </w:r>
      </w:hyperlink>
      <w:r>
        <w:rPr>
          <w:rStyle w:val="any"/>
          <w:color w:val="000000"/>
        </w:rPr>
        <w:t xml:space="preserve"> BGB</w:t>
      </w:r>
      <w:r>
        <w:rPr>
          <w:color w:val="000000"/>
        </w:rPr>
        <w:t xml:space="preserve"> zuzurechnen, weil und soweit es bei pflichtgemäßer Stellung des Insolvenzantrags dazu nicht gekommen wäre. Denn anders als etwa ein Mietvertrag (</w:t>
      </w:r>
      <w:r>
        <w:rPr>
          <w:rStyle w:val="any"/>
          <w:color w:val="000000"/>
        </w:rPr>
        <w:t xml:space="preserve">§ </w:t>
      </w:r>
      <w:hyperlink r:id="rId120" w:history="1">
        <w:r>
          <w:rPr>
            <w:rStyle w:val="bocontentwrapperbocenteranotbeck-btn"/>
            <w:color w:val="000000"/>
            <w:u w:val="single" w:color="000000"/>
          </w:rPr>
          <w:t>108</w:t>
        </w:r>
      </w:hyperlink>
      <w:r>
        <w:rPr>
          <w:rStyle w:val="any"/>
          <w:color w:val="000000"/>
        </w:rPr>
        <w:t xml:space="preserve"> InsO</w:t>
      </w:r>
      <w:r>
        <w:rPr>
          <w:color w:val="000000"/>
        </w:rPr>
        <w:t xml:space="preserve">) endet der Kontokorrentvertrag gem. </w:t>
      </w:r>
      <w:r>
        <w:rPr>
          <w:rStyle w:val="any"/>
          <w:color w:val="000000"/>
        </w:rPr>
        <w:t xml:space="preserve">§§ </w:t>
      </w:r>
      <w:hyperlink r:id="rId121" w:history="1">
        <w:r>
          <w:rPr>
            <w:rStyle w:val="bocontentwrapperbocenteranotbeck-btn"/>
            <w:color w:val="000000"/>
            <w:u w:val="single" w:color="000000"/>
          </w:rPr>
          <w:t>116</w:t>
        </w:r>
      </w:hyperlink>
      <w:r>
        <w:rPr>
          <w:rStyle w:val="any"/>
          <w:color w:val="000000"/>
        </w:rPr>
        <w:t xml:space="preserve"> </w:t>
      </w:r>
      <w:hyperlink r:id="rId122" w:history="1">
        <w:r>
          <w:rPr>
            <w:rStyle w:val="bocontentwrapperbocenteranotbeck-btn"/>
            <w:color w:val="000000"/>
            <w:u w:val="single" w:color="000000"/>
          </w:rPr>
          <w:t>I</w:t>
        </w:r>
      </w:hyperlink>
      <w:r>
        <w:rPr>
          <w:rStyle w:val="any"/>
          <w:color w:val="000000"/>
        </w:rPr>
        <w:t xml:space="preserve">, </w:t>
      </w:r>
      <w:hyperlink r:id="rId123" w:history="1">
        <w:r>
          <w:rPr>
            <w:rStyle w:val="bocontentwrapperbocenteranotbeck-btn"/>
            <w:color w:val="000000"/>
            <w:u w:val="single" w:color="000000"/>
          </w:rPr>
          <w:t>115</w:t>
        </w:r>
      </w:hyperlink>
      <w:r>
        <w:rPr>
          <w:rStyle w:val="any"/>
          <w:color w:val="000000"/>
        </w:rPr>
        <w:t xml:space="preserve"> </w:t>
      </w:r>
      <w:hyperlink r:id="rId124" w:history="1">
        <w:r>
          <w:rPr>
            <w:rStyle w:val="bocontentwrapperbocenteranotbeck-btn"/>
            <w:color w:val="000000"/>
            <w:u w:val="single" w:color="000000"/>
          </w:rPr>
          <w:t>I</w:t>
        </w:r>
      </w:hyperlink>
      <w:r>
        <w:rPr>
          <w:rStyle w:val="any"/>
          <w:color w:val="000000"/>
        </w:rPr>
        <w:t xml:space="preserve"> InsO</w:t>
      </w:r>
      <w:r>
        <w:rPr>
          <w:color w:val="000000"/>
        </w:rPr>
        <w:t xml:space="preserve"> mit Eröffnung des Insolvenzverfahrens (vgl. </w:t>
      </w:r>
      <w:r>
        <w:rPr>
          <w:rStyle w:val="any"/>
          <w:color w:val="000000"/>
        </w:rPr>
        <w:t xml:space="preserve">BGHZ 157, </w:t>
      </w:r>
      <w:hyperlink r:id="rId125" w:history="1">
        <w:r>
          <w:rPr>
            <w:rStyle w:val="bocontentwrapperbocenteranotbeck-btn"/>
            <w:color w:val="000000"/>
            <w:u w:val="single" w:color="000000"/>
          </w:rPr>
          <w:t>350</w:t>
        </w:r>
      </w:hyperlink>
      <w:r>
        <w:rPr>
          <w:rStyle w:val="any"/>
          <w:color w:val="000000"/>
        </w:rPr>
        <w:t xml:space="preserve"> [</w:t>
      </w:r>
      <w:hyperlink r:id="rId126" w:history="1">
        <w:r>
          <w:rPr>
            <w:rStyle w:val="bocontentwrapperbocenteranotbeck-btn"/>
            <w:color w:val="000000"/>
            <w:u w:val="single" w:color="000000"/>
          </w:rPr>
          <w:t>356</w:t>
        </w:r>
      </w:hyperlink>
      <w:r>
        <w:rPr>
          <w:color w:val="000000"/>
        </w:rPr>
        <w:t xml:space="preserve">f.] = </w:t>
      </w:r>
      <w:r>
        <w:rPr>
          <w:rStyle w:val="any"/>
          <w:color w:val="000000"/>
        </w:rPr>
        <w:t xml:space="preserve">NJW 2004, </w:t>
      </w:r>
      <w:hyperlink r:id="rId127" w:history="1">
        <w:r>
          <w:rPr>
            <w:rStyle w:val="bocontentwrapperbocenteranotbeck-btn"/>
            <w:color w:val="000000"/>
            <w:u w:val="single" w:color="000000"/>
          </w:rPr>
          <w:t>1444</w:t>
        </w:r>
      </w:hyperlink>
      <w:r>
        <w:rPr>
          <w:color w:val="000000"/>
        </w:rPr>
        <w:t xml:space="preserve">)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2E6714" w14:paraId="225EEDD2" w14:textId="77777777">
        <w:tc>
          <w:tcPr>
            <w:tcW w:w="4000" w:type="pct"/>
            <w:shd w:val="clear" w:color="auto" w:fill="F0F0F0"/>
            <w:tcMar>
              <w:top w:w="0" w:type="dxa"/>
              <w:left w:w="0" w:type="dxa"/>
              <w:bottom w:w="0" w:type="dxa"/>
              <w:right w:w="0" w:type="dxa"/>
            </w:tcMar>
            <w:vAlign w:val="center"/>
            <w:hideMark/>
          </w:tcPr>
          <w:p w14:paraId="173E55A1" w14:textId="77777777" w:rsidR="002E6714"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Schadensersatzpflicht des Geschäftsführers einer GmbH gegenüber Neugläubigern</w:t>
            </w:r>
            <w:r>
              <w:rPr>
                <w:rStyle w:val="citation"/>
                <w:color w:val="000000"/>
              </w:rPr>
              <w:t>(NJW-RR 2007, 759)</w:t>
            </w:r>
          </w:p>
        </w:tc>
        <w:tc>
          <w:tcPr>
            <w:tcW w:w="1000" w:type="pct"/>
            <w:shd w:val="clear" w:color="auto" w:fill="F0F0F0"/>
            <w:tcMar>
              <w:top w:w="0" w:type="dxa"/>
              <w:left w:w="0" w:type="dxa"/>
              <w:bottom w:w="0" w:type="dxa"/>
              <w:right w:w="0" w:type="dxa"/>
            </w:tcMar>
            <w:vAlign w:val="center"/>
            <w:hideMark/>
          </w:tcPr>
          <w:p w14:paraId="4D67CE37" w14:textId="77777777" w:rsidR="002E6714"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761</w:t>
            </w:r>
          </w:p>
        </w:tc>
      </w:tr>
    </w:tbl>
    <w:p w14:paraId="2ED662F6" w14:textId="77777777" w:rsidR="002E6714" w:rsidRDefault="00000000">
      <w:pPr>
        <w:pStyle w:val="divbocontentwrapperbocenterpParagraph"/>
        <w:spacing w:after="120" w:line="360" w:lineRule="auto"/>
        <w:ind w:right="150"/>
        <w:rPr>
          <w:color w:val="000000"/>
        </w:rPr>
      </w:pPr>
      <w:r>
        <w:rPr>
          <w:color w:val="000000"/>
        </w:rPr>
        <w:t xml:space="preserve">und kann auch schon vorher - etwa bei Stellung des Insolvenzantrags - seitens der Bank fristlos gekündigt werden (vgl. </w:t>
      </w:r>
      <w:r>
        <w:rPr>
          <w:rStyle w:val="any"/>
          <w:color w:val="000000"/>
        </w:rPr>
        <w:t xml:space="preserve">§ </w:t>
      </w:r>
      <w:hyperlink r:id="rId128" w:history="1">
        <w:r>
          <w:rPr>
            <w:rStyle w:val="bocontentwrapperbocenteranotbeck-btn"/>
            <w:color w:val="000000"/>
            <w:u w:val="single" w:color="000000"/>
          </w:rPr>
          <w:t>490</w:t>
        </w:r>
      </w:hyperlink>
      <w:r>
        <w:rPr>
          <w:rStyle w:val="any"/>
          <w:color w:val="000000"/>
        </w:rPr>
        <w:t xml:space="preserve"> </w:t>
      </w:r>
      <w:hyperlink r:id="rId129" w:history="1">
        <w:r>
          <w:rPr>
            <w:rStyle w:val="bocontentwrapperbocenteranotbeck-btn"/>
            <w:color w:val="000000"/>
            <w:u w:val="single" w:color="000000"/>
          </w:rPr>
          <w:t>I</w:t>
        </w:r>
      </w:hyperlink>
      <w:r>
        <w:rPr>
          <w:rStyle w:val="any"/>
          <w:color w:val="000000"/>
        </w:rPr>
        <w:t xml:space="preserve"> BGB</w:t>
      </w:r>
      <w:r>
        <w:rPr>
          <w:color w:val="000000"/>
        </w:rPr>
        <w:t xml:space="preserve">; Nr. 19 III AGB-Banken). Dafür, dass dies geschehen wäre, spricht wegen des Schutzgesetzcharakters des </w:t>
      </w:r>
      <w:r>
        <w:rPr>
          <w:rStyle w:val="any"/>
          <w:color w:val="000000"/>
        </w:rPr>
        <w:t xml:space="preserve">§ </w:t>
      </w:r>
      <w:hyperlink r:id="rId130" w:history="1">
        <w:r>
          <w:rPr>
            <w:rStyle w:val="bocontentwrapperbocenteranotbeck-btn"/>
            <w:color w:val="000000"/>
            <w:u w:val="single" w:color="000000"/>
          </w:rPr>
          <w:t>64</w:t>
        </w:r>
      </w:hyperlink>
      <w:r>
        <w:rPr>
          <w:rStyle w:val="any"/>
          <w:color w:val="000000"/>
        </w:rPr>
        <w:t xml:space="preserve"> </w:t>
      </w:r>
      <w:hyperlink r:id="rId131" w:history="1">
        <w:r>
          <w:rPr>
            <w:rStyle w:val="bocontentwrapperbocenteranotbeck-btn"/>
            <w:color w:val="000000"/>
            <w:u w:val="single" w:color="000000"/>
          </w:rPr>
          <w:t>I</w:t>
        </w:r>
      </w:hyperlink>
      <w:r>
        <w:rPr>
          <w:rStyle w:val="any"/>
          <w:color w:val="000000"/>
        </w:rPr>
        <w:t xml:space="preserve"> GmbHG</w:t>
      </w:r>
      <w:r>
        <w:rPr>
          <w:color w:val="000000"/>
        </w:rPr>
        <w:t xml:space="preserve"> der Beweis des ersten Anscheins, wenn eine schuldhafte Insolvenzverschleppung vorliegt (vgl. </w:t>
      </w:r>
      <w:r>
        <w:rPr>
          <w:rStyle w:val="emitalicon"/>
          <w:color w:val="000000"/>
        </w:rPr>
        <w:t>Palandt/Heinrichs,</w:t>
      </w:r>
      <w:r>
        <w:rPr>
          <w:color w:val="000000"/>
        </w:rPr>
        <w:t xml:space="preserve"> BGB, 66. Aufl., Vorb. § 249 Rdnr. 167; </w:t>
      </w:r>
      <w:r>
        <w:rPr>
          <w:rStyle w:val="emitalicon"/>
          <w:color w:val="000000"/>
        </w:rPr>
        <w:t>Palandt/Sprau,</w:t>
      </w:r>
      <w:r>
        <w:rPr>
          <w:color w:val="000000"/>
        </w:rPr>
        <w:t xml:space="preserve"> BGB, § 823 Rdnrn. 80f. jeweils m.w. Nachw.).</w:t>
      </w:r>
    </w:p>
    <w:p w14:paraId="719F50C1" w14:textId="77777777" w:rsidR="002E6714" w:rsidRDefault="00000000">
      <w:pPr>
        <w:pStyle w:val="divbocontentwrapperbocenterpParagraph"/>
        <w:spacing w:after="120" w:line="360" w:lineRule="auto"/>
        <w:ind w:right="150"/>
        <w:rPr>
          <w:color w:val="000000"/>
        </w:rPr>
      </w:pPr>
      <w:r>
        <w:rPr>
          <w:color w:val="000000"/>
        </w:rPr>
        <w:t xml:space="preserve">[15]cc) Lag also im vorliegenden Fall in der Zeit ab 2001 eine schuldhafte Insolvenzverschleppung des Bekl. vor, so wäre der Endsaldo des von der Kl. bis zur tatsächlichen Stellung des Konkursantrags im Jahre 2003 gewährten Kredits (vorbehaltlich der geltend gemachten Zinsen, dazu unten III) ein dem Bekl. zuzurechnender Neugläubigerschaden der Kl., weil der Kontokorrentkredit der Schuldnerin im Jahr 2001 (zumindest im Wesentlichen) noch im Haben geführt worden war. Sollte sich eine (schuldhafte) Konkursverschleppung des Bekl. erst für einen späteren Zeitraum feststellen lassen, müsste das bis zu deren Beginn ausgereichte Kreditvolumen, das nicht nach einem willkürlich herausgegriffenen Spitzenbetrag zu bestimmen, sondern nach einem Durchschnittsbetrag während der letzten sechs Monate gem. </w:t>
      </w:r>
      <w:r>
        <w:rPr>
          <w:rStyle w:val="any"/>
          <w:color w:val="000000"/>
        </w:rPr>
        <w:t xml:space="preserve">§ </w:t>
      </w:r>
      <w:hyperlink r:id="rId132" w:history="1">
        <w:r>
          <w:rPr>
            <w:rStyle w:val="bocontentwrapperbocenteranotbeck-btn"/>
            <w:color w:val="000000"/>
            <w:u w:val="single" w:color="000000"/>
          </w:rPr>
          <w:t>287</w:t>
        </w:r>
      </w:hyperlink>
      <w:r>
        <w:rPr>
          <w:rStyle w:val="any"/>
          <w:color w:val="000000"/>
        </w:rPr>
        <w:t xml:space="preserve"> ZPO</w:t>
      </w:r>
      <w:r>
        <w:rPr>
          <w:color w:val="000000"/>
        </w:rPr>
        <w:t xml:space="preserve"> zu schätzen ist, von dem Endsaldo abgezogen werden.</w:t>
      </w:r>
    </w:p>
    <w:p w14:paraId="07E9F0B5" w14:textId="77777777" w:rsidR="002E6714" w:rsidRDefault="00000000">
      <w:pPr>
        <w:pStyle w:val="divbocontentwrapperbocenterpParagraph"/>
        <w:spacing w:after="120" w:line="360" w:lineRule="auto"/>
        <w:ind w:right="150"/>
        <w:rPr>
          <w:color w:val="000000"/>
        </w:rPr>
      </w:pPr>
      <w:r>
        <w:rPr>
          <w:color w:val="000000"/>
        </w:rPr>
        <w:t xml:space="preserve">[16]b) Die Klage ist auch nicht deshalb abweisungsreif, weil die von der Kl. erstellte und vorgelegte „Überschuldungsbilanz” per 31. 12. 1996 nicht geeignet ist, eine (fortdauernde) Insolvenzverschleppung des Bekl. im hier maßgebenden Zeitraum ab 2001 zu belegen. Zwar hat den Beweis für das Vorliegen der objektiven Voraussetzungen einer haftungsbegründenden Insolvenzverschleppung grundsätzlich der Gläubiger zu erbringen (vgl. </w:t>
      </w:r>
      <w:r>
        <w:rPr>
          <w:rStyle w:val="any"/>
          <w:color w:val="000000"/>
        </w:rPr>
        <w:t xml:space="preserve">BGHZ 126, </w:t>
      </w:r>
      <w:hyperlink r:id="rId133" w:history="1">
        <w:r>
          <w:rPr>
            <w:rStyle w:val="bocontentwrapperbocenteranotbeck-btn"/>
            <w:color w:val="000000"/>
            <w:u w:val="single" w:color="000000"/>
          </w:rPr>
          <w:t>181</w:t>
        </w:r>
      </w:hyperlink>
      <w:r>
        <w:rPr>
          <w:rStyle w:val="any"/>
          <w:color w:val="000000"/>
        </w:rPr>
        <w:t xml:space="preserve"> [</w:t>
      </w:r>
      <w:hyperlink r:id="rId134" w:history="1">
        <w:r>
          <w:rPr>
            <w:rStyle w:val="bocontentwrapperbocenteranotbeck-btn"/>
            <w:color w:val="000000"/>
            <w:u w:val="single" w:color="000000"/>
          </w:rPr>
          <w:t>200</w:t>
        </w:r>
      </w:hyperlink>
      <w:r>
        <w:rPr>
          <w:color w:val="000000"/>
        </w:rPr>
        <w:t xml:space="preserve">] = </w:t>
      </w:r>
      <w:r>
        <w:rPr>
          <w:rStyle w:val="any"/>
          <w:color w:val="000000"/>
        </w:rPr>
        <w:t xml:space="preserve">NJW 1994, </w:t>
      </w:r>
      <w:hyperlink r:id="rId135" w:history="1">
        <w:r>
          <w:rPr>
            <w:rStyle w:val="bocontentwrapperbocenteranotbeck-btn"/>
            <w:color w:val="000000"/>
            <w:u w:val="single" w:color="000000"/>
          </w:rPr>
          <w:t>2220</w:t>
        </w:r>
      </w:hyperlink>
      <w:r>
        <w:rPr>
          <w:color w:val="000000"/>
        </w:rPr>
        <w:t xml:space="preserve">). Da jedoch das BerGer. (ebenso wie das </w:t>
      </w:r>
      <w:r>
        <w:rPr>
          <w:rStyle w:val="emitalicon"/>
          <w:color w:val="000000"/>
        </w:rPr>
        <w:t>LG</w:t>
      </w:r>
      <w:r>
        <w:rPr>
          <w:color w:val="000000"/>
        </w:rPr>
        <w:t xml:space="preserve">) die hier maßgebenden Gesichtspunkte verkannt und die Parteien, insbesondere die Kl., hierauf nicht hingewiesen hat, muss der Kl.gem. </w:t>
      </w:r>
      <w:r>
        <w:rPr>
          <w:rStyle w:val="any"/>
          <w:color w:val="000000"/>
        </w:rPr>
        <w:t xml:space="preserve">§ </w:t>
      </w:r>
      <w:hyperlink r:id="rId136" w:history="1">
        <w:r>
          <w:rPr>
            <w:rStyle w:val="bocontentwrapperbocenteranotbeck-btn"/>
            <w:color w:val="000000"/>
            <w:u w:val="single" w:color="000000"/>
          </w:rPr>
          <w:t>139</w:t>
        </w:r>
      </w:hyperlink>
      <w:r>
        <w:rPr>
          <w:rStyle w:val="any"/>
          <w:color w:val="000000"/>
        </w:rPr>
        <w:t xml:space="preserve"> </w:t>
      </w:r>
      <w:hyperlink r:id="rId137" w:history="1">
        <w:r>
          <w:rPr>
            <w:rStyle w:val="bocontentwrapperbocenteranotbeck-btn"/>
            <w:color w:val="000000"/>
            <w:u w:val="single" w:color="000000"/>
          </w:rPr>
          <w:t>II</w:t>
        </w:r>
      </w:hyperlink>
      <w:r>
        <w:rPr>
          <w:rStyle w:val="any"/>
          <w:color w:val="000000"/>
        </w:rPr>
        <w:t xml:space="preserve"> ZPO</w:t>
      </w:r>
      <w:r>
        <w:rPr>
          <w:color w:val="000000"/>
        </w:rPr>
        <w:t xml:space="preserve"> Gelegenheit gegeben werden, hierzu ergänzend vorzutragen. Die Sache ist deshalb gem. </w:t>
      </w:r>
      <w:r>
        <w:rPr>
          <w:rStyle w:val="any"/>
          <w:color w:val="000000"/>
        </w:rPr>
        <w:t xml:space="preserve">§ </w:t>
      </w:r>
      <w:hyperlink r:id="rId138" w:history="1">
        <w:r>
          <w:rPr>
            <w:rStyle w:val="bocontentwrapperbocenteranotbeck-btn"/>
            <w:color w:val="000000"/>
            <w:u w:val="single" w:color="000000"/>
          </w:rPr>
          <w:t>563</w:t>
        </w:r>
      </w:hyperlink>
      <w:r>
        <w:rPr>
          <w:rStyle w:val="any"/>
          <w:color w:val="000000"/>
        </w:rPr>
        <w:t xml:space="preserve"> </w:t>
      </w:r>
      <w:hyperlink r:id="rId139" w:history="1">
        <w:r>
          <w:rPr>
            <w:rStyle w:val="bocontentwrapperbocenteranotbeck-btn"/>
            <w:color w:val="000000"/>
            <w:u w:val="single" w:color="000000"/>
          </w:rPr>
          <w:t>I</w:t>
        </w:r>
      </w:hyperlink>
      <w:r>
        <w:rPr>
          <w:rStyle w:val="any"/>
          <w:color w:val="000000"/>
        </w:rPr>
        <w:t xml:space="preserve"> ZPO</w:t>
      </w:r>
      <w:r>
        <w:rPr>
          <w:color w:val="000000"/>
        </w:rPr>
        <w:t xml:space="preserve"> an das BerGer. zurückzuverweisen.</w:t>
      </w:r>
    </w:p>
    <w:p w14:paraId="34C3F525" w14:textId="77777777" w:rsidR="002E6714" w:rsidRDefault="00000000">
      <w:pPr>
        <w:pStyle w:val="divbocontentwrapperbocenterpParagraph"/>
        <w:spacing w:after="120" w:line="360" w:lineRule="auto"/>
        <w:ind w:right="150"/>
        <w:rPr>
          <w:color w:val="000000"/>
        </w:rPr>
      </w:pPr>
      <w:r>
        <w:rPr>
          <w:color w:val="000000"/>
        </w:rPr>
        <w:lastRenderedPageBreak/>
        <w:t xml:space="preserve">[17]III. Bei der neuen Verhandlung und Entscheidung hat das BerGer. die von dem </w:t>
      </w:r>
      <w:r>
        <w:rPr>
          <w:rStyle w:val="emitalicon"/>
          <w:color w:val="000000"/>
        </w:rPr>
        <w:t>Senat</w:t>
      </w:r>
      <w:r>
        <w:rPr>
          <w:color w:val="000000"/>
        </w:rPr>
        <w:t xml:space="preserve"> gegebenen Hinweise zur Rechtslage - gegebenenfalls nach weiterem Sachvortrag der Parteien - zu Grunde zu legen.</w:t>
      </w:r>
    </w:p>
    <w:p w14:paraId="5CA0586B" w14:textId="77777777" w:rsidR="002E6714" w:rsidRDefault="00000000">
      <w:pPr>
        <w:pStyle w:val="divbocontentwrapperbocenterpParagraph"/>
        <w:spacing w:after="120" w:line="360" w:lineRule="auto"/>
        <w:ind w:right="150"/>
        <w:rPr>
          <w:color w:val="000000"/>
        </w:rPr>
      </w:pPr>
      <w:r>
        <w:rPr>
          <w:color w:val="000000"/>
        </w:rPr>
        <w:t xml:space="preserve">[18]Zusätzlich weist der </w:t>
      </w:r>
      <w:r>
        <w:rPr>
          <w:rStyle w:val="emitalicon"/>
          <w:color w:val="000000"/>
        </w:rPr>
        <w:t>Senat</w:t>
      </w:r>
      <w:r>
        <w:rPr>
          <w:color w:val="000000"/>
        </w:rPr>
        <w:t xml:space="preserve"> auf Folgendes hin:</w:t>
      </w:r>
    </w:p>
    <w:p w14:paraId="0E6CE1C2" w14:textId="77777777" w:rsidR="002E6714" w:rsidRDefault="00000000">
      <w:pPr>
        <w:pStyle w:val="divbocontentwrapperbocenterpParagraph"/>
        <w:spacing w:after="120" w:line="360" w:lineRule="auto"/>
        <w:ind w:right="150"/>
        <w:rPr>
          <w:color w:val="000000"/>
        </w:rPr>
      </w:pPr>
      <w:r>
        <w:rPr>
          <w:color w:val="000000"/>
        </w:rPr>
        <w:t>[19]1. Die Ansicht der Revision, dass im Fall einer allein auf Grund der Passivierung von Gesellschafterdarlehen bestehenden Überschuldung einer GmbH eine positive Fortführungsprognose „zu vermuten” sei und dies nach den Grundsätzen in dem Senatsurteil vom 13. 7. 1992 (</w:t>
      </w:r>
      <w:r>
        <w:rPr>
          <w:rStyle w:val="any"/>
          <w:color w:val="000000"/>
        </w:rPr>
        <w:t xml:space="preserve">BGHZ 119, </w:t>
      </w:r>
      <w:hyperlink r:id="rId140" w:history="1">
        <w:r>
          <w:rPr>
            <w:rStyle w:val="bocontentwrapperbocenteranotbeck-btn"/>
            <w:color w:val="000000"/>
            <w:u w:val="single" w:color="000000"/>
          </w:rPr>
          <w:t>201</w:t>
        </w:r>
      </w:hyperlink>
      <w:r>
        <w:rPr>
          <w:rStyle w:val="any"/>
          <w:color w:val="000000"/>
        </w:rPr>
        <w:t xml:space="preserve"> [</w:t>
      </w:r>
      <w:hyperlink r:id="rId141" w:history="1">
        <w:r>
          <w:rPr>
            <w:rStyle w:val="bocontentwrapperbocenteranotbeck-btn"/>
            <w:color w:val="000000"/>
            <w:u w:val="single" w:color="000000"/>
          </w:rPr>
          <w:t>214</w:t>
        </w:r>
      </w:hyperlink>
      <w:r>
        <w:rPr>
          <w:color w:val="000000"/>
        </w:rPr>
        <w:t xml:space="preserve">] = </w:t>
      </w:r>
      <w:r>
        <w:rPr>
          <w:rStyle w:val="any"/>
          <w:color w:val="000000"/>
        </w:rPr>
        <w:t xml:space="preserve">NJW 1992, </w:t>
      </w:r>
      <w:hyperlink r:id="rId142" w:history="1">
        <w:r>
          <w:rPr>
            <w:rStyle w:val="bocontentwrapperbocenteranotbeck-btn"/>
            <w:color w:val="000000"/>
            <w:u w:val="single" w:color="000000"/>
          </w:rPr>
          <w:t>2891</w:t>
        </w:r>
      </w:hyperlink>
      <w:r>
        <w:rPr>
          <w:color w:val="000000"/>
        </w:rPr>
        <w:t xml:space="preserve">) einer Insolvenzreife entgegenstehe, geht für den vorliegend maßgeblichen Zeitraum ab 2001 fehl. Denn in diesem Zeitraum galt schon seit längerem der Überschuldungsbegriff des </w:t>
      </w:r>
      <w:r>
        <w:rPr>
          <w:rStyle w:val="any"/>
          <w:color w:val="000000"/>
        </w:rPr>
        <w:t xml:space="preserve">§ </w:t>
      </w:r>
      <w:hyperlink r:id="rId143" w:history="1">
        <w:r>
          <w:rPr>
            <w:rStyle w:val="bocontentwrapperbocenteranotbeck-btn"/>
            <w:color w:val="000000"/>
            <w:u w:val="single" w:color="000000"/>
          </w:rPr>
          <w:t>19</w:t>
        </w:r>
      </w:hyperlink>
      <w:r>
        <w:rPr>
          <w:rStyle w:val="any"/>
          <w:color w:val="000000"/>
        </w:rPr>
        <w:t xml:space="preserve"> </w:t>
      </w:r>
      <w:hyperlink r:id="rId144" w:history="1">
        <w:r>
          <w:rPr>
            <w:rStyle w:val="bocontentwrapperbocenteranotbeck-btn"/>
            <w:color w:val="000000"/>
            <w:u w:val="single" w:color="000000"/>
          </w:rPr>
          <w:t>II</w:t>
        </w:r>
      </w:hyperlink>
      <w:r>
        <w:rPr>
          <w:rStyle w:val="any"/>
          <w:color w:val="000000"/>
        </w:rPr>
        <w:t xml:space="preserve"> InsO</w:t>
      </w:r>
      <w:r>
        <w:rPr>
          <w:color w:val="000000"/>
        </w:rPr>
        <w:t xml:space="preserve">, nach dem eine positive Fortführungsprognose für sich allein eine Insolvenzreife des Schuldners nicht ausräumen kann, sondern lediglich für die Bewertung seines Vermögens nach Fortführungs- oder Liquidationswerten von Bedeutung ist (vgl. </w:t>
      </w:r>
      <w:r>
        <w:rPr>
          <w:rStyle w:val="emitalicon"/>
          <w:color w:val="000000"/>
        </w:rPr>
        <w:t>Senat,</w:t>
      </w:r>
      <w:r>
        <w:rPr>
          <w:color w:val="000000"/>
        </w:rPr>
        <w:t xml:space="preserve"> </w:t>
      </w:r>
      <w:r>
        <w:rPr>
          <w:rStyle w:val="any"/>
          <w:color w:val="000000"/>
        </w:rPr>
        <w:t xml:space="preserve">NZI 2007, </w:t>
      </w:r>
      <w:hyperlink r:id="rId145" w:history="1">
        <w:r>
          <w:rPr>
            <w:rStyle w:val="bocontentwrapperbocenteranotbeck-btn"/>
            <w:color w:val="000000"/>
            <w:u w:val="single" w:color="000000"/>
          </w:rPr>
          <w:t>44</w:t>
        </w:r>
      </w:hyperlink>
      <w:r>
        <w:rPr>
          <w:color w:val="000000"/>
        </w:rPr>
        <w:t xml:space="preserve"> = </w:t>
      </w:r>
      <w:r>
        <w:rPr>
          <w:rStyle w:val="any"/>
          <w:color w:val="000000"/>
        </w:rPr>
        <w:t xml:space="preserve">ZIP 2006, </w:t>
      </w:r>
      <w:hyperlink r:id="rId146" w:history="1">
        <w:r>
          <w:rPr>
            <w:rStyle w:val="bocontentwrapperbocenteranotbeck-btn"/>
            <w:color w:val="000000"/>
            <w:u w:val="single" w:color="000000"/>
          </w:rPr>
          <w:t>2171</w:t>
        </w:r>
      </w:hyperlink>
      <w:r>
        <w:rPr>
          <w:color w:val="000000"/>
        </w:rPr>
        <w:t>). Für den in dem Senatsurteil (</w:t>
      </w:r>
      <w:r>
        <w:rPr>
          <w:rStyle w:val="any"/>
          <w:color w:val="000000"/>
        </w:rPr>
        <w:t xml:space="preserve">NZI 2007, </w:t>
      </w:r>
      <w:hyperlink r:id="rId147" w:history="1">
        <w:r>
          <w:rPr>
            <w:rStyle w:val="bocontentwrapperbocenteranotbeck-btn"/>
            <w:color w:val="000000"/>
            <w:u w:val="single" w:color="000000"/>
          </w:rPr>
          <w:t>44</w:t>
        </w:r>
      </w:hyperlink>
      <w:r>
        <w:rPr>
          <w:color w:val="000000"/>
        </w:rPr>
        <w:t xml:space="preserve"> = </w:t>
      </w:r>
      <w:r>
        <w:rPr>
          <w:rStyle w:val="any"/>
          <w:color w:val="000000"/>
        </w:rPr>
        <w:t xml:space="preserve">ZIP 2006, </w:t>
      </w:r>
      <w:hyperlink r:id="rId148" w:history="1">
        <w:r>
          <w:rPr>
            <w:rStyle w:val="bocontentwrapperbocenteranotbeck-btn"/>
            <w:color w:val="000000"/>
            <w:u w:val="single" w:color="000000"/>
          </w:rPr>
          <w:t>2171</w:t>
        </w:r>
      </w:hyperlink>
      <w:r>
        <w:rPr>
          <w:color w:val="000000"/>
        </w:rPr>
        <w:t>) zu Grunde gelegten zweistufigen Überschuldungsbegriff ist damit die rechtliche Grundlage entfallen. In der Zeit nach Bekanntwerden des Senatsurteils vom 8. 1. 2001 (</w:t>
      </w:r>
      <w:r>
        <w:rPr>
          <w:rStyle w:val="any"/>
          <w:color w:val="000000"/>
        </w:rPr>
        <w:t xml:space="preserve">BGHZ 146, </w:t>
      </w:r>
      <w:hyperlink r:id="rId149" w:history="1">
        <w:r>
          <w:rPr>
            <w:rStyle w:val="bocontentwrapperbocenteranotbeck-btn"/>
            <w:color w:val="000000"/>
            <w:u w:val="single" w:color="000000"/>
          </w:rPr>
          <w:t>264</w:t>
        </w:r>
      </w:hyperlink>
      <w:r>
        <w:rPr>
          <w:color w:val="000000"/>
        </w:rPr>
        <w:t xml:space="preserve"> = </w:t>
      </w:r>
      <w:r>
        <w:rPr>
          <w:rStyle w:val="any"/>
          <w:color w:val="000000"/>
        </w:rPr>
        <w:t xml:space="preserve">NJW 2001, </w:t>
      </w:r>
      <w:hyperlink r:id="rId150" w:history="1">
        <w:r>
          <w:rPr>
            <w:rStyle w:val="bocontentwrapperbocenteranotbeck-btn"/>
            <w:color w:val="000000"/>
            <w:u w:val="single" w:color="000000"/>
          </w:rPr>
          <w:t>1280</w:t>
        </w:r>
      </w:hyperlink>
      <w:r>
        <w:rPr>
          <w:color w:val="000000"/>
        </w:rPr>
        <w:t xml:space="preserve"> = </w:t>
      </w:r>
      <w:r>
        <w:rPr>
          <w:rStyle w:val="any"/>
          <w:color w:val="000000"/>
        </w:rPr>
        <w:t xml:space="preserve">NZG 2001, </w:t>
      </w:r>
      <w:hyperlink r:id="rId151" w:history="1">
        <w:r>
          <w:rPr>
            <w:rStyle w:val="bocontentwrapperbocenteranotbeck-btn"/>
            <w:color w:val="000000"/>
            <w:u w:val="single" w:color="000000"/>
          </w:rPr>
          <w:t>361</w:t>
        </w:r>
      </w:hyperlink>
      <w:r>
        <w:rPr>
          <w:color w:val="000000"/>
        </w:rPr>
        <w:t xml:space="preserve">) konnte auch kein Zweifel mehr daran bestehen, dass Forderungen der Gesellschafter aus Eigenkapital ersetzenden Darlehen bei Fehlen eines den dortigen Anforderungen entsprechenden Rangrücktritts im Überschuldungsstatus zu passivieren sind. Das gilt auch bei einer etwaigen Bewertung des Schuldnervermögens nach Fortführungswerten, weil die von dem </w:t>
      </w:r>
      <w:r>
        <w:rPr>
          <w:rStyle w:val="emitalicon"/>
          <w:color w:val="000000"/>
        </w:rPr>
        <w:t>Senat</w:t>
      </w:r>
      <w:r>
        <w:rPr>
          <w:color w:val="000000"/>
        </w:rPr>
        <w:t xml:space="preserve"> (</w:t>
      </w:r>
      <w:r>
        <w:rPr>
          <w:rStyle w:val="any"/>
          <w:color w:val="000000"/>
        </w:rPr>
        <w:t xml:space="preserve">NZI 2007, </w:t>
      </w:r>
      <w:hyperlink r:id="rId152" w:history="1">
        <w:r>
          <w:rPr>
            <w:rStyle w:val="bocontentwrapperbocenteranotbeck-btn"/>
            <w:color w:val="000000"/>
            <w:u w:val="single" w:color="000000"/>
          </w:rPr>
          <w:t>44</w:t>
        </w:r>
      </w:hyperlink>
      <w:r>
        <w:rPr>
          <w:color w:val="000000"/>
        </w:rPr>
        <w:t xml:space="preserve"> = </w:t>
      </w:r>
      <w:r>
        <w:rPr>
          <w:rStyle w:val="any"/>
          <w:color w:val="000000"/>
        </w:rPr>
        <w:t xml:space="preserve">ZIP 2006, </w:t>
      </w:r>
      <w:hyperlink r:id="rId153" w:history="1">
        <w:r>
          <w:rPr>
            <w:rStyle w:val="bocontentwrapperbocenteranotbeck-btn"/>
            <w:color w:val="000000"/>
            <w:u w:val="single" w:color="000000"/>
          </w:rPr>
          <w:t>2171</w:t>
        </w:r>
      </w:hyperlink>
      <w:r>
        <w:rPr>
          <w:color w:val="000000"/>
        </w:rPr>
        <w:t xml:space="preserve">) angeführten Gründe für die Passivierung hierauf in gleicher Weise zutreffen und Forderungen aus Eigenkapital ersetzenden Darlehen zu den Insolvenzforderungen gehören (vgl. </w:t>
      </w:r>
      <w:r>
        <w:rPr>
          <w:rStyle w:val="any"/>
          <w:color w:val="000000"/>
        </w:rPr>
        <w:t xml:space="preserve">§ </w:t>
      </w:r>
      <w:hyperlink r:id="rId154" w:history="1">
        <w:r>
          <w:rPr>
            <w:rStyle w:val="bocontentwrapperbocenteranotbeck-btn"/>
            <w:color w:val="000000"/>
            <w:u w:val="single" w:color="000000"/>
          </w:rPr>
          <w:t>39</w:t>
        </w:r>
      </w:hyperlink>
      <w:r>
        <w:rPr>
          <w:rStyle w:val="any"/>
          <w:color w:val="000000"/>
        </w:rPr>
        <w:t xml:space="preserve"> </w:t>
      </w:r>
      <w:hyperlink r:id="rId155" w:history="1">
        <w:r>
          <w:rPr>
            <w:rStyle w:val="bocontentwrapperbocenteranotbeck-btn"/>
            <w:color w:val="000000"/>
            <w:u w:val="single" w:color="000000"/>
          </w:rPr>
          <w:t>I</w:t>
        </w:r>
      </w:hyperlink>
      <w:r>
        <w:rPr>
          <w:rStyle w:val="any"/>
          <w:color w:val="000000"/>
        </w:rPr>
        <w:t xml:space="preserve"> Nr. 5 InsO</w:t>
      </w:r>
      <w:r>
        <w:rPr>
          <w:color w:val="000000"/>
        </w:rPr>
        <w:t>).</w:t>
      </w:r>
    </w:p>
    <w:p w14:paraId="021D7DA3" w14:textId="77777777" w:rsidR="002E6714" w:rsidRDefault="00000000">
      <w:pPr>
        <w:pStyle w:val="divbocontentwrapperbocenterpParagraph"/>
        <w:spacing w:after="120" w:line="360" w:lineRule="auto"/>
        <w:ind w:right="150"/>
        <w:rPr>
          <w:color w:val="000000"/>
        </w:rPr>
      </w:pPr>
      <w:r>
        <w:rPr>
          <w:color w:val="000000"/>
        </w:rPr>
        <w:t>[20]2. Im Ergebnis zutreffend geht das BerGer. (stillschweigend) davon aus, dass die Höhe des Ersatzanspruchs eines Neugläubigers nicht unter Abzug der auf ihn entfallenden und erst nach Abschluss des Insolvenzverfahrens über das Vermögen der Gesellschaft feststehenden Insolvenzquote zu errechnen ist. An der gegenteiligen Auffassung im Urteil vom 6. 6. 1994 (</w:t>
      </w:r>
      <w:r>
        <w:rPr>
          <w:rStyle w:val="any"/>
          <w:color w:val="000000"/>
        </w:rPr>
        <w:t xml:space="preserve">BGHZ 126, </w:t>
      </w:r>
      <w:hyperlink r:id="rId156" w:history="1">
        <w:r>
          <w:rPr>
            <w:rStyle w:val="bocontentwrapperbocenteranotbeck-btn"/>
            <w:color w:val="000000"/>
            <w:u w:val="single" w:color="000000"/>
          </w:rPr>
          <w:t>181</w:t>
        </w:r>
      </w:hyperlink>
      <w:r>
        <w:rPr>
          <w:rStyle w:val="any"/>
          <w:color w:val="000000"/>
        </w:rPr>
        <w:t xml:space="preserve"> [</w:t>
      </w:r>
      <w:hyperlink r:id="rId157" w:history="1">
        <w:r>
          <w:rPr>
            <w:rStyle w:val="bocontentwrapperbocenteranotbeck-btn"/>
            <w:color w:val="000000"/>
            <w:u w:val="single" w:color="000000"/>
          </w:rPr>
          <w:t>201</w:t>
        </w:r>
      </w:hyperlink>
      <w:r>
        <w:rPr>
          <w:color w:val="000000"/>
        </w:rPr>
        <w:t xml:space="preserve">] = </w:t>
      </w:r>
      <w:r>
        <w:rPr>
          <w:rStyle w:val="any"/>
          <w:color w:val="000000"/>
        </w:rPr>
        <w:t xml:space="preserve">NJW 1994, </w:t>
      </w:r>
      <w:hyperlink r:id="rId158" w:history="1">
        <w:r>
          <w:rPr>
            <w:rStyle w:val="bocontentwrapperbocenteranotbeck-btn"/>
            <w:color w:val="000000"/>
            <w:u w:val="single" w:color="000000"/>
          </w:rPr>
          <w:t>2220</w:t>
        </w:r>
      </w:hyperlink>
      <w:r>
        <w:rPr>
          <w:color w:val="000000"/>
        </w:rPr>
        <w:t xml:space="preserve">) hält der </w:t>
      </w:r>
      <w:r>
        <w:rPr>
          <w:rStyle w:val="emitalicon"/>
          <w:color w:val="000000"/>
        </w:rPr>
        <w:t>Senat</w:t>
      </w:r>
      <w:r>
        <w:rPr>
          <w:color w:val="000000"/>
        </w:rPr>
        <w:t xml:space="preserve"> nicht fest. Der gegen </w:t>
      </w:r>
      <w:r>
        <w:rPr>
          <w:rStyle w:val="any"/>
          <w:color w:val="000000"/>
        </w:rPr>
        <w:t xml:space="preserve">§ </w:t>
      </w:r>
      <w:hyperlink r:id="rId159" w:history="1">
        <w:r>
          <w:rPr>
            <w:rStyle w:val="bocontentwrapperbocenteranotbeck-btn"/>
            <w:color w:val="000000"/>
            <w:u w:val="single" w:color="000000"/>
          </w:rPr>
          <w:t>64</w:t>
        </w:r>
      </w:hyperlink>
      <w:r>
        <w:rPr>
          <w:rStyle w:val="any"/>
          <w:color w:val="000000"/>
        </w:rPr>
        <w:t xml:space="preserve"> </w:t>
      </w:r>
      <w:hyperlink r:id="rId160" w:history="1">
        <w:r>
          <w:rPr>
            <w:rStyle w:val="bocontentwrapperbocenteranotbeck-btn"/>
            <w:color w:val="000000"/>
            <w:u w:val="single" w:color="000000"/>
          </w:rPr>
          <w:t>I</w:t>
        </w:r>
      </w:hyperlink>
      <w:r>
        <w:rPr>
          <w:rStyle w:val="any"/>
          <w:color w:val="000000"/>
        </w:rPr>
        <w:t xml:space="preserve"> GmbHG</w:t>
      </w:r>
      <w:r>
        <w:rPr>
          <w:color w:val="000000"/>
        </w:rPr>
        <w:t xml:space="preserve"> verstoßende Geschäftsführer ist verantwortlich dafür, dass es zu der Kreditgewährung des Neugläubigers an die insolvenzreife Gesellschaft überhaupt gekommen ist. Es wäre deshalb sachlich nicht gerechtfertigt, den Neugläubiger darauf zu verweisen, dass er mit der Geltendmachung seines Schadensersatzanspruchs gegen den Geschäftsführer bis zum Abschluss des Insolvenzverfahrens zuwarten müsse. Vielmehr ist dem in voller Höhe ersatzpflichtigen Geschäftsführer entsprechend </w:t>
      </w:r>
      <w:r>
        <w:rPr>
          <w:rStyle w:val="any"/>
          <w:color w:val="000000"/>
        </w:rPr>
        <w:t xml:space="preserve">§ </w:t>
      </w:r>
      <w:hyperlink r:id="rId161" w:history="1">
        <w:r>
          <w:rPr>
            <w:rStyle w:val="bocontentwrapperbocenteranotbeck-btn"/>
            <w:color w:val="000000"/>
            <w:u w:val="single" w:color="000000"/>
          </w:rPr>
          <w:t>255</w:t>
        </w:r>
      </w:hyperlink>
      <w:r>
        <w:rPr>
          <w:rStyle w:val="any"/>
          <w:color w:val="000000"/>
        </w:rPr>
        <w:t xml:space="preserve"> BGB</w:t>
      </w:r>
      <w:r>
        <w:rPr>
          <w:color w:val="000000"/>
        </w:rPr>
        <w:t xml:space="preserve"> - Zug um Zug gegen Zahlung seiner Ersatzleistung - ein Anspruch auf Abtretung der Insolvenzforderung des Neugläubigers gegen die Gesellschaft zuzubilligen, um dem </w:t>
      </w:r>
      <w:r>
        <w:rPr>
          <w:color w:val="000000"/>
        </w:rPr>
        <w:lastRenderedPageBreak/>
        <w:t xml:space="preserve">schadensersatzrechtlichen Bereicherungsverbot Rechnung zu tragen (vgl. </w:t>
      </w:r>
      <w:r>
        <w:rPr>
          <w:rStyle w:val="emitalicon"/>
          <w:color w:val="000000"/>
        </w:rPr>
        <w:t>Altmeppen,</w:t>
      </w:r>
      <w:r>
        <w:rPr>
          <w:color w:val="000000"/>
        </w:rPr>
        <w:t xml:space="preserve"> </w:t>
      </w:r>
      <w:r>
        <w:rPr>
          <w:rStyle w:val="any"/>
          <w:color w:val="000000"/>
        </w:rPr>
        <w:t xml:space="preserve">ZIP 1997, </w:t>
      </w:r>
      <w:hyperlink r:id="rId162" w:history="1">
        <w:r>
          <w:rPr>
            <w:rStyle w:val="bocontentwrapperbocenteranotbeck-btn"/>
            <w:color w:val="000000"/>
            <w:u w:val="single" w:color="000000"/>
          </w:rPr>
          <w:t>1173</w:t>
        </w:r>
      </w:hyperlink>
      <w:r>
        <w:rPr>
          <w:rStyle w:val="any"/>
          <w:color w:val="000000"/>
        </w:rPr>
        <w:t xml:space="preserve"> [</w:t>
      </w:r>
      <w:hyperlink r:id="rId163" w:history="1">
        <w:r>
          <w:rPr>
            <w:rStyle w:val="bocontentwrapperbocenteranotbeck-btn"/>
            <w:color w:val="000000"/>
            <w:u w:val="single" w:color="000000"/>
          </w:rPr>
          <w:t>1181</w:t>
        </w:r>
      </w:hyperlink>
      <w:r>
        <w:rPr>
          <w:color w:val="000000"/>
        </w:rPr>
        <w:t xml:space="preserve">] sowie - zum Umfang des Ersatzanspruchs gem. </w:t>
      </w:r>
      <w:r>
        <w:rPr>
          <w:rStyle w:val="any"/>
          <w:color w:val="000000"/>
        </w:rPr>
        <w:t xml:space="preserve">§ </w:t>
      </w:r>
      <w:hyperlink r:id="rId164" w:history="1">
        <w:r>
          <w:rPr>
            <w:rStyle w:val="bocontentwrapperbocenteranotbeck-btn"/>
            <w:color w:val="000000"/>
            <w:u w:val="single" w:color="000000"/>
          </w:rPr>
          <w:t>64</w:t>
        </w:r>
      </w:hyperlink>
      <w:r>
        <w:rPr>
          <w:rStyle w:val="any"/>
          <w:color w:val="000000"/>
        </w:rPr>
        <w:t xml:space="preserve"> </w:t>
      </w:r>
      <w:hyperlink r:id="rId165" w:history="1">
        <w:r>
          <w:rPr>
            <w:rStyle w:val="bocontentwrapperbocenteranotbeck-btn"/>
            <w:color w:val="000000"/>
            <w:u w:val="single" w:color="000000"/>
          </w:rPr>
          <w:t>II</w:t>
        </w:r>
      </w:hyperlink>
      <w:r>
        <w:rPr>
          <w:rStyle w:val="any"/>
          <w:color w:val="000000"/>
        </w:rPr>
        <w:t xml:space="preserve"> GmbHG</w:t>
      </w:r>
      <w:r>
        <w:rPr>
          <w:color w:val="000000"/>
        </w:rPr>
        <w:t xml:space="preserve"> - </w:t>
      </w:r>
      <w:r>
        <w:rPr>
          <w:rStyle w:val="any"/>
          <w:color w:val="000000"/>
        </w:rPr>
        <w:t xml:space="preserve">BGHZ 146, </w:t>
      </w:r>
      <w:hyperlink r:id="rId166" w:history="1">
        <w:r>
          <w:rPr>
            <w:rStyle w:val="bocontentwrapperbocenteranotbeck-btn"/>
            <w:color w:val="000000"/>
            <w:u w:val="single" w:color="000000"/>
          </w:rPr>
          <w:t>264</w:t>
        </w:r>
      </w:hyperlink>
      <w:r>
        <w:rPr>
          <w:rStyle w:val="any"/>
          <w:color w:val="000000"/>
        </w:rPr>
        <w:t xml:space="preserve"> [</w:t>
      </w:r>
      <w:hyperlink r:id="rId167" w:history="1">
        <w:r>
          <w:rPr>
            <w:rStyle w:val="bocontentwrapperbocenteranotbeck-btn"/>
            <w:color w:val="000000"/>
            <w:u w:val="single" w:color="000000"/>
          </w:rPr>
          <w:t>278</w:t>
        </w:r>
      </w:hyperlink>
      <w:r>
        <w:rPr>
          <w:color w:val="000000"/>
        </w:rPr>
        <w:t xml:space="preserve">f.] = </w:t>
      </w:r>
      <w:r>
        <w:rPr>
          <w:rStyle w:val="any"/>
          <w:color w:val="000000"/>
        </w:rPr>
        <w:t xml:space="preserve">NJW 2001, </w:t>
      </w:r>
      <w:hyperlink r:id="rId168" w:history="1">
        <w:r>
          <w:rPr>
            <w:rStyle w:val="bocontentwrapperbocenteranotbeck-btn"/>
            <w:color w:val="000000"/>
            <w:u w:val="single" w:color="000000"/>
          </w:rPr>
          <w:t>1280</w:t>
        </w:r>
      </w:hyperlink>
      <w:r>
        <w:rPr>
          <w:color w:val="000000"/>
        </w:rPr>
        <w:t xml:space="preserve"> = </w:t>
      </w:r>
      <w:r>
        <w:rPr>
          <w:rStyle w:val="any"/>
          <w:color w:val="000000"/>
        </w:rPr>
        <w:t xml:space="preserve">NZG 2001, </w:t>
      </w:r>
      <w:hyperlink r:id="rId169" w:history="1">
        <w:r>
          <w:rPr>
            <w:rStyle w:val="bocontentwrapperbocenteranotbeck-btn"/>
            <w:color w:val="000000"/>
            <w:u w:val="single" w:color="000000"/>
          </w:rPr>
          <w:t>361</w:t>
        </w:r>
      </w:hyperlink>
      <w:r>
        <w:rPr>
          <w:color w:val="000000"/>
        </w:rPr>
        <w:t xml:space="preserve">). Die Abtretung der dem Erfüllungsinteresse entsprechenden Insolvenzforderung des Neugläubigers rechtfertigt sich daraus, dass diese bei pflichtgemäßem Verhalten des Geschäftsführers nicht entstanden wäre und er dem Neugläubiger nur Ersatz seines negativen Interesses schuldet (vgl. insoweit </w:t>
      </w:r>
      <w:r>
        <w:rPr>
          <w:rStyle w:val="any"/>
          <w:color w:val="000000"/>
        </w:rPr>
        <w:t xml:space="preserve">BGHZ 126, </w:t>
      </w:r>
      <w:hyperlink r:id="rId170" w:history="1">
        <w:r>
          <w:rPr>
            <w:rStyle w:val="bocontentwrapperbocenteranotbeck-btn"/>
            <w:color w:val="000000"/>
            <w:u w:val="single" w:color="000000"/>
          </w:rPr>
          <w:t>181</w:t>
        </w:r>
      </w:hyperlink>
      <w:r>
        <w:rPr>
          <w:rStyle w:val="any"/>
          <w:color w:val="000000"/>
        </w:rPr>
        <w:t xml:space="preserve"> [</w:t>
      </w:r>
      <w:hyperlink r:id="rId171" w:history="1">
        <w:r>
          <w:rPr>
            <w:rStyle w:val="bocontentwrapperbocenteranotbeck-btn"/>
            <w:color w:val="000000"/>
            <w:u w:val="single" w:color="000000"/>
          </w:rPr>
          <w:t>201</w:t>
        </w:r>
      </w:hyperlink>
      <w:r>
        <w:rPr>
          <w:color w:val="000000"/>
        </w:rPr>
        <w:t xml:space="preserve">] = </w:t>
      </w:r>
      <w:r>
        <w:rPr>
          <w:rStyle w:val="any"/>
          <w:color w:val="000000"/>
        </w:rPr>
        <w:t xml:space="preserve">NJW 1994, </w:t>
      </w:r>
      <w:hyperlink r:id="rId172" w:history="1">
        <w:r>
          <w:rPr>
            <w:rStyle w:val="bocontentwrapperbocenteranotbeck-btn"/>
            <w:color w:val="000000"/>
            <w:u w:val="single" w:color="000000"/>
          </w:rPr>
          <w:t>2220</w:t>
        </w:r>
      </w:hyperlink>
      <w:r>
        <w:rPr>
          <w:color w:val="000000"/>
        </w:rPr>
        <w:t>).</w:t>
      </w:r>
    </w:p>
    <w:p w14:paraId="4069857F" w14:textId="77777777" w:rsidR="002E6714" w:rsidRDefault="00000000">
      <w:pPr>
        <w:pStyle w:val="divbocontentwrapperbocenterpParagraph"/>
        <w:spacing w:after="120" w:line="360" w:lineRule="auto"/>
        <w:ind w:right="150"/>
        <w:rPr>
          <w:color w:val="000000"/>
        </w:rPr>
      </w:pPr>
      <w:r>
        <w:rPr>
          <w:color w:val="000000"/>
        </w:rPr>
        <w:t>[21]3. Auf durchgreifende Bedenken stößt allerdings die (bisherige) Ansicht des BerGer., in die Schadensberechnung des negativen Interesses der Kl. (</w:t>
      </w:r>
      <w:r>
        <w:rPr>
          <w:rStyle w:val="any"/>
          <w:color w:val="000000"/>
        </w:rPr>
        <w:t xml:space="preserve">BGHZ 126, </w:t>
      </w:r>
      <w:hyperlink r:id="rId173" w:history="1">
        <w:r>
          <w:rPr>
            <w:rStyle w:val="bocontentwrapperbocenteranotbeck-btn"/>
            <w:color w:val="000000"/>
            <w:u w:val="single" w:color="000000"/>
          </w:rPr>
          <w:t>181</w:t>
        </w:r>
      </w:hyperlink>
      <w:r>
        <w:rPr>
          <w:rStyle w:val="any"/>
          <w:color w:val="000000"/>
        </w:rPr>
        <w:t xml:space="preserve"> [</w:t>
      </w:r>
      <w:hyperlink r:id="rId174" w:history="1">
        <w:r>
          <w:rPr>
            <w:rStyle w:val="bocontentwrapperbocenteranotbeck-btn"/>
            <w:color w:val="000000"/>
            <w:u w:val="single" w:color="000000"/>
          </w:rPr>
          <w:t>201</w:t>
        </w:r>
      </w:hyperlink>
      <w:r>
        <w:rPr>
          <w:color w:val="000000"/>
        </w:rPr>
        <w:t xml:space="preserve">] = </w:t>
      </w:r>
      <w:r>
        <w:rPr>
          <w:rStyle w:val="any"/>
          <w:color w:val="000000"/>
        </w:rPr>
        <w:t xml:space="preserve">NJW 1994, </w:t>
      </w:r>
      <w:hyperlink r:id="rId175" w:history="1">
        <w:r>
          <w:rPr>
            <w:rStyle w:val="bocontentwrapperbocenteranotbeck-btn"/>
            <w:color w:val="000000"/>
            <w:u w:val="single" w:color="000000"/>
          </w:rPr>
          <w:t>2220</w:t>
        </w:r>
      </w:hyperlink>
      <w:r>
        <w:rPr>
          <w:color w:val="000000"/>
        </w:rPr>
        <w:t>) seien die vereinbarten, bis 30. 9. 2003 aufgelaufenen Bankzinsen einzubeziehen. Das wäre nur dann richtig, wenn die Kl. allein mit eigenen Kapitalreserven arbeiten würde, welche sie zu anderweitiger Kreditvergabe hätte einsetzen können (</w:t>
      </w:r>
      <w:r>
        <w:rPr>
          <w:rStyle w:val="any"/>
          <w:color w:val="000000"/>
        </w:rPr>
        <w:t xml:space="preserve">§ </w:t>
      </w:r>
      <w:hyperlink r:id="rId176" w:history="1">
        <w:r>
          <w:rPr>
            <w:rStyle w:val="bocontentwrapperbocenteranotbeck-btn"/>
            <w:color w:val="000000"/>
            <w:u w:val="single" w:color="000000"/>
          </w:rPr>
          <w:t>252</w:t>
        </w:r>
      </w:hyperlink>
      <w:r>
        <w:rPr>
          <w:rStyle w:val="any"/>
          <w:color w:val="000000"/>
        </w:rPr>
        <w:t xml:space="preserve"> ZPO</w:t>
      </w:r>
      <w:r>
        <w:rPr>
          <w:color w:val="000000"/>
        </w:rPr>
        <w:t>), wenn es nicht zu einer Erhöhung des an die Schuldnerin ausgereichten Darlehenskapitals im Zeitraum einer etwaigen Insolvenzverschleppung gekommen wäre. Wie sich aus den Ausführungen der Kl. zur Begründung ihres Hilfsantrags ergibt, hat sie aber offenbar die von ihr gewährten Kredite refinanziert und kann deshalb im Rahmen des negativen Interesses nur die Refinanzierungskosten ersetzt verlangen.</w:t>
      </w:r>
      <w:bookmarkStart w:id="2" w:name="Y-300-Z-NJW-RR-B-2007-S-759-N-1-NAME-ANM"/>
      <w:bookmarkEnd w:id="2"/>
    </w:p>
    <w:p w14:paraId="2B332438" w14:textId="77777777" w:rsidR="002E6714" w:rsidRDefault="00000000">
      <w:pPr>
        <w:pStyle w:val="printcontenth2"/>
        <w:pBdr>
          <w:top w:val="single" w:sz="6" w:space="0" w:color="808080"/>
        </w:pBdr>
        <w:spacing w:before="300" w:line="360" w:lineRule="auto"/>
        <w:ind w:right="150"/>
        <w:outlineLvl w:val="1"/>
        <w:rPr>
          <w:b/>
          <w:bCs/>
        </w:rPr>
      </w:pPr>
      <w:r>
        <w:rPr>
          <w:b/>
          <w:bCs/>
        </w:rPr>
        <w:t>Anm. d. Schriftltg.:</w:t>
      </w:r>
    </w:p>
    <w:p w14:paraId="640142F8" w14:textId="77777777" w:rsidR="002E6714" w:rsidRDefault="00000000">
      <w:pPr>
        <w:pStyle w:val="divbocontentwrapperbocenterpParagraph"/>
        <w:pBdr>
          <w:top w:val="single" w:sz="6" w:space="0" w:color="808080"/>
        </w:pBdr>
        <w:spacing w:after="120" w:line="360" w:lineRule="auto"/>
        <w:ind w:right="150"/>
        <w:rPr>
          <w:color w:val="000000"/>
        </w:rPr>
      </w:pPr>
      <w:r>
        <w:rPr>
          <w:color w:val="000000"/>
        </w:rPr>
        <w:t xml:space="preserve">Zu dieser Entscheidung vgl. die Anm. </w:t>
      </w:r>
      <w:r>
        <w:rPr>
          <w:rStyle w:val="emitalicon"/>
          <w:color w:val="000000"/>
        </w:rPr>
        <w:t>Eilmann</w:t>
      </w:r>
      <w:r>
        <w:rPr>
          <w:color w:val="000000"/>
        </w:rPr>
        <w:t xml:space="preserve">, </w:t>
      </w:r>
      <w:r>
        <w:rPr>
          <w:rStyle w:val="any"/>
          <w:color w:val="000000"/>
        </w:rPr>
        <w:t xml:space="preserve">LMK 2007, </w:t>
      </w:r>
      <w:hyperlink r:id="rId177" w:history="1">
        <w:r>
          <w:rPr>
            <w:rStyle w:val="bocontentwrapperbocenteranotbeck-btn"/>
            <w:color w:val="000000"/>
            <w:u w:val="single" w:color="000000"/>
          </w:rPr>
          <w:t>222172</w:t>
        </w:r>
      </w:hyperlink>
      <w:r>
        <w:rPr>
          <w:color w:val="000000"/>
        </w:rPr>
        <w:t xml:space="preserve">. - Zum Schadensersatz wegen Insolvenzverschleppung - Quotenschaden s. auch </w:t>
      </w:r>
      <w:r>
        <w:rPr>
          <w:rStyle w:val="emitalicon"/>
          <w:color w:val="000000"/>
        </w:rPr>
        <w:t>LAG Köln,</w:t>
      </w:r>
      <w:r>
        <w:rPr>
          <w:color w:val="000000"/>
        </w:rPr>
        <w:t xml:space="preserve"> </w:t>
      </w:r>
      <w:r>
        <w:rPr>
          <w:rStyle w:val="any"/>
          <w:color w:val="000000"/>
        </w:rPr>
        <w:t xml:space="preserve">NZG 2007, </w:t>
      </w:r>
      <w:hyperlink r:id="rId178" w:history="1">
        <w:r>
          <w:rPr>
            <w:rStyle w:val="bocontentwrapperbocenteranotbeck-btn"/>
            <w:color w:val="000000"/>
            <w:u w:val="single" w:color="000000"/>
          </w:rPr>
          <w:t>199</w:t>
        </w:r>
      </w:hyperlink>
      <w:r>
        <w:rPr>
          <w:color w:val="000000"/>
        </w:rPr>
        <w:t>. - Zur Haftung des GmbH-Geschäftsführers auf Insolvenzausfallgeld s. auch NJW-Spezial 2007, 79.</w:t>
      </w:r>
    </w:p>
    <w:p w14:paraId="1F732100" w14:textId="77777777" w:rsidR="002E6714" w:rsidRDefault="00000000">
      <w:pPr>
        <w:pStyle w:val="printcontenth3"/>
        <w:spacing w:line="360" w:lineRule="auto"/>
        <w:ind w:left="150" w:right="150"/>
        <w:outlineLvl w:val="2"/>
        <w:rPr>
          <w:b/>
          <w:bCs/>
        </w:rPr>
      </w:pPr>
      <w:r>
        <w:rPr>
          <w:b/>
          <w:bCs/>
        </w:rPr>
        <w:t>Entscheidung zitiert in:</w:t>
      </w:r>
    </w:p>
    <w:p w14:paraId="1EC5CEF9" w14:textId="77777777" w:rsidR="002E6714" w:rsidRDefault="00000000">
      <w:pPr>
        <w:pStyle w:val="printcontentdivnotlawversion"/>
        <w:spacing w:line="360" w:lineRule="auto"/>
        <w:ind w:left="150" w:right="150"/>
      </w:pPr>
      <w:r>
        <w:t>Büchern | Noack/Servatius/Haas, GmbHG | Michalski GmbHG | Hopt, Handelsgesetzbuch | Binz/Sorg, Die GmbH &amp; Co. KG | Beck'sches Handbuch Unternehmenskauf im Mittelstand | Beck'sches Handbuch d. GmbH | Reichert, GmbH &amp; Co. KG | BeckOK BGB, 78. Edition | Braun, Insolvenzordnung, 11. A. 2026 | Eilers/Gleske/Hüther/Knapp, Handbuch Unternehmensfinanzierung, 1. Aufl., 1. A. 2024 | Koch, Aktiengesetz, 20. A. 2026 | Drinhausen/Eckstein, Beck'sches Handbuch der AG, 3. A. 2018 | Koenig, Abgabenordnung, 6. A. 2026 | Beck'sches Handbuch d. Personengesellschaften, 5. A. 2020 | Schauhoff/Kirchhain, Hdb. d. Gemeinnützigkeit, 4. A. 2023 | Rechtsprechung | Verwaltungsvorschriften | Aufsätzen | Meldungen</w:t>
      </w:r>
    </w:p>
    <w:p w14:paraId="25A1F55C" w14:textId="77777777" w:rsidR="002E6714" w:rsidRDefault="00000000">
      <w:pPr>
        <w:pStyle w:val="printcontenth3"/>
        <w:spacing w:line="360" w:lineRule="auto"/>
        <w:ind w:left="150" w:right="150"/>
        <w:outlineLvl w:val="2"/>
        <w:rPr>
          <w:b/>
          <w:bCs/>
        </w:rPr>
      </w:pPr>
      <w:r>
        <w:rPr>
          <w:b/>
          <w:bCs/>
        </w:rPr>
        <w:t>Parallelfundstellen:</w:t>
      </w:r>
    </w:p>
    <w:p w14:paraId="514E8829" w14:textId="77777777" w:rsidR="002E6714" w:rsidRDefault="00000000">
      <w:pPr>
        <w:pStyle w:val="printcontentdivnotlawversion"/>
        <w:spacing w:line="360" w:lineRule="auto"/>
        <w:ind w:left="150" w:right="150"/>
      </w:pPr>
      <w:r>
        <w:t xml:space="preserve">Entscheidungen | NZG 2007, 347 | DStR 2007, 728 | DNotZ 2007, 707 | BKR 2007, 285 | BeckRS 2007, 5131 | IBRRS 2007, 2799 | LSK 2007, 170763 (Ls.) | Entscheidungsbesprechungen | NJW-Spezial 2007, 220 | LMK 2007, 222172 (Eilmann) | FD-InsR 2007, 221528 (Bra) | FD-HGR 2007, 220852 (Ziemons) | Weitere Fundstellen | </w:t>
      </w:r>
      <w:r>
        <w:lastRenderedPageBreak/>
        <w:t>BGHZ 171, 46 | DB 2007, 790 | DZWir 2007, 337 (m. Anm. Dr. Philipp Böcker) | GmbHR 2007, 482 (m. Anm. Dr. Christoph Poertzgen) | LMK 2007, 222172 | VersR 2007, 1702 | ZInsO 2007, 376 | ZIP 2007, 676</w:t>
      </w:r>
    </w:p>
    <w:p w14:paraId="4CCA8082" w14:textId="77777777" w:rsidR="002E6714" w:rsidRDefault="00000000">
      <w:pPr>
        <w:pStyle w:val="printcontenth3"/>
        <w:spacing w:line="360" w:lineRule="auto"/>
        <w:ind w:left="150" w:right="150"/>
        <w:outlineLvl w:val="2"/>
        <w:rPr>
          <w:b/>
          <w:bCs/>
        </w:rPr>
      </w:pPr>
      <w:r>
        <w:rPr>
          <w:b/>
          <w:bCs/>
        </w:rPr>
        <w:t>Weiteres zum Aktenzeichen:</w:t>
      </w:r>
    </w:p>
    <w:p w14:paraId="0FB0DF7C" w14:textId="77777777" w:rsidR="002E6714" w:rsidRDefault="00000000">
      <w:pPr>
        <w:pStyle w:val="printcontentdivnotlawversion"/>
        <w:spacing w:line="360" w:lineRule="auto"/>
        <w:ind w:left="150" w:right="150"/>
      </w:pPr>
      <w:r>
        <w:t>becklink 221036</w:t>
      </w:r>
    </w:p>
    <w:p w14:paraId="0F7A4CE0" w14:textId="37C8CD22" w:rsidR="002E6714" w:rsidRDefault="002E6714">
      <w:pPr>
        <w:pStyle w:val="tdm-long"/>
        <w:spacing w:before="225" w:after="2"/>
        <w:ind w:right="150"/>
        <w:rPr>
          <w:sz w:val="16"/>
          <w:szCs w:val="16"/>
        </w:rPr>
      </w:pPr>
    </w:p>
    <w:sectPr w:rsidR="002E6714">
      <w:headerReference w:type="even" r:id="rId179"/>
      <w:headerReference w:type="default" r:id="rId180"/>
      <w:headerReference w:type="first" r:id="rId181"/>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36FFF4" w14:textId="77777777" w:rsidR="00722455" w:rsidRDefault="00722455">
      <w:r>
        <w:separator/>
      </w:r>
    </w:p>
  </w:endnote>
  <w:endnote w:type="continuationSeparator" w:id="0">
    <w:p w14:paraId="02789D39" w14:textId="77777777" w:rsidR="00722455" w:rsidRDefault="00722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7DD7AF" w14:textId="77777777" w:rsidR="00722455" w:rsidRDefault="00722455">
      <w:r>
        <w:separator/>
      </w:r>
    </w:p>
  </w:footnote>
  <w:footnote w:type="continuationSeparator" w:id="0">
    <w:p w14:paraId="2CC16ECF" w14:textId="77777777" w:rsidR="00722455" w:rsidRDefault="00722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EFBD0" w14:textId="77777777" w:rsidR="00E51745" w:rsidRDefault="00E5174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A040E" w14:textId="6CBDC020" w:rsidR="002E6714" w:rsidRDefault="002E671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ACEF53" w14:textId="77777777" w:rsidR="00E51745" w:rsidRDefault="00E51745">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714"/>
    <w:rsid w:val="002E6714"/>
    <w:rsid w:val="00722455"/>
    <w:rsid w:val="00CD3831"/>
    <w:rsid w:val="00E517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03460"/>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E51745"/>
    <w:pPr>
      <w:tabs>
        <w:tab w:val="center" w:pos="4536"/>
        <w:tab w:val="right" w:pos="9072"/>
      </w:tabs>
    </w:pPr>
  </w:style>
  <w:style w:type="character" w:customStyle="1" w:styleId="KopfzeileZchn">
    <w:name w:val="Kopfzeile Zchn"/>
    <w:basedOn w:val="Absatz-Standardschriftart"/>
    <w:link w:val="Kopfzeile"/>
    <w:uiPriority w:val="99"/>
    <w:rsid w:val="00E51745"/>
    <w:rPr>
      <w:color w:val="141414"/>
      <w:sz w:val="22"/>
      <w:szCs w:val="22"/>
    </w:rPr>
  </w:style>
  <w:style w:type="paragraph" w:styleId="Fuzeile">
    <w:name w:val="footer"/>
    <w:basedOn w:val="Standard"/>
    <w:link w:val="FuzeileZchn"/>
    <w:uiPriority w:val="99"/>
    <w:unhideWhenUsed/>
    <w:rsid w:val="00E51745"/>
    <w:pPr>
      <w:tabs>
        <w:tab w:val="center" w:pos="4536"/>
        <w:tab w:val="right" w:pos="9072"/>
      </w:tabs>
    </w:pPr>
  </w:style>
  <w:style w:type="character" w:customStyle="1" w:styleId="FuzeileZchn">
    <w:name w:val="Fußzeile Zchn"/>
    <w:basedOn w:val="Absatz-Standardschriftart"/>
    <w:link w:val="Fuzeile"/>
    <w:uiPriority w:val="99"/>
    <w:rsid w:val="00E51745"/>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100&amp;g=GMBHG&amp;p=64&amp;x=I" TargetMode="External"/><Relationship Id="rId21" Type="http://schemas.openxmlformats.org/officeDocument/2006/relationships/hyperlink" Target="https://beck-online.beck.de/?typ=reference&amp;y=300&amp;z=BGHZ&amp;b=146&amp;s=264" TargetMode="External"/><Relationship Id="rId42" Type="http://schemas.openxmlformats.org/officeDocument/2006/relationships/hyperlink" Target="https://beck-online.beck.de/?typ=reference&amp;y=300&amp;z=NZG&amp;b=2001&amp;s=361" TargetMode="External"/><Relationship Id="rId63" Type="http://schemas.openxmlformats.org/officeDocument/2006/relationships/hyperlink" Target="https://beck-online.beck.de/?typ=reference&amp;y=300&amp;z=NJW&amp;b=2001&amp;s=1280" TargetMode="External"/><Relationship Id="rId84" Type="http://schemas.openxmlformats.org/officeDocument/2006/relationships/hyperlink" Target="https://beck-online.beck.de/?typ=reference&amp;y=300&amp;z=NJW&amp;b=1998&amp;s=2667" TargetMode="External"/><Relationship Id="rId138" Type="http://schemas.openxmlformats.org/officeDocument/2006/relationships/hyperlink" Target="https://beck-online.beck.de/?typ=reference&amp;y=100&amp;g=ZPO&amp;p=563" TargetMode="External"/><Relationship Id="rId159" Type="http://schemas.openxmlformats.org/officeDocument/2006/relationships/hyperlink" Target="https://beck-online.beck.de/?typ=reference&amp;y=100&amp;g=GMBHG&amp;p=64" TargetMode="External"/><Relationship Id="rId170" Type="http://schemas.openxmlformats.org/officeDocument/2006/relationships/hyperlink" Target="https://beck-online.beck.de/?typ=reference&amp;y=300&amp;z=BGHZ&amp;b=126&amp;s=181" TargetMode="External"/><Relationship Id="rId107" Type="http://schemas.openxmlformats.org/officeDocument/2006/relationships/hyperlink" Target="https://beck-online.beck.de/?typ=reference&amp;y=100&amp;g=HGB&amp;p=355" TargetMode="External"/><Relationship Id="rId11" Type="http://schemas.openxmlformats.org/officeDocument/2006/relationships/hyperlink" Target="https://beck-online.beck.de/?typ=reference&amp;y=300&amp;z=NJW&amp;b=1994&amp;s=2220" TargetMode="External"/><Relationship Id="rId32" Type="http://schemas.openxmlformats.org/officeDocument/2006/relationships/hyperlink" Target="https://beck-online.beck.de/?typ=reference&amp;y=100&amp;g=INSO&amp;p=19&amp;x=II" TargetMode="External"/><Relationship Id="rId53" Type="http://schemas.openxmlformats.org/officeDocument/2006/relationships/hyperlink" Target="https://beck-online.beck.de/?typ=reference&amp;y=100&amp;g=GMBHG&amp;p=84" TargetMode="External"/><Relationship Id="rId74" Type="http://schemas.openxmlformats.org/officeDocument/2006/relationships/hyperlink" Target="https://beck-online.beck.de/?typ=reference&amp;y=300&amp;z=BGHZ&amp;b=29&amp;s=100" TargetMode="External"/><Relationship Id="rId128" Type="http://schemas.openxmlformats.org/officeDocument/2006/relationships/hyperlink" Target="https://beck-online.beck.de/?typ=reference&amp;y=100&amp;g=BGB&amp;p=490" TargetMode="External"/><Relationship Id="rId149" Type="http://schemas.openxmlformats.org/officeDocument/2006/relationships/hyperlink" Target="https://beck-online.beck.de/?typ=reference&amp;y=300&amp;z=BGHZ&amp;b=146&amp;s=264" TargetMode="External"/><Relationship Id="rId5" Type="http://schemas.openxmlformats.org/officeDocument/2006/relationships/endnotes" Target="endnotes.xml"/><Relationship Id="rId95" Type="http://schemas.openxmlformats.org/officeDocument/2006/relationships/hyperlink" Target="https://beck-online.beck.de/?typ=reference&amp;y=300&amp;z=BGHZ&amp;b=126&amp;s=192" TargetMode="External"/><Relationship Id="rId160" Type="http://schemas.openxmlformats.org/officeDocument/2006/relationships/hyperlink" Target="https://beck-online.beck.de/?typ=reference&amp;y=100&amp;g=GMBHG&amp;p=64&amp;x=I" TargetMode="External"/><Relationship Id="rId181" Type="http://schemas.openxmlformats.org/officeDocument/2006/relationships/header" Target="header3.xml"/><Relationship Id="rId22" Type="http://schemas.openxmlformats.org/officeDocument/2006/relationships/hyperlink" Target="https://beck-online.beck.de/?typ=reference&amp;y=300&amp;z=BGHZ&amp;b=146&amp;s=278" TargetMode="External"/><Relationship Id="rId43" Type="http://schemas.openxmlformats.org/officeDocument/2006/relationships/hyperlink" Target="https://beck-online.beck.de/?typ=reference&amp;y=300&amp;z=BGHZ&amp;b=146&amp;s=264" TargetMode="External"/><Relationship Id="rId64" Type="http://schemas.openxmlformats.org/officeDocument/2006/relationships/hyperlink" Target="https://beck-online.beck.de/?typ=reference&amp;y=300&amp;z=NZG&amp;b=2001&amp;s=361" TargetMode="External"/><Relationship Id="rId118" Type="http://schemas.openxmlformats.org/officeDocument/2006/relationships/hyperlink" Target="https://beck-online.beck.de/?typ=reference&amp;y=100&amp;g=BGB&amp;p=823" TargetMode="External"/><Relationship Id="rId139" Type="http://schemas.openxmlformats.org/officeDocument/2006/relationships/hyperlink" Target="https://beck-online.beck.de/?typ=reference&amp;y=100&amp;g=ZPO&amp;p=563&amp;x=I" TargetMode="External"/><Relationship Id="rId85" Type="http://schemas.openxmlformats.org/officeDocument/2006/relationships/hyperlink" Target="https://beck-online.beck.de/?typ=reference&amp;y=100&amp;g=GMBHG&amp;p=64" TargetMode="External"/><Relationship Id="rId150" Type="http://schemas.openxmlformats.org/officeDocument/2006/relationships/hyperlink" Target="https://beck-online.beck.de/?typ=reference&amp;y=300&amp;z=NJW&amp;b=2001&amp;s=1280" TargetMode="External"/><Relationship Id="rId171" Type="http://schemas.openxmlformats.org/officeDocument/2006/relationships/hyperlink" Target="https://beck-online.beck.de/?typ=reference&amp;y=300&amp;z=BGHZ&amp;b=126&amp;s=201" TargetMode="External"/><Relationship Id="rId12" Type="http://schemas.openxmlformats.org/officeDocument/2006/relationships/hyperlink" Target="https://beck-online.beck.de/?typ=reference&amp;y=100&amp;g=BGB&amp;p=823" TargetMode="External"/><Relationship Id="rId33" Type="http://schemas.openxmlformats.org/officeDocument/2006/relationships/hyperlink" Target="https://beck-online.beck.de/?typ=reference&amp;y=300&amp;z=BGHZ&amp;b=119&amp;s=201" TargetMode="External"/><Relationship Id="rId108" Type="http://schemas.openxmlformats.org/officeDocument/2006/relationships/hyperlink" Target="https://beck-online.beck.de/?typ=reference&amp;y=300&amp;z=BGHZ&amp;b=50&amp;s=277" TargetMode="External"/><Relationship Id="rId129" Type="http://schemas.openxmlformats.org/officeDocument/2006/relationships/hyperlink" Target="https://beck-online.beck.de/?typ=reference&amp;y=100&amp;g=BGB&amp;p=490&amp;x=I" TargetMode="External"/><Relationship Id="rId54" Type="http://schemas.openxmlformats.org/officeDocument/2006/relationships/hyperlink" Target="https://beck-online.beck.de/?typ=reference&amp;y=100&amp;g=GMBHG&amp;p=84&amp;x=I" TargetMode="External"/><Relationship Id="rId75" Type="http://schemas.openxmlformats.org/officeDocument/2006/relationships/hyperlink" Target="https://beck-online.beck.de/?typ=reference&amp;y=300&amp;z=BGHZ&amp;b=29&amp;s=104" TargetMode="External"/><Relationship Id="rId96" Type="http://schemas.openxmlformats.org/officeDocument/2006/relationships/hyperlink" Target="https://beck-online.beck.de/?typ=reference&amp;y=300&amp;z=NJW&amp;b=1994&amp;s=2220" TargetMode="External"/><Relationship Id="rId140" Type="http://schemas.openxmlformats.org/officeDocument/2006/relationships/hyperlink" Target="https://beck-online.beck.de/?typ=reference&amp;y=300&amp;z=BGHZ&amp;b=119&amp;s=201" TargetMode="External"/><Relationship Id="rId161" Type="http://schemas.openxmlformats.org/officeDocument/2006/relationships/hyperlink" Target="https://beck-online.beck.de/?typ=reference&amp;y=100&amp;g=BGB&amp;p=255" TargetMode="External"/><Relationship Id="rId182" Type="http://schemas.openxmlformats.org/officeDocument/2006/relationships/fontTable" Target="fontTable.xml"/><Relationship Id="rId6" Type="http://schemas.openxmlformats.org/officeDocument/2006/relationships/hyperlink" Target="https://beck-online.beck.de/?typ=reference&amp;y=100&amp;g=BGB&amp;p=823" TargetMode="External"/><Relationship Id="rId23" Type="http://schemas.openxmlformats.org/officeDocument/2006/relationships/hyperlink" Target="https://beck-online.beck.de/?typ=reference&amp;y=300&amp;z=NJW&amp;b=2001&amp;s=1280" TargetMode="External"/><Relationship Id="rId119" Type="http://schemas.openxmlformats.org/officeDocument/2006/relationships/hyperlink" Target="https://beck-online.beck.de/?typ=reference&amp;y=100&amp;g=BGB&amp;p=823&amp;x=II" TargetMode="External"/><Relationship Id="rId44" Type="http://schemas.openxmlformats.org/officeDocument/2006/relationships/hyperlink" Target="https://beck-online.beck.de/?typ=reference&amp;y=300&amp;z=NJW&amp;b=2001&amp;s=1280" TargetMode="External"/><Relationship Id="rId60" Type="http://schemas.openxmlformats.org/officeDocument/2006/relationships/hyperlink" Target="https://beck-online.beck.de/?typ=reference&amp;y=300&amp;z=NJW-RR&amp;b=2000&amp;s=623" TargetMode="External"/><Relationship Id="rId65" Type="http://schemas.openxmlformats.org/officeDocument/2006/relationships/hyperlink" Target="https://beck-online.beck.de/?typ=reference&amp;y=300&amp;z=NJW&amp;b=1994&amp;s=3112" TargetMode="External"/><Relationship Id="rId81" Type="http://schemas.openxmlformats.org/officeDocument/2006/relationships/hyperlink" Target="https://beck-online.beck.de/?typ=reference&amp;y=300&amp;z=BGHZ&amp;b=138&amp;s=211" TargetMode="External"/><Relationship Id="rId86" Type="http://schemas.openxmlformats.org/officeDocument/2006/relationships/hyperlink" Target="https://beck-online.beck.de/?typ=reference&amp;y=100&amp;g=GMBHG&amp;p=64&amp;x=I" TargetMode="External"/><Relationship Id="rId130" Type="http://schemas.openxmlformats.org/officeDocument/2006/relationships/hyperlink" Target="https://beck-online.beck.de/?typ=reference&amp;y=100&amp;g=GMBHG&amp;p=64" TargetMode="External"/><Relationship Id="rId135" Type="http://schemas.openxmlformats.org/officeDocument/2006/relationships/hyperlink" Target="https://beck-online.beck.de/?typ=reference&amp;y=300&amp;z=NJW&amp;b=1994&amp;s=2220" TargetMode="External"/><Relationship Id="rId151" Type="http://schemas.openxmlformats.org/officeDocument/2006/relationships/hyperlink" Target="https://beck-online.beck.de/?typ=reference&amp;y=300&amp;z=NZG&amp;b=2001&amp;s=361" TargetMode="External"/><Relationship Id="rId156" Type="http://schemas.openxmlformats.org/officeDocument/2006/relationships/hyperlink" Target="https://beck-online.beck.de/?typ=reference&amp;y=300&amp;z=BGHZ&amp;b=126&amp;s=181" TargetMode="External"/><Relationship Id="rId177" Type="http://schemas.openxmlformats.org/officeDocument/2006/relationships/hyperlink" Target="https://beck-online.beck.de/?typ=reference&amp;y=300&amp;z=LMK&amp;b=2007&amp;s=222172" TargetMode="External"/><Relationship Id="rId172" Type="http://schemas.openxmlformats.org/officeDocument/2006/relationships/hyperlink" Target="https://beck-online.beck.de/?typ=reference&amp;y=300&amp;z=NJW&amp;b=1994&amp;s=2220" TargetMode="External"/><Relationship Id="rId13" Type="http://schemas.openxmlformats.org/officeDocument/2006/relationships/hyperlink" Target="https://beck-online.beck.de/?typ=reference&amp;y=100&amp;g=BGB&amp;p=823&amp;x=II" TargetMode="External"/><Relationship Id="rId18" Type="http://schemas.openxmlformats.org/officeDocument/2006/relationships/hyperlink" Target="https://beck-online.beck.de/?typ=reference&amp;y=300&amp;z=NJW&amp;b=1994&amp;s=2220" TargetMode="External"/><Relationship Id="rId39" Type="http://schemas.openxmlformats.org/officeDocument/2006/relationships/hyperlink" Target="https://beck-online.beck.de/?typ=reference&amp;y=100&amp;g=GMBHG&amp;p=64&amp;x=I" TargetMode="External"/><Relationship Id="rId109" Type="http://schemas.openxmlformats.org/officeDocument/2006/relationships/hyperlink" Target="https://beck-online.beck.de/?typ=reference&amp;y=300&amp;z=BGHZ&amp;b=50&amp;s=280" TargetMode="External"/><Relationship Id="rId34" Type="http://schemas.openxmlformats.org/officeDocument/2006/relationships/hyperlink" Target="https://beck-online.beck.de/?typ=reference&amp;y=300&amp;z=BGHZ&amp;b=119&amp;s=214" TargetMode="External"/><Relationship Id="rId50" Type="http://schemas.openxmlformats.org/officeDocument/2006/relationships/hyperlink" Target="https://beck-online.beck.de/?typ=reference&amp;y=300&amp;z=NJW&amp;b=2001&amp;s=1280" TargetMode="External"/><Relationship Id="rId55" Type="http://schemas.openxmlformats.org/officeDocument/2006/relationships/hyperlink" Target="https://beck-online.beck.de/?typ=reference&amp;y=100&amp;g=BGB&amp;p=823" TargetMode="External"/><Relationship Id="rId76" Type="http://schemas.openxmlformats.org/officeDocument/2006/relationships/hyperlink" Target="https://beck-online.beck.de/?typ=reference&amp;y=300&amp;z=NJW&amp;b=1959&amp;s=623" TargetMode="External"/><Relationship Id="rId97" Type="http://schemas.openxmlformats.org/officeDocument/2006/relationships/hyperlink" Target="https://beck-online.beck.de/?typ=reference&amp;y=300&amp;z=BGHZ&amp;b=164&amp;s=50" TargetMode="External"/><Relationship Id="rId104" Type="http://schemas.openxmlformats.org/officeDocument/2006/relationships/hyperlink" Target="https://beck-online.beck.de/?typ=reference&amp;y=300&amp;z=NJW&amp;b=2005&amp;s=3137" TargetMode="External"/><Relationship Id="rId120" Type="http://schemas.openxmlformats.org/officeDocument/2006/relationships/hyperlink" Target="https://beck-online.beck.de/?typ=reference&amp;y=100&amp;g=INSO&amp;p=108" TargetMode="External"/><Relationship Id="rId125" Type="http://schemas.openxmlformats.org/officeDocument/2006/relationships/hyperlink" Target="https://beck-online.beck.de/?typ=reference&amp;y=300&amp;z=BGHZ&amp;b=157&amp;s=350" TargetMode="External"/><Relationship Id="rId141" Type="http://schemas.openxmlformats.org/officeDocument/2006/relationships/hyperlink" Target="https://beck-online.beck.de/?typ=reference&amp;y=300&amp;z=BGHZ&amp;b=119&amp;s=214" TargetMode="External"/><Relationship Id="rId146" Type="http://schemas.openxmlformats.org/officeDocument/2006/relationships/hyperlink" Target="https://beck-online.beck.de/?typ=reference&amp;y=300&amp;z=ZIP&amp;b=2006&amp;s=2171" TargetMode="External"/><Relationship Id="rId167" Type="http://schemas.openxmlformats.org/officeDocument/2006/relationships/hyperlink" Target="https://beck-online.beck.de/?typ=reference&amp;y=300&amp;z=BGHZ&amp;b=146&amp;s=278" TargetMode="External"/><Relationship Id="rId7" Type="http://schemas.openxmlformats.org/officeDocument/2006/relationships/hyperlink" Target="https://beck-online.beck.de/?typ=reference&amp;y=100&amp;g=BGB&amp;p=823&amp;x=II" TargetMode="External"/><Relationship Id="rId71" Type="http://schemas.openxmlformats.org/officeDocument/2006/relationships/hyperlink" Target="https://beck-online.beck.de/?typ=reference&amp;y=300&amp;z=NJW&amp;b=2005&amp;s=3137" TargetMode="External"/><Relationship Id="rId92" Type="http://schemas.openxmlformats.org/officeDocument/2006/relationships/hyperlink" Target="https://beck-online.beck.de/?typ=reference&amp;y=100&amp;g=GMBHG&amp;p=64" TargetMode="External"/><Relationship Id="rId162" Type="http://schemas.openxmlformats.org/officeDocument/2006/relationships/hyperlink" Target="https://beck-online.beck.de/?typ=reference&amp;y=300&amp;z=ZIP&amp;b=1997&amp;s=1173" TargetMode="External"/><Relationship Id="rId183"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hyperlink" Target="https://beck-online.beck.de/?typ=reference&amp;y=100&amp;g=GMBHG&amp;p=64" TargetMode="External"/><Relationship Id="rId24" Type="http://schemas.openxmlformats.org/officeDocument/2006/relationships/hyperlink" Target="https://beck-online.beck.de/?typ=reference&amp;y=300&amp;z=NZG&amp;b=2001&amp;s=361" TargetMode="External"/><Relationship Id="rId40" Type="http://schemas.openxmlformats.org/officeDocument/2006/relationships/hyperlink" Target="https://beck-online.beck.de/?typ=reference&amp;y=300&amp;z=BGHZ&amp;b=146&amp;s=264" TargetMode="External"/><Relationship Id="rId45" Type="http://schemas.openxmlformats.org/officeDocument/2006/relationships/hyperlink" Target="https://beck-online.beck.de/?typ=reference&amp;y=300&amp;z=NZG&amp;b=2001&amp;s=361" TargetMode="External"/><Relationship Id="rId66" Type="http://schemas.openxmlformats.org/officeDocument/2006/relationships/hyperlink" Target="https://beck-online.beck.de/?typ=reference&amp;y=300&amp;z=NJW-RR&amp;b=1998&amp;s=1256" TargetMode="External"/><Relationship Id="rId87" Type="http://schemas.openxmlformats.org/officeDocument/2006/relationships/hyperlink" Target="https://beck-online.beck.de/?typ=reference&amp;y=300&amp;z=BGHZ&amp;b=126&amp;s=181" TargetMode="External"/><Relationship Id="rId110" Type="http://schemas.openxmlformats.org/officeDocument/2006/relationships/hyperlink" Target="https://beck-online.beck.de/?typ=reference&amp;y=300&amp;z=BGHZ&amp;b=50&amp;s=283" TargetMode="External"/><Relationship Id="rId115" Type="http://schemas.openxmlformats.org/officeDocument/2006/relationships/hyperlink" Target="https://beck-online.beck.de/?typ=reference&amp;y=300&amp;z=NJW&amp;b=1998&amp;s=2667" TargetMode="External"/><Relationship Id="rId131" Type="http://schemas.openxmlformats.org/officeDocument/2006/relationships/hyperlink" Target="https://beck-online.beck.de/?typ=reference&amp;y=100&amp;g=GMBHG&amp;p=64&amp;x=I" TargetMode="External"/><Relationship Id="rId136" Type="http://schemas.openxmlformats.org/officeDocument/2006/relationships/hyperlink" Target="https://beck-online.beck.de/?typ=reference&amp;y=100&amp;g=ZPO&amp;p=139" TargetMode="External"/><Relationship Id="rId157" Type="http://schemas.openxmlformats.org/officeDocument/2006/relationships/hyperlink" Target="https://beck-online.beck.de/?typ=reference&amp;y=300&amp;z=BGHZ&amp;b=126&amp;s=201" TargetMode="External"/><Relationship Id="rId178" Type="http://schemas.openxmlformats.org/officeDocument/2006/relationships/hyperlink" Target="https://beck-online.beck.de/?typ=reference&amp;y=300&amp;z=NZG&amp;b=2007&amp;s=199" TargetMode="External"/><Relationship Id="rId61" Type="http://schemas.openxmlformats.org/officeDocument/2006/relationships/hyperlink" Target="https://beck-online.beck.de/?typ=reference&amp;y=300&amp;z=BGHZ&amp;b=146&amp;s=264" TargetMode="External"/><Relationship Id="rId82" Type="http://schemas.openxmlformats.org/officeDocument/2006/relationships/hyperlink" Target="https://beck-online.beck.de/?typ=reference&amp;y=300&amp;z=BGHZ&amp;b=138&amp;s=214" TargetMode="External"/><Relationship Id="rId152" Type="http://schemas.openxmlformats.org/officeDocument/2006/relationships/hyperlink" Target="https://beck-online.beck.de/?typ=reference&amp;y=300&amp;z=NZI&amp;b=2007&amp;s=44" TargetMode="External"/><Relationship Id="rId173" Type="http://schemas.openxmlformats.org/officeDocument/2006/relationships/hyperlink" Target="https://beck-online.beck.de/?typ=reference&amp;y=300&amp;z=BGHZ&amp;b=126&amp;s=181" TargetMode="External"/><Relationship Id="rId19" Type="http://schemas.openxmlformats.org/officeDocument/2006/relationships/hyperlink" Target="https://beck-online.beck.de/?typ=reference&amp;y=100&amp;g=BGB&amp;p=255" TargetMode="External"/><Relationship Id="rId14" Type="http://schemas.openxmlformats.org/officeDocument/2006/relationships/hyperlink" Target="https://beck-online.beck.de/?typ=reference&amp;y=100&amp;g=GMBHG&amp;p=64" TargetMode="External"/><Relationship Id="rId30" Type="http://schemas.openxmlformats.org/officeDocument/2006/relationships/hyperlink" Target="https://beck-online.beck.de/?typ=reference&amp;y=100&amp;g=GMBHG&amp;p=64&amp;x=I" TargetMode="External"/><Relationship Id="rId35" Type="http://schemas.openxmlformats.org/officeDocument/2006/relationships/hyperlink" Target="https://beck-online.beck.de/?typ=reference&amp;y=300&amp;z=NJW&amp;b=1992&amp;s=2891" TargetMode="External"/><Relationship Id="rId56" Type="http://schemas.openxmlformats.org/officeDocument/2006/relationships/hyperlink" Target="https://beck-online.beck.de/?typ=reference&amp;y=100&amp;g=BGB&amp;p=823&amp;x=II" TargetMode="External"/><Relationship Id="rId77" Type="http://schemas.openxmlformats.org/officeDocument/2006/relationships/hyperlink" Target="https://beck-online.beck.de/?typ=reference&amp;y=100&amp;g=INSO&amp;p=92" TargetMode="External"/><Relationship Id="rId100" Type="http://schemas.openxmlformats.org/officeDocument/2006/relationships/hyperlink" Target="https://beck-online.beck.de/?typ=reference&amp;y=300&amp;z=DSTR&amp;b=2003&amp;s=423" TargetMode="External"/><Relationship Id="rId105" Type="http://schemas.openxmlformats.org/officeDocument/2006/relationships/hyperlink" Target="https://beck-online.beck.de/?typ=reference&amp;y=300&amp;z=BGHZ&amp;b=126&amp;s=181" TargetMode="External"/><Relationship Id="rId126" Type="http://schemas.openxmlformats.org/officeDocument/2006/relationships/hyperlink" Target="https://beck-online.beck.de/?typ=reference&amp;y=300&amp;z=BGHZ&amp;b=157&amp;s=356" TargetMode="External"/><Relationship Id="rId147" Type="http://schemas.openxmlformats.org/officeDocument/2006/relationships/hyperlink" Target="https://beck-online.beck.de/?typ=reference&amp;y=300&amp;z=NZI&amp;b=2007&amp;s=44" TargetMode="External"/><Relationship Id="rId168" Type="http://schemas.openxmlformats.org/officeDocument/2006/relationships/hyperlink" Target="https://beck-online.beck.de/?typ=reference&amp;y=300&amp;z=NJW&amp;b=2001&amp;s=1280" TargetMode="External"/><Relationship Id="rId8" Type="http://schemas.openxmlformats.org/officeDocument/2006/relationships/hyperlink" Target="https://beck-online.beck.de/?typ=reference&amp;y=100&amp;g=GMBHG&amp;p=64" TargetMode="External"/><Relationship Id="rId51" Type="http://schemas.openxmlformats.org/officeDocument/2006/relationships/hyperlink" Target="https://beck-online.beck.de/?typ=reference&amp;y=100&amp;g=GMBHG&amp;p=64" TargetMode="External"/><Relationship Id="rId72" Type="http://schemas.openxmlformats.org/officeDocument/2006/relationships/hyperlink" Target="https://beck-online.beck.de/?typ=reference&amp;y=100&amp;g=ZPO&amp;p=563" TargetMode="External"/><Relationship Id="rId93" Type="http://schemas.openxmlformats.org/officeDocument/2006/relationships/hyperlink" Target="https://beck-online.beck.de/?typ=reference&amp;y=100&amp;g=GMBHG&amp;p=64&amp;x=I" TargetMode="External"/><Relationship Id="rId98" Type="http://schemas.openxmlformats.org/officeDocument/2006/relationships/hyperlink" Target="https://beck-online.beck.de/?typ=reference&amp;y=300&amp;z=BGHZ&amp;b=164&amp;s=60" TargetMode="External"/><Relationship Id="rId121" Type="http://schemas.openxmlformats.org/officeDocument/2006/relationships/hyperlink" Target="https://beck-online.beck.de/?typ=reference&amp;y=100&amp;g=INSO&amp;p=116" TargetMode="External"/><Relationship Id="rId142" Type="http://schemas.openxmlformats.org/officeDocument/2006/relationships/hyperlink" Target="https://beck-online.beck.de/?typ=reference&amp;y=300&amp;z=NJW&amp;b=1992&amp;s=2891" TargetMode="External"/><Relationship Id="rId163" Type="http://schemas.openxmlformats.org/officeDocument/2006/relationships/hyperlink" Target="https://beck-online.beck.de/?typ=reference&amp;y=300&amp;z=ZIP&amp;b=1997&amp;s=1181" TargetMode="External"/><Relationship Id="rId3" Type="http://schemas.openxmlformats.org/officeDocument/2006/relationships/webSettings" Target="webSettings.xml"/><Relationship Id="rId25" Type="http://schemas.openxmlformats.org/officeDocument/2006/relationships/hyperlink" Target="https://beck-online.beck.de/?typ=reference&amp;y=100&amp;g=GMBHG&amp;p=64" TargetMode="External"/><Relationship Id="rId46" Type="http://schemas.openxmlformats.org/officeDocument/2006/relationships/hyperlink" Target="https://beck-online.beck.de/?typ=reference&amp;y=300&amp;z=BGHZ&amp;b=126&amp;s=181" TargetMode="External"/><Relationship Id="rId67" Type="http://schemas.openxmlformats.org/officeDocument/2006/relationships/hyperlink" Target="https://beck-online.beck.de/?typ=reference&amp;y=300&amp;z=GMBHR&amp;b=1997&amp;s=699" TargetMode="External"/><Relationship Id="rId116" Type="http://schemas.openxmlformats.org/officeDocument/2006/relationships/hyperlink" Target="https://beck-online.beck.de/?typ=reference&amp;y=100&amp;g=GMBHG&amp;p=64" TargetMode="External"/><Relationship Id="rId137" Type="http://schemas.openxmlformats.org/officeDocument/2006/relationships/hyperlink" Target="https://beck-online.beck.de/?typ=reference&amp;y=100&amp;g=ZPO&amp;p=139&amp;x=II" TargetMode="External"/><Relationship Id="rId158" Type="http://schemas.openxmlformats.org/officeDocument/2006/relationships/hyperlink" Target="https://beck-online.beck.de/?typ=reference&amp;y=300&amp;z=NJW&amp;b=1994&amp;s=2220" TargetMode="External"/><Relationship Id="rId20" Type="http://schemas.openxmlformats.org/officeDocument/2006/relationships/hyperlink" Target="https://beck-online.beck.de/?typ=reference&amp;y=100&amp;g=BGB&amp;p=273" TargetMode="External"/><Relationship Id="rId41" Type="http://schemas.openxmlformats.org/officeDocument/2006/relationships/hyperlink" Target="https://beck-online.beck.de/?typ=reference&amp;y=300&amp;z=NJW&amp;b=2001&amp;s=1280" TargetMode="External"/><Relationship Id="rId62" Type="http://schemas.openxmlformats.org/officeDocument/2006/relationships/hyperlink" Target="https://beck-online.beck.de/?typ=reference&amp;y=300&amp;z=BGHZ&amp;b=146&amp;s=269" TargetMode="External"/><Relationship Id="rId83" Type="http://schemas.openxmlformats.org/officeDocument/2006/relationships/hyperlink" Target="https://beck-online.beck.de/?typ=reference&amp;y=300&amp;z=BGHZ&amp;b=138&amp;s=217" TargetMode="External"/><Relationship Id="rId88" Type="http://schemas.openxmlformats.org/officeDocument/2006/relationships/hyperlink" Target="https://beck-online.beck.de/?typ=reference&amp;y=300&amp;z=BGHZ&amp;b=126&amp;s=193" TargetMode="External"/><Relationship Id="rId111" Type="http://schemas.openxmlformats.org/officeDocument/2006/relationships/hyperlink" Target="https://beck-online.beck.de/?typ=reference&amp;y=300&amp;z=NJW&amp;b=1968&amp;s=2100" TargetMode="External"/><Relationship Id="rId132" Type="http://schemas.openxmlformats.org/officeDocument/2006/relationships/hyperlink" Target="https://beck-online.beck.de/?typ=reference&amp;y=100&amp;g=ZPO&amp;p=287" TargetMode="External"/><Relationship Id="rId153" Type="http://schemas.openxmlformats.org/officeDocument/2006/relationships/hyperlink" Target="https://beck-online.beck.de/?typ=reference&amp;y=300&amp;z=ZIP&amp;b=2006&amp;s=2171" TargetMode="External"/><Relationship Id="rId174" Type="http://schemas.openxmlformats.org/officeDocument/2006/relationships/hyperlink" Target="https://beck-online.beck.de/?typ=reference&amp;y=300&amp;z=BGHZ&amp;b=126&amp;s=201" TargetMode="External"/><Relationship Id="rId179" Type="http://schemas.openxmlformats.org/officeDocument/2006/relationships/header" Target="header1.xml"/><Relationship Id="rId15" Type="http://schemas.openxmlformats.org/officeDocument/2006/relationships/hyperlink" Target="https://beck-online.beck.de/?typ=reference&amp;y=100&amp;g=GMBHG&amp;p=64&amp;x=I" TargetMode="External"/><Relationship Id="rId36" Type="http://schemas.openxmlformats.org/officeDocument/2006/relationships/hyperlink" Target="https://beck-online.beck.de/?typ=reference&amp;y=100&amp;g=BGB&amp;p=823" TargetMode="External"/><Relationship Id="rId57" Type="http://schemas.openxmlformats.org/officeDocument/2006/relationships/hyperlink" Target="https://beck-online.beck.de/?typ=reference&amp;y=100&amp;g=GMBHG&amp;p=64" TargetMode="External"/><Relationship Id="rId106" Type="http://schemas.openxmlformats.org/officeDocument/2006/relationships/hyperlink" Target="https://beck-online.beck.de/?typ=reference&amp;y=300&amp;z=NJW&amp;b=1994&amp;s=2220" TargetMode="External"/><Relationship Id="rId127" Type="http://schemas.openxmlformats.org/officeDocument/2006/relationships/hyperlink" Target="https://beck-online.beck.de/?typ=reference&amp;y=300&amp;z=NJW&amp;b=2004&amp;s=1444" TargetMode="External"/><Relationship Id="rId10" Type="http://schemas.openxmlformats.org/officeDocument/2006/relationships/hyperlink" Target="https://beck-online.beck.de/?typ=reference&amp;y=300&amp;z=BGHZ&amp;b=126&amp;s=181" TargetMode="External"/><Relationship Id="rId31" Type="http://schemas.openxmlformats.org/officeDocument/2006/relationships/hyperlink" Target="https://beck-online.beck.de/?typ=reference&amp;y=100&amp;g=INSO&amp;p=19" TargetMode="External"/><Relationship Id="rId52" Type="http://schemas.openxmlformats.org/officeDocument/2006/relationships/hyperlink" Target="https://beck-online.beck.de/?typ=reference&amp;y=100&amp;g=GMBHG&amp;p=64&amp;x=I" TargetMode="External"/><Relationship Id="rId73" Type="http://schemas.openxmlformats.org/officeDocument/2006/relationships/hyperlink" Target="https://beck-online.beck.de/?typ=reference&amp;y=100&amp;g=ZPO&amp;p=563&amp;x=III" TargetMode="External"/><Relationship Id="rId78" Type="http://schemas.openxmlformats.org/officeDocument/2006/relationships/hyperlink" Target="https://beck-online.beck.de/?typ=reference&amp;y=300&amp;z=BGHZ&amp;b=126&amp;s=181" TargetMode="External"/><Relationship Id="rId94" Type="http://schemas.openxmlformats.org/officeDocument/2006/relationships/hyperlink" Target="https://beck-online.beck.de/?typ=reference&amp;y=300&amp;z=BGHZ&amp;b=126&amp;s=181" TargetMode="External"/><Relationship Id="rId99" Type="http://schemas.openxmlformats.org/officeDocument/2006/relationships/hyperlink" Target="https://beck-online.beck.de/?typ=reference&amp;y=300&amp;z=NJW&amp;b=2005&amp;s=3137" TargetMode="External"/><Relationship Id="rId101" Type="http://schemas.openxmlformats.org/officeDocument/2006/relationships/hyperlink" Target="https://beck-online.beck.de/?typ=reference&amp;y=300&amp;z=DSTR&amp;b=2003&amp;s=427" TargetMode="External"/><Relationship Id="rId122" Type="http://schemas.openxmlformats.org/officeDocument/2006/relationships/hyperlink" Target="https://beck-online.beck.de/?typ=reference&amp;y=100&amp;g=INSO&amp;p=116&amp;x=I" TargetMode="External"/><Relationship Id="rId143" Type="http://schemas.openxmlformats.org/officeDocument/2006/relationships/hyperlink" Target="https://beck-online.beck.de/?typ=reference&amp;y=100&amp;g=INSO&amp;p=19" TargetMode="External"/><Relationship Id="rId148" Type="http://schemas.openxmlformats.org/officeDocument/2006/relationships/hyperlink" Target="https://beck-online.beck.de/?typ=reference&amp;y=300&amp;z=ZIP&amp;b=2006&amp;s=2171" TargetMode="External"/><Relationship Id="rId164" Type="http://schemas.openxmlformats.org/officeDocument/2006/relationships/hyperlink" Target="https://beck-online.beck.de/?typ=reference&amp;y=100&amp;g=GMBHG&amp;p=64" TargetMode="External"/><Relationship Id="rId169" Type="http://schemas.openxmlformats.org/officeDocument/2006/relationships/hyperlink" Target="https://beck-online.beck.de/?typ=reference&amp;y=300&amp;z=NZG&amp;b=2001&amp;s=361" TargetMode="External"/><Relationship Id="rId4" Type="http://schemas.openxmlformats.org/officeDocument/2006/relationships/footnotes" Target="footnotes.xml"/><Relationship Id="rId9" Type="http://schemas.openxmlformats.org/officeDocument/2006/relationships/hyperlink" Target="https://beck-online.beck.de/?typ=reference&amp;y=100&amp;g=GMBHG&amp;p=64&amp;x=I" TargetMode="External"/><Relationship Id="rId180" Type="http://schemas.openxmlformats.org/officeDocument/2006/relationships/header" Target="header2.xml"/><Relationship Id="rId26" Type="http://schemas.openxmlformats.org/officeDocument/2006/relationships/hyperlink" Target="https://beck-online.beck.de/?typ=reference&amp;y=100&amp;g=GMBHG&amp;p=64&amp;x=II" TargetMode="External"/><Relationship Id="rId47" Type="http://schemas.openxmlformats.org/officeDocument/2006/relationships/hyperlink" Target="https://beck-online.beck.de/?typ=reference&amp;y=300&amp;z=NJW&amp;b=1994&amp;s=2220" TargetMode="External"/><Relationship Id="rId68" Type="http://schemas.openxmlformats.org/officeDocument/2006/relationships/hyperlink" Target="https://beck-online.beck.de/?typ=reference&amp;y=300&amp;z=NZG&amp;b=1998&amp;s=308" TargetMode="External"/><Relationship Id="rId89" Type="http://schemas.openxmlformats.org/officeDocument/2006/relationships/hyperlink" Target="https://beck-online.beck.de/?typ=reference&amp;y=300&amp;z=NJW&amp;b=1994&amp;s=2220" TargetMode="External"/><Relationship Id="rId112" Type="http://schemas.openxmlformats.org/officeDocument/2006/relationships/hyperlink" Target="https://beck-online.beck.de/?typ=reference&amp;y=100&amp;g=INSO&amp;p=92" TargetMode="External"/><Relationship Id="rId133" Type="http://schemas.openxmlformats.org/officeDocument/2006/relationships/hyperlink" Target="https://beck-online.beck.de/?typ=reference&amp;y=300&amp;z=BGHZ&amp;b=126&amp;s=181" TargetMode="External"/><Relationship Id="rId154" Type="http://schemas.openxmlformats.org/officeDocument/2006/relationships/hyperlink" Target="https://beck-online.beck.de/?typ=reference&amp;y=100&amp;g=INSO&amp;p=39" TargetMode="External"/><Relationship Id="rId175" Type="http://schemas.openxmlformats.org/officeDocument/2006/relationships/hyperlink" Target="https://beck-online.beck.de/?typ=reference&amp;y=300&amp;z=NJW&amp;b=1994&amp;s=2220" TargetMode="External"/><Relationship Id="rId16" Type="http://schemas.openxmlformats.org/officeDocument/2006/relationships/hyperlink" Target="https://beck-online.beck.de/?typ=reference&amp;y=300&amp;z=BGHZ&amp;b=126&amp;s=181" TargetMode="External"/><Relationship Id="rId37" Type="http://schemas.openxmlformats.org/officeDocument/2006/relationships/hyperlink" Target="https://beck-online.beck.de/?typ=reference&amp;y=100&amp;g=BGB&amp;p=823&amp;x=II" TargetMode="External"/><Relationship Id="rId58" Type="http://schemas.openxmlformats.org/officeDocument/2006/relationships/hyperlink" Target="https://beck-online.beck.de/?typ=reference&amp;y=100&amp;g=GMBHG&amp;p=64&amp;x=I" TargetMode="External"/><Relationship Id="rId79" Type="http://schemas.openxmlformats.org/officeDocument/2006/relationships/hyperlink" Target="https://beck-online.beck.de/?typ=reference&amp;y=300&amp;z=BGHZ&amp;b=126&amp;s=190" TargetMode="External"/><Relationship Id="rId102" Type="http://schemas.openxmlformats.org/officeDocument/2006/relationships/hyperlink" Target="https://beck-online.beck.de/?typ=reference&amp;y=300&amp;z=BGHZ&amp;b=164&amp;s=50" TargetMode="External"/><Relationship Id="rId123" Type="http://schemas.openxmlformats.org/officeDocument/2006/relationships/hyperlink" Target="https://beck-online.beck.de/?typ=reference&amp;y=100&amp;g=INSO&amp;p=115" TargetMode="External"/><Relationship Id="rId144" Type="http://schemas.openxmlformats.org/officeDocument/2006/relationships/hyperlink" Target="https://beck-online.beck.de/?typ=reference&amp;y=100&amp;g=INSO&amp;p=19&amp;x=II" TargetMode="External"/><Relationship Id="rId90" Type="http://schemas.openxmlformats.org/officeDocument/2006/relationships/hyperlink" Target="https://beck-online.beck.de/?typ=reference&amp;y=300&amp;z=BGHZ&amp;b=126&amp;s=181" TargetMode="External"/><Relationship Id="rId165" Type="http://schemas.openxmlformats.org/officeDocument/2006/relationships/hyperlink" Target="https://beck-online.beck.de/?typ=reference&amp;y=100&amp;g=GMBHG&amp;p=64&amp;x=II" TargetMode="External"/><Relationship Id="rId27" Type="http://schemas.openxmlformats.org/officeDocument/2006/relationships/hyperlink" Target="https://beck-online.beck.de/?typ=reference&amp;y=100&amp;g=BGB&amp;p=823" TargetMode="External"/><Relationship Id="rId48" Type="http://schemas.openxmlformats.org/officeDocument/2006/relationships/hyperlink" Target="https://beck-online.beck.de/?typ=reference&amp;y=100&amp;g=BGB&amp;p=252" TargetMode="External"/><Relationship Id="rId69" Type="http://schemas.openxmlformats.org/officeDocument/2006/relationships/hyperlink" Target="https://beck-online.beck.de/?typ=reference&amp;y=300&amp;z=BGHZ&amp;b=164&amp;s=50" TargetMode="External"/><Relationship Id="rId113" Type="http://schemas.openxmlformats.org/officeDocument/2006/relationships/hyperlink" Target="https://beck-online.beck.de/?typ=reference&amp;y=300&amp;z=BGHZ&amp;b=138&amp;s=211" TargetMode="External"/><Relationship Id="rId134" Type="http://schemas.openxmlformats.org/officeDocument/2006/relationships/hyperlink" Target="https://beck-online.beck.de/?typ=reference&amp;y=300&amp;z=BGHZ&amp;b=126&amp;s=200" TargetMode="External"/><Relationship Id="rId80" Type="http://schemas.openxmlformats.org/officeDocument/2006/relationships/hyperlink" Target="https://beck-online.beck.de/?typ=reference&amp;y=300&amp;z=NJW&amp;b=1994&amp;s=2220" TargetMode="External"/><Relationship Id="rId155" Type="http://schemas.openxmlformats.org/officeDocument/2006/relationships/hyperlink" Target="https://beck-online.beck.de/?typ=reference&amp;y=100&amp;g=INSO&amp;p=39&amp;x=I" TargetMode="External"/><Relationship Id="rId176" Type="http://schemas.openxmlformats.org/officeDocument/2006/relationships/hyperlink" Target="https://beck-online.beck.de/?typ=reference&amp;y=100&amp;g=ZPO&amp;p=252" TargetMode="External"/><Relationship Id="rId17" Type="http://schemas.openxmlformats.org/officeDocument/2006/relationships/hyperlink" Target="https://beck-online.beck.de/?typ=reference&amp;y=300&amp;z=BGHZ&amp;b=126&amp;s=201" TargetMode="External"/><Relationship Id="rId38" Type="http://schemas.openxmlformats.org/officeDocument/2006/relationships/hyperlink" Target="https://beck-online.beck.de/?typ=reference&amp;y=100&amp;g=GMBHG&amp;p=64" TargetMode="External"/><Relationship Id="rId59" Type="http://schemas.openxmlformats.org/officeDocument/2006/relationships/hyperlink" Target="https://beck-online.beck.de/?typ=reference&amp;y=300&amp;z=BGHZ&amp;b=143&amp;s=184" TargetMode="External"/><Relationship Id="rId103" Type="http://schemas.openxmlformats.org/officeDocument/2006/relationships/hyperlink" Target="https://beck-online.beck.de/?typ=reference&amp;y=300&amp;z=BGHZ&amp;b=164&amp;s=60" TargetMode="External"/><Relationship Id="rId124" Type="http://schemas.openxmlformats.org/officeDocument/2006/relationships/hyperlink" Target="https://beck-online.beck.de/?typ=reference&amp;y=100&amp;g=INSO&amp;p=115&amp;x=I" TargetMode="External"/><Relationship Id="rId70" Type="http://schemas.openxmlformats.org/officeDocument/2006/relationships/hyperlink" Target="https://beck-online.beck.de/?typ=reference&amp;y=300&amp;z=BGHZ&amp;b=164&amp;s=55" TargetMode="External"/><Relationship Id="rId91" Type="http://schemas.openxmlformats.org/officeDocument/2006/relationships/hyperlink" Target="https://beck-online.beck.de/?typ=reference&amp;y=300&amp;z=NJW&amp;b=1994&amp;s=2220" TargetMode="External"/><Relationship Id="rId145" Type="http://schemas.openxmlformats.org/officeDocument/2006/relationships/hyperlink" Target="https://beck-online.beck.de/?typ=reference&amp;y=300&amp;z=NZI&amp;b=2007&amp;s=44" TargetMode="External"/><Relationship Id="rId166" Type="http://schemas.openxmlformats.org/officeDocument/2006/relationships/hyperlink" Target="https://beck-online.beck.de/?typ=reference&amp;y=300&amp;z=BGHZ&amp;b=146&amp;s=264" TargetMode="External"/><Relationship Id="rId1" Type="http://schemas.openxmlformats.org/officeDocument/2006/relationships/styles" Target="styles.xml"/><Relationship Id="rId28" Type="http://schemas.openxmlformats.org/officeDocument/2006/relationships/hyperlink" Target="https://beck-online.beck.de/?typ=reference&amp;y=100&amp;g=BGB&amp;p=823&amp;x=II" TargetMode="External"/><Relationship Id="rId49" Type="http://schemas.openxmlformats.org/officeDocument/2006/relationships/hyperlink" Target="https://beck-online.beck.de/?typ=reference&amp;y=300&amp;z=BGHZ&amp;b=146&amp;s=264" TargetMode="External"/><Relationship Id="rId114" Type="http://schemas.openxmlformats.org/officeDocument/2006/relationships/hyperlink" Target="https://beck-online.beck.de/?typ=reference&amp;y=300&amp;z=BGHZ&amp;b=138&amp;s=2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5331</Words>
  <Characters>31616</Characters>
  <Application>Microsoft Office Word</Application>
  <DocSecurity>0</DocSecurity>
  <Lines>486</Lines>
  <Paragraphs>85</Paragraphs>
  <ScaleCrop>false</ScaleCrop>
  <Company/>
  <LinksUpToDate>false</LinksUpToDate>
  <CharactersWithSpaces>36862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Schadensersatzpflicht des Geschäftsführers einer GmbH gegenüber Neugläubigern - Steuern und Bilanzen</dc:title>
  <dc:creator>beck-online.beck.de</dc:creator>
  <cp:lastModifiedBy>Martin Otten</cp:lastModifiedBy>
  <cp:revision>2</cp:revision>
  <dcterms:created xsi:type="dcterms:W3CDTF">2026-06-28T19:50:00Z</dcterms:created>
  <dcterms:modified xsi:type="dcterms:W3CDTF">2026-06-28T19:50:00Z</dcterms:modified>
</cp:coreProperties>
</file>