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227C41F" w14:textId="4AF07416" w:rsidR="008E63F9" w:rsidRDefault="008E63F9">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026"/>
        <w:gridCol w:w="2064"/>
      </w:tblGrid>
      <w:tr w:rsidR="008E63F9" w14:paraId="640F871A" w14:textId="77777777">
        <w:tc>
          <w:tcPr>
            <w:tcW w:w="0" w:type="auto"/>
            <w:shd w:val="clear" w:color="auto" w:fill="F7F7F0"/>
            <w:tcMar>
              <w:top w:w="45" w:type="dxa"/>
              <w:left w:w="45" w:type="dxa"/>
              <w:bottom w:w="105" w:type="dxa"/>
              <w:right w:w="90" w:type="dxa"/>
            </w:tcMar>
            <w:hideMark/>
          </w:tcPr>
          <w:p w14:paraId="1A9B9881" w14:textId="77777777" w:rsidR="008E63F9" w:rsidRDefault="00000000">
            <w:r>
              <w:rPr>
                <w:rStyle w:val="any"/>
                <w:sz w:val="20"/>
              </w:rPr>
              <w:t>OLG Koblenz: Beweislast im Prozess gegen GmbH-Geschäftsführer wegen Insolvenzverschleppung</w:t>
            </w:r>
          </w:p>
        </w:tc>
        <w:tc>
          <w:tcPr>
            <w:tcW w:w="0" w:type="auto"/>
            <w:shd w:val="clear" w:color="auto" w:fill="F7F7F0"/>
            <w:noWrap/>
            <w:tcMar>
              <w:top w:w="45" w:type="dxa"/>
              <w:left w:w="45" w:type="dxa"/>
              <w:bottom w:w="105" w:type="dxa"/>
              <w:right w:w="98" w:type="dxa"/>
            </w:tcMar>
            <w:hideMark/>
          </w:tcPr>
          <w:p w14:paraId="5E364C07" w14:textId="77777777" w:rsidR="008E63F9" w:rsidRDefault="00000000">
            <w:pPr>
              <w:pStyle w:val="printcontentdivdk2spancitation"/>
              <w:ind w:left="150"/>
              <w:jc w:val="right"/>
            </w:pPr>
            <w:r>
              <w:rPr>
                <w:sz w:val="20"/>
              </w:rPr>
              <w:t>NJW-RR 2003, 1198</w:t>
            </w:r>
          </w:p>
        </w:tc>
      </w:tr>
    </w:tbl>
    <w:p w14:paraId="42BED320" w14:textId="77777777" w:rsidR="008E63F9"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Beweislast im Prozess gegen GmbH-Geschäftsführer wegen Insolvenzverschleppung</w:t>
      </w:r>
    </w:p>
    <w:p w14:paraId="2DB654EF" w14:textId="77777777" w:rsidR="008E63F9"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823</w:t>
        </w:r>
      </w:hyperlink>
      <w:r>
        <w:rPr>
          <w:rStyle w:val="any"/>
          <w:color w:val="000000"/>
        </w:rPr>
        <w:t xml:space="preserve"> </w:t>
      </w:r>
      <w:hyperlink r:id="rId7" w:history="1">
        <w:r>
          <w:rPr>
            <w:rStyle w:val="bocontentwrapperbocenteranotbeck-btn"/>
            <w:color w:val="000000"/>
            <w:u w:val="single" w:color="000000"/>
          </w:rPr>
          <w:t>II</w:t>
        </w:r>
      </w:hyperlink>
      <w:r>
        <w:rPr>
          <w:rStyle w:val="any"/>
          <w:color w:val="000000"/>
        </w:rPr>
        <w:t xml:space="preserve">, </w:t>
      </w:r>
      <w:hyperlink r:id="rId8" w:history="1">
        <w:r>
          <w:rPr>
            <w:rStyle w:val="bocontentwrapperbocenteranotbeck-btn"/>
            <w:color w:val="000000"/>
            <w:u w:val="single" w:color="000000"/>
          </w:rPr>
          <w:t>826</w:t>
        </w:r>
      </w:hyperlink>
      <w:r>
        <w:rPr>
          <w:rStyle w:val="any"/>
          <w:color w:val="000000"/>
        </w:rPr>
        <w:t xml:space="preserve">, </w:t>
      </w:r>
      <w:hyperlink r:id="rId9" w:history="1">
        <w:r>
          <w:rPr>
            <w:rStyle w:val="bocontentwrapperbocenteranotbeck-btn"/>
            <w:color w:val="000000"/>
            <w:u w:val="single" w:color="000000"/>
          </w:rPr>
          <w:t>279</w:t>
        </w:r>
      </w:hyperlink>
      <w:r>
        <w:rPr>
          <w:rStyle w:val="any"/>
          <w:color w:val="000000"/>
        </w:rPr>
        <w:t xml:space="preserve">, </w:t>
      </w:r>
      <w:hyperlink r:id="rId10" w:history="1">
        <w:r>
          <w:rPr>
            <w:rStyle w:val="bocontentwrapperbocenteranotbeck-btn"/>
            <w:color w:val="000000"/>
            <w:u w:val="single" w:color="000000"/>
          </w:rPr>
          <w:t>179</w:t>
        </w:r>
      </w:hyperlink>
      <w:r>
        <w:rPr>
          <w:rStyle w:val="any"/>
          <w:color w:val="000000"/>
        </w:rPr>
        <w:t xml:space="preserve">, </w:t>
      </w:r>
      <w:hyperlink r:id="rId11" w:history="1">
        <w:r>
          <w:rPr>
            <w:rStyle w:val="bocontentwrapperbocenteranotbeck-btn"/>
            <w:color w:val="000000"/>
            <w:u w:val="single" w:color="000000"/>
          </w:rPr>
          <w:t>249</w:t>
        </w:r>
      </w:hyperlink>
      <w:r>
        <w:rPr>
          <w:rStyle w:val="divbocontentwrapperbocenterp"/>
          <w:color w:val="000000"/>
        </w:rPr>
        <w:t xml:space="preserve">; </w:t>
      </w:r>
      <w:r>
        <w:rPr>
          <w:rStyle w:val="any"/>
          <w:color w:val="000000"/>
        </w:rPr>
        <w:t xml:space="preserve">GmbHG §§ </w:t>
      </w:r>
      <w:hyperlink r:id="rId12" w:history="1">
        <w:r>
          <w:rPr>
            <w:rStyle w:val="bocontentwrapperbocenteranotbeck-btn"/>
            <w:color w:val="000000"/>
            <w:u w:val="single" w:color="000000"/>
          </w:rPr>
          <w:t>43</w:t>
        </w:r>
      </w:hyperlink>
      <w:r>
        <w:rPr>
          <w:rStyle w:val="any"/>
          <w:color w:val="000000"/>
        </w:rPr>
        <w:t xml:space="preserve">, </w:t>
      </w:r>
      <w:hyperlink r:id="rId13" w:history="1">
        <w:r>
          <w:rPr>
            <w:rStyle w:val="bocontentwrapperbocenteranotbeck-btn"/>
            <w:color w:val="000000"/>
            <w:u w:val="single" w:color="000000"/>
          </w:rPr>
          <w:t>63</w:t>
        </w:r>
      </w:hyperlink>
      <w:r>
        <w:rPr>
          <w:rStyle w:val="any"/>
          <w:color w:val="000000"/>
        </w:rPr>
        <w:t xml:space="preserve">, </w:t>
      </w:r>
      <w:hyperlink r:id="rId14" w:history="1">
        <w:r>
          <w:rPr>
            <w:rStyle w:val="bocontentwrapperbocenteranotbeck-btn"/>
            <w:color w:val="000000"/>
            <w:u w:val="single" w:color="000000"/>
          </w:rPr>
          <w:t>64</w:t>
        </w:r>
      </w:hyperlink>
      <w:r>
        <w:rPr>
          <w:rStyle w:val="divbocontentwrapperbocenterp"/>
          <w:color w:val="000000"/>
        </w:rPr>
        <w:t xml:space="preserve">; </w:t>
      </w:r>
      <w:r>
        <w:rPr>
          <w:rStyle w:val="any"/>
          <w:color w:val="000000"/>
        </w:rPr>
        <w:t xml:space="preserve">InsO § </w:t>
      </w:r>
      <w:hyperlink r:id="rId15" w:history="1">
        <w:r>
          <w:rPr>
            <w:rStyle w:val="bocontentwrapperbocenteranotbeck-btn"/>
            <w:color w:val="000000"/>
            <w:u w:val="single" w:color="000000"/>
          </w:rPr>
          <w:t>19</w:t>
        </w:r>
      </w:hyperlink>
      <w:r>
        <w:rPr>
          <w:rStyle w:val="divbocontentwrapperbocenterp"/>
          <w:color w:val="000000"/>
        </w:rPr>
        <w:t xml:space="preserve">; </w:t>
      </w:r>
      <w:r>
        <w:rPr>
          <w:rStyle w:val="any"/>
          <w:color w:val="000000"/>
        </w:rPr>
        <w:t xml:space="preserve">ZPO § </w:t>
      </w:r>
      <w:hyperlink r:id="rId16" w:history="1">
        <w:r>
          <w:rPr>
            <w:rStyle w:val="bocontentwrapperbocenteranotbeck-btn"/>
            <w:color w:val="000000"/>
            <w:u w:val="single" w:color="000000"/>
          </w:rPr>
          <w:t>286</w:t>
        </w:r>
      </w:hyperlink>
      <w:r>
        <w:rPr>
          <w:rStyle w:val="divbocontentwrapperbocenterp"/>
          <w:color w:val="000000"/>
        </w:rPr>
        <w:t xml:space="preserve">; </w:t>
      </w:r>
      <w:r>
        <w:rPr>
          <w:rStyle w:val="any"/>
          <w:color w:val="000000"/>
        </w:rPr>
        <w:t xml:space="preserve">StGB § </w:t>
      </w:r>
      <w:hyperlink r:id="rId17" w:history="1">
        <w:r>
          <w:rPr>
            <w:rStyle w:val="bocontentwrapperbocenteranotbeck-btn"/>
            <w:color w:val="000000"/>
            <w:u w:val="single" w:color="000000"/>
          </w:rPr>
          <w:t>263</w:t>
        </w:r>
      </w:hyperlink>
    </w:p>
    <w:p w14:paraId="46E5144A" w14:textId="77777777" w:rsidR="008E63F9"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Im Schadensersatzprozess gegen den GmbH-Geschäftsführer wegen Insolvenzverschleppung muss der Anspruchsteller beweisen, dass die Gesellschaft zum Zeitpunkt des Rechtsgeschäfts überschuldet war.</w:t>
      </w:r>
    </w:p>
    <w:p w14:paraId="5D482EF3" w14:textId="77777777" w:rsidR="008E63F9"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Gelingt dieser Nachweis, ist der Geschäftsführer beweispflichtig, dass für die GmbH gleichwohl eine Fortbestehensprognose gegeben war. Dabei hat der Geschäftsführer einen Beurteilungsspielraum. Trifft er eine Entscheidung, die bei Betrachtung ex ante vertretbar erscheint, ist er nicht schadensersatzpflichtig.</w:t>
      </w:r>
    </w:p>
    <w:p w14:paraId="353E18D7" w14:textId="77777777" w:rsidR="008E63F9"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Eine Haftung des GmbH-Geschäftsführers aus culpa in contrahendo kommt in der Regel nicht in Betracht.</w:t>
      </w:r>
    </w:p>
    <w:p w14:paraId="2A4BAD8C" w14:textId="77777777" w:rsidR="008E63F9"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OLG Koblenz</w:t>
      </w:r>
      <w:r>
        <w:rPr>
          <w:color w:val="000000"/>
        </w:rPr>
        <w:t xml:space="preserve">, </w:t>
      </w:r>
      <w:r>
        <w:rPr>
          <w:rStyle w:val="etyp"/>
          <w:color w:val="000000"/>
        </w:rPr>
        <w:t>Urteil</w:t>
      </w:r>
      <w:r>
        <w:rPr>
          <w:color w:val="000000"/>
        </w:rPr>
        <w:t xml:space="preserve"> vom </w:t>
      </w:r>
      <w:r>
        <w:rPr>
          <w:rStyle w:val="any"/>
          <w:color w:val="000000"/>
        </w:rPr>
        <w:t>27. 2. 2003</w:t>
      </w:r>
      <w:r>
        <w:rPr>
          <w:color w:val="000000"/>
        </w:rPr>
        <w:t xml:space="preserve"> - </w:t>
      </w:r>
      <w:r>
        <w:rPr>
          <w:rStyle w:val="any"/>
          <w:color w:val="000000"/>
        </w:rPr>
        <w:t>5 U 917/02</w:t>
      </w:r>
      <w:bookmarkStart w:id="0" w:name="Y-300-Z-NJW-RR-B-2003-S-1198-N-1-NAME-SA"/>
      <w:bookmarkEnd w:id="0"/>
    </w:p>
    <w:p w14:paraId="344DAB9A" w14:textId="77777777" w:rsidR="008E63F9" w:rsidRDefault="00000000">
      <w:pPr>
        <w:pStyle w:val="printcontenth2"/>
        <w:spacing w:line="360" w:lineRule="auto"/>
        <w:ind w:right="150"/>
        <w:outlineLvl w:val="1"/>
        <w:rPr>
          <w:b/>
          <w:bCs/>
        </w:rPr>
      </w:pPr>
      <w:r>
        <w:rPr>
          <w:b/>
          <w:bCs/>
        </w:rPr>
        <w:t>Zum Sachverhalt:</w:t>
      </w:r>
    </w:p>
    <w:p w14:paraId="22BD0153" w14:textId="77777777" w:rsidR="008E63F9" w:rsidRDefault="00000000">
      <w:pPr>
        <w:pStyle w:val="divbocontentwrapperbocenterpParagraph"/>
        <w:spacing w:after="120" w:line="360" w:lineRule="auto"/>
        <w:ind w:right="150"/>
        <w:rPr>
          <w:color w:val="000000"/>
        </w:rPr>
      </w:pPr>
      <w:r>
        <w:rPr>
          <w:color w:val="000000"/>
        </w:rPr>
        <w:t xml:space="preserve">Die Kl. nehmen den bekl. GmbH-Geschäftsführer auf Schadensersatz mit der Begründung in Anspruch, er habe namens der Gesellschaft einen Kaufvertrag über eine Immobilie geschlossen, obwohl die GmbH zahlungsunfähig gewesen sei. Der Kaufvertrag zwischen den Kl. und der GmbH datiert vom 16. 10. 1997. Den Gesamtkaufpreis von 1,32 Mio. DM blieb die GmbH schuldig. Ein knapp zwei Jahre später im Oktober 1999 gestellter Insolvenzantrag der GmbH wurde mangels Masse abgelehnt. Dementsprechend konnten die Kl. aus einem im September 1999 gegen die GmbH erstrittenen Versäumnisurteil über 32804,97 DM nichts vollstrecken. Bei dem genannten Betrag handelt es sich um Verzugszinsen. Daneben verlangen die Kl. im vorliegenden Rechtsstreit Erstattung von Prozess- und Notarkosten. Das </w:t>
      </w:r>
      <w:r>
        <w:rPr>
          <w:rStyle w:val="emitalicon"/>
          <w:color w:val="000000"/>
        </w:rPr>
        <w:t xml:space="preserve">LG </w:t>
      </w:r>
      <w:r>
        <w:rPr>
          <w:color w:val="000000"/>
        </w:rPr>
        <w:t>hat die Klage abgewiesen. Dagegen wenden sich die Kl. mit der Berufung, jedoch ohne Erfolg.</w:t>
      </w:r>
      <w:bookmarkStart w:id="1" w:name="Y-300-Z-NJW-RR-B-2003-S-1198-N-1-NAME-GR"/>
      <w:bookmarkEnd w:id="1"/>
    </w:p>
    <w:p w14:paraId="47E8807A" w14:textId="77777777" w:rsidR="008E63F9" w:rsidRDefault="00000000">
      <w:pPr>
        <w:pStyle w:val="printcontenth2"/>
        <w:spacing w:line="360" w:lineRule="auto"/>
        <w:ind w:right="150"/>
        <w:outlineLvl w:val="1"/>
        <w:rPr>
          <w:b/>
          <w:bCs/>
        </w:rPr>
      </w:pPr>
      <w:r>
        <w:rPr>
          <w:b/>
          <w:bCs/>
        </w:rPr>
        <w:t>Aus den Gründen:</w:t>
      </w:r>
    </w:p>
    <w:p w14:paraId="3D95B26B" w14:textId="77777777" w:rsidR="008E63F9" w:rsidRDefault="00000000">
      <w:pPr>
        <w:pStyle w:val="divbocontentwrapperbocenterpParagraph"/>
        <w:spacing w:after="120" w:line="360" w:lineRule="auto"/>
        <w:ind w:right="150"/>
        <w:rPr>
          <w:color w:val="000000"/>
        </w:rPr>
      </w:pPr>
      <w:r>
        <w:rPr>
          <w:color w:val="000000"/>
        </w:rPr>
        <w:t xml:space="preserve">Die zulässige Berufung ist nicht begründet. Das </w:t>
      </w:r>
      <w:r>
        <w:rPr>
          <w:rStyle w:val="emitalicon"/>
          <w:color w:val="000000"/>
        </w:rPr>
        <w:t>LG</w:t>
      </w:r>
      <w:r>
        <w:rPr>
          <w:color w:val="000000"/>
        </w:rPr>
        <w:t xml:space="preserve"> hat die Klage zu Recht abgewiesen. Der Bekl. schuldet den Kl. weder aus unerlaubter Handlung noch wegen Verschuldens bei Vertragsschluss Schadensersatz.</w:t>
      </w:r>
    </w:p>
    <w:p w14:paraId="32EA9481" w14:textId="77777777" w:rsidR="008E63F9" w:rsidRDefault="00000000">
      <w:pPr>
        <w:pStyle w:val="divbocontentwrapperbocenterpParagraph"/>
        <w:spacing w:after="120" w:line="360" w:lineRule="auto"/>
        <w:ind w:right="150"/>
        <w:rPr>
          <w:color w:val="000000"/>
        </w:rPr>
      </w:pPr>
      <w:r>
        <w:rPr>
          <w:color w:val="000000"/>
        </w:rPr>
        <w:t xml:space="preserve">1. Die Kl. machen in erster Linie einen Verzugsschaden von mehr als 30000 DM geltend, weil der Vertrag von der GmbH nicht erfüllt wurde. Insoweit ist die Klage schon nach dem eigenen Vorbringen der Kl. nicht begründet. Die Kl. behaupten, sie hätten den Kaufvertrag mit der GmbH nicht geschlossen, wenn der Bekl. sie über die damalige wirtschaftliche </w:t>
      </w:r>
      <w:r>
        <w:rPr>
          <w:color w:val="000000"/>
        </w:rPr>
        <w:lastRenderedPageBreak/>
        <w:t xml:space="preserve">Situation der Gesellschaft informiert hätte. Daraus folgt, dass die Kl. ohne den Kaufvertrag vom 16. 10. 1997 keinen Anspruch auf den dort vereinbarten Verzugszins von 8 Prozent über dem jeweiligen Diskontsatz der Deutschen Bundesbank hätten. Die Unterlassung, die die Kl. dem Bekl. vorwerfen, wäre für den eingetretenen Schaden nur kausal, wenn der Erfolg bei pflichtgemäßem Handeln entfiele. Davon kann nicht ausgegangen werden, weil weder dargetan noch sonst ersichtlich ist, dass die Kl. die Immobilie ohne den Kaufvertrag mit der GmbH an einen anderen Interessenten hätten verkaufen können oder später (zu einem Mindererlös) verkauft haben. Damit ist die Entscheidung des </w:t>
      </w:r>
      <w:r>
        <w:rPr>
          <w:rStyle w:val="emitalicon"/>
          <w:color w:val="000000"/>
        </w:rPr>
        <w:t>LG</w:t>
      </w:r>
      <w:r>
        <w:rPr>
          <w:color w:val="000000"/>
        </w:rPr>
        <w:t xml:space="preserve"> in diesem Punkt bereits mangels Schadens zutreffend.</w:t>
      </w:r>
    </w:p>
    <w:p w14:paraId="6C4FE656" w14:textId="77777777" w:rsidR="008E63F9" w:rsidRDefault="00000000">
      <w:pPr>
        <w:pStyle w:val="divbocontentwrapperbocenterpParagraph"/>
        <w:spacing w:after="120" w:line="360" w:lineRule="auto"/>
        <w:ind w:right="150"/>
        <w:rPr>
          <w:color w:val="000000"/>
        </w:rPr>
      </w:pPr>
      <w:r>
        <w:rPr>
          <w:color w:val="000000"/>
        </w:rPr>
        <w:t xml:space="preserve">2. Auch im Übrigen (Notar- und Gerichtskosten) ist der Bekl. nicht schadensersatzpflichtig. Die Voraussetzungen der </w:t>
      </w:r>
      <w:r>
        <w:rPr>
          <w:rStyle w:val="any"/>
          <w:color w:val="000000"/>
        </w:rPr>
        <w:t xml:space="preserve">§ </w:t>
      </w:r>
      <w:hyperlink r:id="rId18" w:history="1">
        <w:r>
          <w:rPr>
            <w:rStyle w:val="bocontentwrapperbocenteranotbeck-btn"/>
            <w:color w:val="000000"/>
            <w:u w:val="single" w:color="000000"/>
          </w:rPr>
          <w:t>823</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xml:space="preserve">§ </w:t>
      </w:r>
      <w:hyperlink r:id="rId20" w:history="1">
        <w:r>
          <w:rPr>
            <w:rStyle w:val="bocontentwrapperbocenteranotbeck-btn"/>
            <w:color w:val="000000"/>
            <w:u w:val="single" w:color="000000"/>
          </w:rPr>
          <w:t>263</w:t>
        </w:r>
      </w:hyperlink>
      <w:r>
        <w:rPr>
          <w:rStyle w:val="any"/>
          <w:color w:val="000000"/>
        </w:rPr>
        <w:t xml:space="preserve"> StGB</w:t>
      </w:r>
      <w:r>
        <w:rPr>
          <w:color w:val="000000"/>
        </w:rPr>
        <w:t xml:space="preserve">, </w:t>
      </w:r>
      <w:r>
        <w:rPr>
          <w:rStyle w:val="any"/>
          <w:color w:val="000000"/>
        </w:rPr>
        <w:t xml:space="preserve">§ </w:t>
      </w:r>
      <w:hyperlink r:id="rId21" w:history="1">
        <w:r>
          <w:rPr>
            <w:rStyle w:val="bocontentwrapperbocenteranotbeck-btn"/>
            <w:color w:val="000000"/>
            <w:u w:val="single" w:color="000000"/>
          </w:rPr>
          <w:t>64</w:t>
        </w:r>
      </w:hyperlink>
      <w:r>
        <w:rPr>
          <w:rStyle w:val="any"/>
          <w:color w:val="000000"/>
        </w:rPr>
        <w:t xml:space="preserve"> GmbHG</w:t>
      </w:r>
      <w:r>
        <w:rPr>
          <w:color w:val="000000"/>
        </w:rPr>
        <w:t xml:space="preserve">, </w:t>
      </w:r>
      <w:r>
        <w:rPr>
          <w:rStyle w:val="any"/>
          <w:color w:val="000000"/>
        </w:rPr>
        <w:t xml:space="preserve">§ </w:t>
      </w:r>
      <w:hyperlink r:id="rId22" w:history="1">
        <w:r>
          <w:rPr>
            <w:rStyle w:val="bocontentwrapperbocenteranotbeck-btn"/>
            <w:color w:val="000000"/>
            <w:u w:val="single" w:color="000000"/>
          </w:rPr>
          <w:t>826</w:t>
        </w:r>
      </w:hyperlink>
      <w:r>
        <w:rPr>
          <w:rStyle w:val="any"/>
          <w:color w:val="000000"/>
        </w:rPr>
        <w:t xml:space="preserve"> BGB</w:t>
      </w:r>
      <w:r>
        <w:rPr>
          <w:color w:val="000000"/>
        </w:rPr>
        <w:t xml:space="preserve"> sind nicht erfüllt. Ebenso wenig haftet der Bekl. wegen Verschuldens bei Vertragsschluss.</w:t>
      </w:r>
    </w:p>
    <w:p w14:paraId="50446A67" w14:textId="77777777" w:rsidR="008E63F9" w:rsidRDefault="00000000">
      <w:pPr>
        <w:pStyle w:val="divbocontentwrapperbocenterpParagraph"/>
        <w:spacing w:after="120" w:line="360" w:lineRule="auto"/>
        <w:ind w:right="150"/>
        <w:rPr>
          <w:color w:val="000000"/>
        </w:rPr>
      </w:pPr>
      <w:r>
        <w:rPr>
          <w:color w:val="000000"/>
        </w:rPr>
        <w:t>a) Der Bekl. hat sich nicht eines Betrugs schuldig gemacht. Ungeachtet der Zweifel hinsichtlich der übrigen Tatbestandsmerkmale des Betrugs fehlt es jedenfalls an der Stoffgleichheit zwischen dem verursachten Schaden (Notar- und Gerichtskosten) und dem Vermögensvorteil, den der Bekl. nach Auffassung der Kl. (zu Gunsten der GmbH) erstrebte.</w:t>
      </w:r>
    </w:p>
    <w:p w14:paraId="6BB2C051" w14:textId="77777777" w:rsidR="008E63F9" w:rsidRDefault="00000000">
      <w:pPr>
        <w:pStyle w:val="divbocontentwrapperbocenterpParagraph"/>
        <w:spacing w:after="120" w:line="360" w:lineRule="auto"/>
        <w:ind w:right="150"/>
        <w:rPr>
          <w:color w:val="000000"/>
        </w:rPr>
      </w:pPr>
      <w:r>
        <w:rPr>
          <w:color w:val="000000"/>
        </w:rPr>
        <w:t xml:space="preserve">b) Der Bekl. ist auch nicht nach </w:t>
      </w:r>
      <w:r>
        <w:rPr>
          <w:rStyle w:val="any"/>
          <w:color w:val="000000"/>
        </w:rPr>
        <w:t xml:space="preserve">§ </w:t>
      </w:r>
      <w:hyperlink r:id="rId23" w:history="1">
        <w:r>
          <w:rPr>
            <w:rStyle w:val="bocontentwrapperbocenteranotbeck-btn"/>
            <w:color w:val="000000"/>
            <w:u w:val="single" w:color="000000"/>
          </w:rPr>
          <w:t>823</w:t>
        </w:r>
      </w:hyperlink>
      <w:r>
        <w:rPr>
          <w:rStyle w:val="any"/>
          <w:color w:val="000000"/>
        </w:rPr>
        <w:t xml:space="preserve"> </w:t>
      </w:r>
      <w:hyperlink r:id="rId24" w:history="1">
        <w:r>
          <w:rPr>
            <w:rStyle w:val="bocontentwrapperbocenteranotbeck-btn"/>
            <w:color w:val="000000"/>
            <w:u w:val="single" w:color="000000"/>
          </w:rPr>
          <w:t>II</w:t>
        </w:r>
      </w:hyperlink>
      <w:r>
        <w:rPr>
          <w:rStyle w:val="any"/>
          <w:color w:val="000000"/>
        </w:rPr>
        <w:t xml:space="preserve"> BGB</w:t>
      </w:r>
      <w:r>
        <w:rPr>
          <w:color w:val="000000"/>
        </w:rPr>
        <w:t xml:space="preserve"> i.V. mit </w:t>
      </w:r>
      <w:r>
        <w:rPr>
          <w:rStyle w:val="any"/>
          <w:color w:val="000000"/>
        </w:rPr>
        <w:t xml:space="preserve">§ </w:t>
      </w:r>
      <w:hyperlink r:id="rId25" w:history="1">
        <w:r>
          <w:rPr>
            <w:rStyle w:val="bocontentwrapperbocenteranotbeck-btn"/>
            <w:color w:val="000000"/>
            <w:u w:val="single" w:color="000000"/>
          </w:rPr>
          <w:t>64</w:t>
        </w:r>
      </w:hyperlink>
      <w:r>
        <w:rPr>
          <w:rStyle w:val="any"/>
          <w:color w:val="000000"/>
        </w:rPr>
        <w:t xml:space="preserve"> </w:t>
      </w:r>
      <w:hyperlink r:id="rId26" w:history="1">
        <w:r>
          <w:rPr>
            <w:rStyle w:val="bocontentwrapperbocenteranotbeck-btn"/>
            <w:color w:val="000000"/>
            <w:u w:val="single" w:color="000000"/>
          </w:rPr>
          <w:t>I</w:t>
        </w:r>
      </w:hyperlink>
      <w:r>
        <w:rPr>
          <w:rStyle w:val="any"/>
          <w:color w:val="000000"/>
        </w:rPr>
        <w:t xml:space="preserve"> GmbHG</w:t>
      </w:r>
      <w:r>
        <w:rPr>
          <w:color w:val="000000"/>
        </w:rPr>
        <w:t xml:space="preserve"> schadensersatzpflichtig. Nach </w:t>
      </w:r>
      <w:r>
        <w:rPr>
          <w:rStyle w:val="any"/>
          <w:color w:val="000000"/>
        </w:rPr>
        <w:t xml:space="preserve">§ </w:t>
      </w:r>
      <w:hyperlink r:id="rId27" w:history="1">
        <w:r>
          <w:rPr>
            <w:rStyle w:val="bocontentwrapperbocenteranotbeck-btn"/>
            <w:color w:val="000000"/>
            <w:u w:val="single" w:color="000000"/>
          </w:rPr>
          <w:t>64</w:t>
        </w:r>
      </w:hyperlink>
      <w:r>
        <w:rPr>
          <w:rStyle w:val="any"/>
          <w:color w:val="000000"/>
        </w:rPr>
        <w:t xml:space="preserve"> </w:t>
      </w:r>
      <w:hyperlink r:id="rId28" w:history="1">
        <w:r>
          <w:rPr>
            <w:rStyle w:val="bocontentwrapperbocenteranotbeck-btn"/>
            <w:color w:val="000000"/>
            <w:u w:val="single" w:color="000000"/>
          </w:rPr>
          <w:t>I</w:t>
        </w:r>
      </w:hyperlink>
      <w:r>
        <w:rPr>
          <w:rStyle w:val="any"/>
          <w:color w:val="000000"/>
        </w:rPr>
        <w:t xml:space="preserve"> GmbHG</w:t>
      </w:r>
      <w:r>
        <w:rPr>
          <w:color w:val="000000"/>
        </w:rPr>
        <w:t xml:space="preserve"> haben die Geschäftsführer ohne schuldhaftes Zögern, spätestens aber drei Wochen nach Eintritt der Zahlungsunfähigkeit, die Eröffnung des Insolvenzverfahrens zu beantragen. Dies gilt sinngemäß, wenn sich eine Überschuldung der Gesellschaft ergibt. Denn bei einer juristischen Person ist bereits die Überschuldung ein Grund für die Eröffnung des Insolvenzverfahrens (</w:t>
      </w:r>
      <w:r>
        <w:rPr>
          <w:rStyle w:val="any"/>
          <w:color w:val="000000"/>
        </w:rPr>
        <w:t xml:space="preserve">§ </w:t>
      </w:r>
      <w:hyperlink r:id="rId29" w:history="1">
        <w:r>
          <w:rPr>
            <w:rStyle w:val="bocontentwrapperbocenteranotbeck-btn"/>
            <w:color w:val="000000"/>
            <w:u w:val="single" w:color="000000"/>
          </w:rPr>
          <w:t>19</w:t>
        </w:r>
      </w:hyperlink>
      <w:r>
        <w:rPr>
          <w:rStyle w:val="any"/>
          <w:color w:val="000000"/>
        </w:rPr>
        <w:t xml:space="preserve"> </w:t>
      </w:r>
      <w:hyperlink r:id="rId30" w:history="1">
        <w:r>
          <w:rPr>
            <w:rStyle w:val="bocontentwrapperbocenteranotbeck-btn"/>
            <w:color w:val="000000"/>
            <w:u w:val="single" w:color="000000"/>
          </w:rPr>
          <w:t>I</w:t>
        </w:r>
      </w:hyperlink>
      <w:r>
        <w:rPr>
          <w:rStyle w:val="any"/>
          <w:color w:val="000000"/>
        </w:rPr>
        <w:t xml:space="preserve"> InsO</w:t>
      </w:r>
      <w:r>
        <w:rPr>
          <w:color w:val="000000"/>
        </w:rPr>
        <w:t>).</w:t>
      </w:r>
    </w:p>
    <w:p w14:paraId="4388C788" w14:textId="77777777" w:rsidR="008E63F9" w:rsidRDefault="00000000">
      <w:pPr>
        <w:pStyle w:val="divbocontentwrapperbocenterpParagraph"/>
        <w:spacing w:after="120" w:line="360" w:lineRule="auto"/>
        <w:ind w:right="150"/>
        <w:rPr>
          <w:color w:val="000000"/>
        </w:rPr>
      </w:pPr>
      <w:r>
        <w:rPr>
          <w:color w:val="000000"/>
        </w:rPr>
        <w:t>Bei der Bewertung des Vermögens der juristischen Person ist aber zu berücksichtigen, dass die Fortführung des Unternehmens zu Grunde gelegt werden darf, wenn diese nach den Umständen überwiegend wahrscheinlich ist (</w:t>
      </w:r>
      <w:r>
        <w:rPr>
          <w:rStyle w:val="any"/>
          <w:color w:val="000000"/>
        </w:rPr>
        <w:t xml:space="preserve">§ </w:t>
      </w:r>
      <w:hyperlink r:id="rId31" w:history="1">
        <w:r>
          <w:rPr>
            <w:rStyle w:val="bocontentwrapperbocenteranotbeck-btn"/>
            <w:color w:val="000000"/>
            <w:u w:val="single" w:color="000000"/>
          </w:rPr>
          <w:t>19</w:t>
        </w:r>
      </w:hyperlink>
      <w:r>
        <w:rPr>
          <w:rStyle w:val="any"/>
          <w:color w:val="000000"/>
        </w:rPr>
        <w:t xml:space="preserve"> </w:t>
      </w:r>
      <w:hyperlink r:id="rId32" w:history="1">
        <w:r>
          <w:rPr>
            <w:rStyle w:val="bocontentwrapperbocenteranotbeck-btn"/>
            <w:color w:val="000000"/>
            <w:u w:val="single" w:color="000000"/>
          </w:rPr>
          <w:t>II</w:t>
        </w:r>
      </w:hyperlink>
      <w:r>
        <w:rPr>
          <w:rStyle w:val="any"/>
          <w:color w:val="000000"/>
        </w:rPr>
        <w:t xml:space="preserve"> 2 InsO</w:t>
      </w:r>
      <w:r>
        <w:rPr>
          <w:color w:val="000000"/>
        </w:rPr>
        <w:t>). Der</w:t>
      </w:r>
      <w:r>
        <w:rPr>
          <w:rStyle w:val="emitalicon"/>
          <w:color w:val="000000"/>
        </w:rPr>
        <w:t xml:space="preserve"> Senat </w:t>
      </w:r>
      <w:r>
        <w:rPr>
          <w:color w:val="000000"/>
        </w:rPr>
        <w:t xml:space="preserve">ist daher der Ansicht, dass der Anspruchsteller beweisen muss, dass die juristische Person zum Zeitpunkt des Vertragsschlusses überschuldet war. Gelingt dieser Nachweis, ist es Sache des in Anspruch Genommenen, den Nachweis zu führen, dass gleichwohl die Fortbestehensprognose gerechtfertigt war (vgl. </w:t>
      </w:r>
      <w:r>
        <w:rPr>
          <w:rStyle w:val="emitalicon"/>
          <w:color w:val="000000"/>
        </w:rPr>
        <w:t>OLG Celle,</w:t>
      </w:r>
      <w:r>
        <w:rPr>
          <w:color w:val="000000"/>
        </w:rPr>
        <w:t xml:space="preserve"> OLG-Report 1996, 270 = </w:t>
      </w:r>
      <w:r>
        <w:rPr>
          <w:rStyle w:val="any"/>
          <w:color w:val="000000"/>
        </w:rPr>
        <w:t xml:space="preserve">GmbHR 1997, </w:t>
      </w:r>
      <w:hyperlink r:id="rId33" w:history="1">
        <w:r>
          <w:rPr>
            <w:rStyle w:val="bocontentwrapperbocenteranotbeck-btn"/>
            <w:color w:val="000000"/>
            <w:u w:val="single" w:color="000000"/>
          </w:rPr>
          <w:t>127</w:t>
        </w:r>
      </w:hyperlink>
      <w:r>
        <w:rPr>
          <w:color w:val="000000"/>
        </w:rPr>
        <w:t xml:space="preserve"> = </w:t>
      </w:r>
      <w:r>
        <w:rPr>
          <w:rStyle w:val="any"/>
          <w:color w:val="000000"/>
        </w:rPr>
        <w:t xml:space="preserve">KTS 1997, </w:t>
      </w:r>
      <w:hyperlink r:id="rId34" w:history="1">
        <w:r>
          <w:rPr>
            <w:rStyle w:val="bocontentwrapperbocenteranotbeck-btn"/>
            <w:color w:val="000000"/>
            <w:u w:val="single" w:color="000000"/>
          </w:rPr>
          <w:t>233</w:t>
        </w:r>
      </w:hyperlink>
      <w:r>
        <w:rPr>
          <w:color w:val="000000"/>
        </w:rPr>
        <w:t xml:space="preserve">; a.A. </w:t>
      </w:r>
      <w:r>
        <w:rPr>
          <w:rStyle w:val="emitalicon"/>
          <w:color w:val="000000"/>
        </w:rPr>
        <w:t>OLG Düsseldorf,</w:t>
      </w:r>
      <w:r>
        <w:rPr>
          <w:color w:val="000000"/>
        </w:rPr>
        <w:t xml:space="preserve"> </w:t>
      </w:r>
      <w:r>
        <w:rPr>
          <w:rStyle w:val="any"/>
          <w:color w:val="000000"/>
        </w:rPr>
        <w:t xml:space="preserve">GmbHR 1999, </w:t>
      </w:r>
      <w:hyperlink r:id="rId35" w:history="1">
        <w:r>
          <w:rPr>
            <w:rStyle w:val="bocontentwrapperbocenteranotbeck-btn"/>
            <w:color w:val="000000"/>
            <w:u w:val="single" w:color="000000"/>
          </w:rPr>
          <w:t>718</w:t>
        </w:r>
      </w:hyperlink>
      <w:r>
        <w:rPr>
          <w:color w:val="000000"/>
        </w:rPr>
        <w:t xml:space="preserve"> m. Anm. </w:t>
      </w:r>
      <w:r>
        <w:rPr>
          <w:rStyle w:val="emitalicon"/>
          <w:color w:val="000000"/>
        </w:rPr>
        <w:t xml:space="preserve">Gerkan, </w:t>
      </w:r>
      <w:r>
        <w:rPr>
          <w:rStyle w:val="any"/>
          <w:color w:val="000000"/>
        </w:rPr>
        <w:t xml:space="preserve">EWiR 1999, </w:t>
      </w:r>
      <w:hyperlink r:id="rId36" w:history="1">
        <w:r>
          <w:rPr>
            <w:rStyle w:val="bocontentwrapperbocenteranotbeck-btn"/>
            <w:color w:val="000000"/>
            <w:u w:val="single" w:color="000000"/>
          </w:rPr>
          <w:t>409</w:t>
        </w:r>
      </w:hyperlink>
      <w:r>
        <w:rPr>
          <w:color w:val="000000"/>
        </w:rPr>
        <w:t xml:space="preserve">, wonach der Gläubiger die Beweislast für das Fehlen einer positiven „Überlebensprognose” trägt; offen gelassen in </w:t>
      </w:r>
      <w:r>
        <w:rPr>
          <w:rStyle w:val="any"/>
          <w:color w:val="000000"/>
        </w:rPr>
        <w:t xml:space="preserve">BGHZ 126, </w:t>
      </w:r>
      <w:hyperlink r:id="rId37"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38"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39" w:history="1">
        <w:r>
          <w:rPr>
            <w:rStyle w:val="bocontentwrapperbocenteranotbeck-btn"/>
            <w:color w:val="000000"/>
            <w:u w:val="single" w:color="000000"/>
          </w:rPr>
          <w:t>639</w:t>
        </w:r>
      </w:hyperlink>
      <w:r>
        <w:rPr>
          <w:color w:val="000000"/>
        </w:rPr>
        <w:t xml:space="preserve"> = LM H. 10/1994 § 276 [Fa] BGB Nr. 135 = </w:t>
      </w:r>
      <w:r>
        <w:rPr>
          <w:rStyle w:val="any"/>
          <w:color w:val="000000"/>
        </w:rPr>
        <w:t xml:space="preserve">ZIP 1994, </w:t>
      </w:r>
      <w:hyperlink r:id="rId40" w:history="1">
        <w:r>
          <w:rPr>
            <w:rStyle w:val="bocontentwrapperbocenteranotbeck-btn"/>
            <w:color w:val="000000"/>
            <w:u w:val="single" w:color="000000"/>
          </w:rPr>
          <w:t>1103</w:t>
        </w:r>
      </w:hyperlink>
      <w:r>
        <w:rPr>
          <w:color w:val="000000"/>
        </w:rPr>
        <w:t xml:space="preserve"> = </w:t>
      </w:r>
      <w:r>
        <w:rPr>
          <w:rStyle w:val="any"/>
          <w:color w:val="000000"/>
        </w:rPr>
        <w:t xml:space="preserve">WM 1994, </w:t>
      </w:r>
      <w:hyperlink r:id="rId41" w:history="1">
        <w:r>
          <w:rPr>
            <w:rStyle w:val="bocontentwrapperbocenteranotbeck-btn"/>
            <w:color w:val="000000"/>
            <w:u w:val="single" w:color="000000"/>
          </w:rPr>
          <w:t>1428</w:t>
        </w:r>
      </w:hyperlink>
      <w:r>
        <w:rPr>
          <w:color w:val="000000"/>
        </w:rPr>
        <w:t xml:space="preserve"> = </w:t>
      </w:r>
      <w:r>
        <w:rPr>
          <w:rStyle w:val="any"/>
          <w:color w:val="000000"/>
        </w:rPr>
        <w:t xml:space="preserve">MDR 1994, </w:t>
      </w:r>
      <w:hyperlink r:id="rId42" w:history="1">
        <w:r>
          <w:rPr>
            <w:rStyle w:val="bocontentwrapperbocenteranotbeck-btn"/>
            <w:color w:val="000000"/>
            <w:u w:val="single" w:color="000000"/>
          </w:rPr>
          <w:t>781</w:t>
        </w:r>
      </w:hyperlink>
      <w:r>
        <w:rPr>
          <w:color w:val="000000"/>
        </w:rPr>
        <w:t xml:space="preserve"> = </w:t>
      </w:r>
      <w:r>
        <w:rPr>
          <w:rStyle w:val="any"/>
          <w:color w:val="000000"/>
        </w:rPr>
        <w:t xml:space="preserve">GmbHR 1994, </w:t>
      </w:r>
      <w:hyperlink r:id="rId43" w:history="1">
        <w:r>
          <w:rPr>
            <w:rStyle w:val="bocontentwrapperbocenteranotbeck-btn"/>
            <w:color w:val="000000"/>
            <w:u w:val="single" w:color="000000"/>
          </w:rPr>
          <w:t>539</w:t>
        </w:r>
      </w:hyperlink>
      <w:r>
        <w:rPr>
          <w:color w:val="000000"/>
        </w:rPr>
        <w:t xml:space="preserve"> = </w:t>
      </w:r>
      <w:r>
        <w:rPr>
          <w:rStyle w:val="any"/>
          <w:color w:val="000000"/>
        </w:rPr>
        <w:t xml:space="preserve">DB 1994, </w:t>
      </w:r>
      <w:hyperlink r:id="rId44" w:history="1">
        <w:r>
          <w:rPr>
            <w:rStyle w:val="bocontentwrapperbocenteranotbeck-btn"/>
            <w:color w:val="000000"/>
            <w:u w:val="single" w:color="000000"/>
          </w:rPr>
          <w:t>1608</w:t>
        </w:r>
      </w:hyperlink>
      <w:r>
        <w:rPr>
          <w:color w:val="000000"/>
        </w:rPr>
        <w:t xml:space="preserve"> = </w:t>
      </w:r>
      <w:r>
        <w:rPr>
          <w:rStyle w:val="any"/>
          <w:color w:val="000000"/>
        </w:rPr>
        <w:t xml:space="preserve">BB 1994, </w:t>
      </w:r>
      <w:hyperlink r:id="rId45" w:history="1">
        <w:r>
          <w:rPr>
            <w:rStyle w:val="bocontentwrapperbocenteranotbeck-btn"/>
            <w:color w:val="000000"/>
            <w:u w:val="single" w:color="000000"/>
          </w:rPr>
          <w:t>1657</w:t>
        </w:r>
      </w:hyperlink>
      <w:r>
        <w:rPr>
          <w:color w:val="000000"/>
        </w:rPr>
        <w:t xml:space="preserve"> = WuB II C § 64 GmbHG 3.94 = DZWir 1994, 463 = </w:t>
      </w:r>
      <w:r>
        <w:rPr>
          <w:rStyle w:val="any"/>
          <w:color w:val="000000"/>
        </w:rPr>
        <w:t xml:space="preserve">MittBayNot 1994, </w:t>
      </w:r>
      <w:hyperlink r:id="rId46" w:history="1">
        <w:r>
          <w:rPr>
            <w:rStyle w:val="bocontentwrapperbocenteranotbeck-btn"/>
            <w:color w:val="000000"/>
            <w:u w:val="single" w:color="000000"/>
          </w:rPr>
          <w:t>451</w:t>
        </w:r>
      </w:hyperlink>
      <w:r>
        <w:rPr>
          <w:color w:val="000000"/>
        </w:rPr>
        <w:t xml:space="preserve"> = </w:t>
      </w:r>
      <w:r>
        <w:rPr>
          <w:rStyle w:val="any"/>
          <w:color w:val="000000"/>
        </w:rPr>
        <w:t xml:space="preserve">DNotZ 1995, </w:t>
      </w:r>
      <w:hyperlink r:id="rId47" w:history="1">
        <w:r>
          <w:rPr>
            <w:rStyle w:val="bocontentwrapperbocenteranotbeck-btn"/>
            <w:color w:val="000000"/>
            <w:u w:val="single" w:color="000000"/>
          </w:rPr>
          <w:t>455</w:t>
        </w:r>
      </w:hyperlink>
      <w:r>
        <w:rPr>
          <w:color w:val="000000"/>
        </w:rPr>
        <w:t xml:space="preserve">; vgl. zum Ganzen auch </w:t>
      </w:r>
      <w:r>
        <w:rPr>
          <w:rStyle w:val="emitalicon"/>
          <w:color w:val="000000"/>
        </w:rPr>
        <w:t xml:space="preserve">Bork, </w:t>
      </w:r>
      <w:r>
        <w:rPr>
          <w:rStyle w:val="any"/>
          <w:color w:val="000000"/>
        </w:rPr>
        <w:t xml:space="preserve">ZIP 2000, </w:t>
      </w:r>
      <w:hyperlink r:id="rId48" w:history="1">
        <w:r>
          <w:rPr>
            <w:rStyle w:val="bocontentwrapperbocenteranotbeck-btn"/>
            <w:color w:val="000000"/>
            <w:u w:val="single" w:color="000000"/>
          </w:rPr>
          <w:t>1709</w:t>
        </w:r>
      </w:hyperlink>
      <w:r>
        <w:rPr>
          <w:rStyle w:val="any"/>
          <w:color w:val="000000"/>
        </w:rPr>
        <w:t xml:space="preserve"> [</w:t>
      </w:r>
      <w:hyperlink r:id="rId49" w:history="1">
        <w:r>
          <w:rPr>
            <w:rStyle w:val="bocontentwrapperbocenteranotbeck-btn"/>
            <w:color w:val="000000"/>
            <w:u w:val="single" w:color="000000"/>
          </w:rPr>
          <w:t>1712</w:t>
        </w:r>
      </w:hyperlink>
      <w:r>
        <w:rPr>
          <w:color w:val="000000"/>
        </w:rPr>
        <w:t>] m.zahlr.w. Nachw.).</w:t>
      </w:r>
    </w:p>
    <w:p w14:paraId="715B79A8" w14:textId="77777777" w:rsidR="008E63F9" w:rsidRDefault="00000000">
      <w:pPr>
        <w:pStyle w:val="divbocontentwrapperbocenterpParagraph"/>
        <w:spacing w:after="120" w:line="360" w:lineRule="auto"/>
        <w:ind w:right="150"/>
        <w:rPr>
          <w:color w:val="000000"/>
        </w:rPr>
      </w:pPr>
      <w:r>
        <w:rPr>
          <w:color w:val="000000"/>
        </w:rPr>
        <w:lastRenderedPageBreak/>
        <w:t xml:space="preserve">Zu Recht beanstandet die Berufung, dass die Gründe des angefochtenen Urteils nicht hinreichend deutlich erkennen lassen, ob das </w:t>
      </w:r>
      <w:r>
        <w:rPr>
          <w:rStyle w:val="emitalicon"/>
          <w:color w:val="000000"/>
        </w:rPr>
        <w:t>LG</w:t>
      </w:r>
      <w:r>
        <w:rPr>
          <w:color w:val="000000"/>
        </w:rPr>
        <w:t xml:space="preserve"> sich dieser Beweislastverteilung bewusst war. Das verhilft dem Rechtsmittel aber nicht zum Erfolg:</w:t>
      </w:r>
    </w:p>
    <w:p w14:paraId="5D570649" w14:textId="77777777" w:rsidR="008E63F9" w:rsidRDefault="00000000">
      <w:pPr>
        <w:pStyle w:val="divbocontentwrapperbocenterpParagraph"/>
        <w:spacing w:after="120" w:line="360" w:lineRule="auto"/>
        <w:ind w:right="150"/>
        <w:rPr>
          <w:color w:val="000000"/>
        </w:rPr>
      </w:pPr>
      <w:r>
        <w:rPr>
          <w:color w:val="000000"/>
        </w:rPr>
        <w:t xml:space="preserve">Die Kl. postulieren enge Voraussetzungen für die Fortbestehensprognose. Der vorliegende Sachverhalt erfordert keine Entscheidung, welche wirtschaftlichen und zeitlichen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E63F9" w14:paraId="74E2EB23" w14:textId="77777777">
        <w:tc>
          <w:tcPr>
            <w:tcW w:w="4000" w:type="pct"/>
            <w:shd w:val="clear" w:color="auto" w:fill="F0F0F0"/>
            <w:tcMar>
              <w:top w:w="0" w:type="dxa"/>
              <w:left w:w="0" w:type="dxa"/>
              <w:bottom w:w="0" w:type="dxa"/>
              <w:right w:w="0" w:type="dxa"/>
            </w:tcMar>
            <w:vAlign w:val="center"/>
            <w:hideMark/>
          </w:tcPr>
          <w:p w14:paraId="6E98F9B4" w14:textId="77777777" w:rsidR="008E63F9"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OLG Koblenz: Beweislast im Prozess gegen GmbH-Geschäftsführer wegen Insolvenzverschleppung</w:t>
            </w:r>
            <w:r>
              <w:rPr>
                <w:rStyle w:val="citation"/>
                <w:color w:val="000000"/>
              </w:rPr>
              <w:t>(NJW-RR 2003, 1198)</w:t>
            </w:r>
          </w:p>
        </w:tc>
        <w:tc>
          <w:tcPr>
            <w:tcW w:w="1000" w:type="pct"/>
            <w:shd w:val="clear" w:color="auto" w:fill="F0F0F0"/>
            <w:tcMar>
              <w:top w:w="0" w:type="dxa"/>
              <w:left w:w="0" w:type="dxa"/>
              <w:bottom w:w="0" w:type="dxa"/>
              <w:right w:w="0" w:type="dxa"/>
            </w:tcMar>
            <w:vAlign w:val="center"/>
            <w:hideMark/>
          </w:tcPr>
          <w:p w14:paraId="7DB070C3" w14:textId="77777777" w:rsidR="008E63F9"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1199</w:t>
            </w:r>
          </w:p>
        </w:tc>
      </w:tr>
    </w:tbl>
    <w:p w14:paraId="4063991F" w14:textId="77777777" w:rsidR="008E63F9" w:rsidRDefault="00000000">
      <w:pPr>
        <w:pStyle w:val="divbocontentwrapperbocenterpParagraph"/>
        <w:spacing w:after="120" w:line="360" w:lineRule="auto"/>
        <w:ind w:right="150"/>
        <w:rPr>
          <w:color w:val="000000"/>
        </w:rPr>
      </w:pPr>
      <w:r>
        <w:rPr>
          <w:color w:val="000000"/>
        </w:rPr>
        <w:t xml:space="preserve">Merkmale im Einzelnen Gegenstand der Fortbestehensprognose sein müssen. Der Bekl. konnte nach den Feststellungen und Schlussfolgerungen des Sachverständigen und der Zeugenaussage des Bankbetriebswirts </w:t>
      </w:r>
      <w:r>
        <w:rPr>
          <w:rStyle w:val="emitalicon"/>
          <w:color w:val="000000"/>
        </w:rPr>
        <w:t>M</w:t>
      </w:r>
      <w:r>
        <w:rPr>
          <w:color w:val="000000"/>
        </w:rPr>
        <w:t xml:space="preserve"> vertretbar davon ausgehen, der Gesellschaft werde die Kaufpreisfinanzierung gelingen. Bei der gebotenen wertenden Sicht ex ante durfte der Bekl. selbst unter Zugrundelegung der Beweisbehauptungen der Kl. annehmen, das Geschäft realisieren zu können (vgl. </w:t>
      </w:r>
      <w:r>
        <w:rPr>
          <w:rStyle w:val="emitalicon"/>
          <w:color w:val="000000"/>
        </w:rPr>
        <w:t>OLG Düsseldorf</w:t>
      </w:r>
      <w:r>
        <w:rPr>
          <w:color w:val="000000"/>
        </w:rPr>
        <w:t xml:space="preserve">, </w:t>
      </w:r>
      <w:r>
        <w:rPr>
          <w:rStyle w:val="any"/>
          <w:color w:val="000000"/>
        </w:rPr>
        <w:t xml:space="preserve">NZG 1999, </w:t>
      </w:r>
      <w:hyperlink r:id="rId50" w:history="1">
        <w:r>
          <w:rPr>
            <w:rStyle w:val="bocontentwrapperbocenteranotbeck-btn"/>
            <w:color w:val="000000"/>
            <w:u w:val="single" w:color="000000"/>
          </w:rPr>
          <w:t>944</w:t>
        </w:r>
      </w:hyperlink>
      <w:r>
        <w:rPr>
          <w:color w:val="000000"/>
        </w:rPr>
        <w:t xml:space="preserve"> = </w:t>
      </w:r>
      <w:r>
        <w:rPr>
          <w:rStyle w:val="any"/>
          <w:color w:val="000000"/>
        </w:rPr>
        <w:t xml:space="preserve">GmbHR 1999, </w:t>
      </w:r>
      <w:hyperlink r:id="rId51" w:history="1">
        <w:r>
          <w:rPr>
            <w:rStyle w:val="bocontentwrapperbocenteranotbeck-btn"/>
            <w:color w:val="000000"/>
            <w:u w:val="single" w:color="000000"/>
          </w:rPr>
          <w:t>1202</w:t>
        </w:r>
      </w:hyperlink>
      <w:r>
        <w:rPr>
          <w:color w:val="000000"/>
        </w:rPr>
        <w:t xml:space="preserve"> = </w:t>
      </w:r>
      <w:r>
        <w:rPr>
          <w:rStyle w:val="any"/>
          <w:color w:val="000000"/>
        </w:rPr>
        <w:t xml:space="preserve">KTS 2000, </w:t>
      </w:r>
      <w:hyperlink r:id="rId52" w:history="1">
        <w:r>
          <w:rPr>
            <w:rStyle w:val="bocontentwrapperbocenteranotbeck-btn"/>
            <w:color w:val="000000"/>
            <w:u w:val="single" w:color="000000"/>
          </w:rPr>
          <w:t>265</w:t>
        </w:r>
      </w:hyperlink>
      <w:r>
        <w:rPr>
          <w:color w:val="000000"/>
        </w:rPr>
        <w:t xml:space="preserve">; rechtskräftig durch Nichtannahme der Revision, vgl. </w:t>
      </w:r>
      <w:r>
        <w:rPr>
          <w:rStyle w:val="any"/>
          <w:color w:val="000000"/>
        </w:rPr>
        <w:t xml:space="preserve">NZG 2001, </w:t>
      </w:r>
      <w:hyperlink r:id="rId53" w:history="1">
        <w:r>
          <w:rPr>
            <w:rStyle w:val="bocontentwrapperbocenteranotbeck-btn"/>
            <w:color w:val="000000"/>
            <w:u w:val="single" w:color="000000"/>
          </w:rPr>
          <w:t>48</w:t>
        </w:r>
      </w:hyperlink>
      <w:r>
        <w:rPr>
          <w:color w:val="000000"/>
        </w:rPr>
        <w:t xml:space="preserve">; </w:t>
      </w:r>
      <w:r>
        <w:rPr>
          <w:rStyle w:val="emitalicon"/>
          <w:color w:val="000000"/>
        </w:rPr>
        <w:t xml:space="preserve">OLG Naumburg, </w:t>
      </w:r>
      <w:r>
        <w:rPr>
          <w:rStyle w:val="any"/>
          <w:color w:val="000000"/>
        </w:rPr>
        <w:t xml:space="preserve">NZG 2001, </w:t>
      </w:r>
      <w:hyperlink r:id="rId54" w:history="1">
        <w:r>
          <w:rPr>
            <w:rStyle w:val="bocontentwrapperbocenteranotbeck-btn"/>
            <w:color w:val="000000"/>
            <w:u w:val="single" w:color="000000"/>
          </w:rPr>
          <w:t>136</w:t>
        </w:r>
      </w:hyperlink>
      <w:r>
        <w:rPr>
          <w:color w:val="000000"/>
        </w:rPr>
        <w:t>).</w:t>
      </w:r>
    </w:p>
    <w:p w14:paraId="47F61A65" w14:textId="77777777" w:rsidR="008E63F9" w:rsidRDefault="00000000">
      <w:pPr>
        <w:pStyle w:val="divbocontentwrapperbocenterpParagraph"/>
        <w:spacing w:after="120" w:line="360" w:lineRule="auto"/>
        <w:ind w:right="150"/>
        <w:rPr>
          <w:color w:val="000000"/>
        </w:rPr>
      </w:pPr>
      <w:r>
        <w:rPr>
          <w:color w:val="000000"/>
        </w:rPr>
        <w:t xml:space="preserve">Die Berufung übersieht, dass der Bekl. bei der Fortbestehensprognose einen Beurteilungsspielraum hatte (vgl. </w:t>
      </w:r>
      <w:r>
        <w:rPr>
          <w:rStyle w:val="any"/>
          <w:color w:val="000000"/>
        </w:rPr>
        <w:t xml:space="preserve">BGHZ 126, </w:t>
      </w:r>
      <w:hyperlink r:id="rId55"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56"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57" w:history="1">
        <w:r>
          <w:rPr>
            <w:rStyle w:val="bocontentwrapperbocenteranotbeck-btn"/>
            <w:color w:val="000000"/>
            <w:u w:val="single" w:color="000000"/>
          </w:rPr>
          <w:t>639</w:t>
        </w:r>
      </w:hyperlink>
      <w:r>
        <w:rPr>
          <w:color w:val="000000"/>
        </w:rPr>
        <w:t>). Es kommt dabei nicht auf nachträgliche Erkenntnisse, sondern auf die damalige Sicht eines ordentlichen Geschäftsführers an. Danach war die Entscheidung des Bekl. vertretbar.</w:t>
      </w:r>
    </w:p>
    <w:p w14:paraId="475F7041" w14:textId="77777777" w:rsidR="008E63F9" w:rsidRDefault="00000000">
      <w:pPr>
        <w:pStyle w:val="divbocontentwrapperbocenterpParagraph"/>
        <w:spacing w:after="120" w:line="360" w:lineRule="auto"/>
        <w:ind w:right="150"/>
        <w:rPr>
          <w:color w:val="000000"/>
        </w:rPr>
      </w:pPr>
      <w:r>
        <w:rPr>
          <w:color w:val="000000"/>
        </w:rPr>
        <w:t>Dass die Gesellschaft sich bereits im Oktober 1997 in einer Krise befand, die eine Beratung durch Wirtschaftsprüfer oder Rechtsanwälte erforderlich machte, um ein schuldhaftes Zögern mit dem Konkursantrag und damit eine persönliche Haftung des Bekl. auszuschließen, zeigt die Berufung nicht auf. Die Zeitdauer von fast zwei Jahren bis zum Insolvenzantrag, insbesondere jedoch die vom Sachverständigen mitgeteilten Geschäftszahlen des Jahres 1997 sprechen dagegen.</w:t>
      </w:r>
    </w:p>
    <w:p w14:paraId="3362461B" w14:textId="77777777" w:rsidR="008E63F9" w:rsidRDefault="00000000">
      <w:pPr>
        <w:pStyle w:val="divbocontentwrapperbocenterpParagraph"/>
        <w:spacing w:after="120" w:line="360" w:lineRule="auto"/>
        <w:ind w:right="150"/>
        <w:rPr>
          <w:color w:val="000000"/>
        </w:rPr>
      </w:pPr>
      <w:r>
        <w:rPr>
          <w:color w:val="000000"/>
        </w:rPr>
        <w:t>c) Für eine vorsätzliche sittenwidrige Schädigung (</w:t>
      </w:r>
      <w:r>
        <w:rPr>
          <w:rStyle w:val="any"/>
          <w:color w:val="000000"/>
        </w:rPr>
        <w:t xml:space="preserve">§ </w:t>
      </w:r>
      <w:hyperlink r:id="rId58" w:history="1">
        <w:r>
          <w:rPr>
            <w:rStyle w:val="bocontentwrapperbocenteranotbeck-btn"/>
            <w:color w:val="000000"/>
            <w:u w:val="single" w:color="000000"/>
          </w:rPr>
          <w:t>826</w:t>
        </w:r>
      </w:hyperlink>
      <w:r>
        <w:rPr>
          <w:rStyle w:val="any"/>
          <w:color w:val="000000"/>
        </w:rPr>
        <w:t xml:space="preserve"> BGB</w:t>
      </w:r>
      <w:r>
        <w:rPr>
          <w:color w:val="000000"/>
        </w:rPr>
        <w:t>) der Kl. fehlt es an zureichenden Anhaltspunkten. Der</w:t>
      </w:r>
      <w:r>
        <w:rPr>
          <w:rStyle w:val="emitalicon"/>
          <w:color w:val="000000"/>
        </w:rPr>
        <w:t xml:space="preserve"> Senat </w:t>
      </w:r>
      <w:r>
        <w:rPr>
          <w:color w:val="000000"/>
        </w:rPr>
        <w:t xml:space="preserve">ist überzeugt, dass der Bekl. von der Realisierbarkeit, insbesondere der Finanzierung des Kaufvertrags ausging. Der zwei Jahre später offensichtliche Insolvenzgrund war beim Abschluss des Kaufvertrags im Oktober 1997 noch nicht absehbar (vgl. </w:t>
      </w:r>
      <w:r>
        <w:rPr>
          <w:rStyle w:val="any"/>
          <w:color w:val="000000"/>
        </w:rPr>
        <w:t xml:space="preserve">BAGE 89, </w:t>
      </w:r>
      <w:hyperlink r:id="rId59" w:history="1">
        <w:r>
          <w:rPr>
            <w:rStyle w:val="bocontentwrapperbocenteranotbeck-btn"/>
            <w:color w:val="000000"/>
            <w:u w:val="single" w:color="000000"/>
          </w:rPr>
          <w:t>349</w:t>
        </w:r>
      </w:hyperlink>
      <w:r>
        <w:rPr>
          <w:color w:val="000000"/>
        </w:rPr>
        <w:t xml:space="preserve"> = </w:t>
      </w:r>
      <w:r>
        <w:rPr>
          <w:rStyle w:val="any"/>
          <w:color w:val="000000"/>
        </w:rPr>
        <w:t xml:space="preserve">NJW 1999, </w:t>
      </w:r>
      <w:hyperlink r:id="rId60" w:history="1">
        <w:r>
          <w:rPr>
            <w:rStyle w:val="bocontentwrapperbocenteranotbeck-btn"/>
            <w:color w:val="000000"/>
            <w:u w:val="single" w:color="000000"/>
          </w:rPr>
          <w:t>740</w:t>
        </w:r>
      </w:hyperlink>
      <w:r>
        <w:rPr>
          <w:color w:val="000000"/>
        </w:rPr>
        <w:t xml:space="preserve"> = </w:t>
      </w:r>
      <w:r>
        <w:rPr>
          <w:rStyle w:val="any"/>
          <w:color w:val="000000"/>
        </w:rPr>
        <w:t xml:space="preserve">NZI 1999, </w:t>
      </w:r>
      <w:hyperlink r:id="rId61" w:history="1">
        <w:r>
          <w:rPr>
            <w:rStyle w:val="bocontentwrapperbocenteranotbeck-btn"/>
            <w:color w:val="000000"/>
            <w:u w:val="single" w:color="000000"/>
          </w:rPr>
          <w:t>34</w:t>
        </w:r>
      </w:hyperlink>
      <w:r>
        <w:rPr>
          <w:color w:val="000000"/>
        </w:rPr>
        <w:t xml:space="preserve"> = </w:t>
      </w:r>
      <w:r>
        <w:rPr>
          <w:rStyle w:val="any"/>
          <w:color w:val="000000"/>
        </w:rPr>
        <w:t xml:space="preserve">NZA 1999, </w:t>
      </w:r>
      <w:hyperlink r:id="rId62" w:history="1">
        <w:r>
          <w:rPr>
            <w:rStyle w:val="bocontentwrapperbocenteranotbeck-btn"/>
            <w:color w:val="000000"/>
            <w:u w:val="single" w:color="000000"/>
          </w:rPr>
          <w:t>39</w:t>
        </w:r>
      </w:hyperlink>
      <w:r>
        <w:rPr>
          <w:color w:val="000000"/>
        </w:rPr>
        <w:t xml:space="preserve"> = </w:t>
      </w:r>
      <w:r>
        <w:rPr>
          <w:rStyle w:val="any"/>
          <w:color w:val="000000"/>
        </w:rPr>
        <w:t xml:space="preserve">NZG 1999, </w:t>
      </w:r>
      <w:hyperlink r:id="rId63" w:history="1">
        <w:r>
          <w:rPr>
            <w:rStyle w:val="bocontentwrapperbocenteranotbeck-btn"/>
            <w:color w:val="000000"/>
            <w:u w:val="single" w:color="000000"/>
          </w:rPr>
          <w:t>116</w:t>
        </w:r>
      </w:hyperlink>
      <w:r>
        <w:rPr>
          <w:color w:val="000000"/>
        </w:rPr>
        <w:t xml:space="preserve"> = </w:t>
      </w:r>
      <w:r>
        <w:rPr>
          <w:rStyle w:val="any"/>
          <w:color w:val="000000"/>
        </w:rPr>
        <w:t xml:space="preserve">AP Nr. </w:t>
      </w:r>
      <w:hyperlink r:id="rId64" w:history="1">
        <w:r>
          <w:rPr>
            <w:rStyle w:val="bocontentwrapperbocenteranotbeck-btn"/>
            <w:color w:val="000000"/>
            <w:u w:val="single" w:color="000000"/>
          </w:rPr>
          <w:t>21</w:t>
        </w:r>
      </w:hyperlink>
      <w:r>
        <w:rPr>
          <w:rStyle w:val="any"/>
          <w:color w:val="000000"/>
        </w:rPr>
        <w:t xml:space="preserve"> zu § 826 BGB</w:t>
      </w:r>
      <w:r>
        <w:rPr>
          <w:color w:val="000000"/>
        </w:rPr>
        <w:t xml:space="preserve"> = </w:t>
      </w:r>
      <w:r>
        <w:rPr>
          <w:rStyle w:val="any"/>
          <w:color w:val="000000"/>
        </w:rPr>
        <w:t xml:space="preserve">GmbHR 1998, </w:t>
      </w:r>
      <w:hyperlink r:id="rId65" w:history="1">
        <w:r>
          <w:rPr>
            <w:rStyle w:val="bocontentwrapperbocenteranotbeck-btn"/>
            <w:color w:val="000000"/>
            <w:u w:val="single" w:color="000000"/>
          </w:rPr>
          <w:t>1221</w:t>
        </w:r>
      </w:hyperlink>
      <w:r>
        <w:rPr>
          <w:color w:val="000000"/>
        </w:rPr>
        <w:t xml:space="preserve"> = </w:t>
      </w:r>
      <w:r>
        <w:rPr>
          <w:rStyle w:val="any"/>
          <w:color w:val="000000"/>
        </w:rPr>
        <w:t xml:space="preserve">DB 1998, </w:t>
      </w:r>
      <w:hyperlink r:id="rId66" w:history="1">
        <w:r>
          <w:rPr>
            <w:rStyle w:val="bocontentwrapperbocenteranotbeck-btn"/>
            <w:color w:val="000000"/>
            <w:u w:val="single" w:color="000000"/>
          </w:rPr>
          <w:t>2532</w:t>
        </w:r>
      </w:hyperlink>
      <w:r>
        <w:rPr>
          <w:color w:val="000000"/>
        </w:rPr>
        <w:t xml:space="preserve"> = DZWir 1999, 19 = </w:t>
      </w:r>
      <w:r>
        <w:rPr>
          <w:rStyle w:val="any"/>
          <w:color w:val="000000"/>
        </w:rPr>
        <w:t xml:space="preserve">ZIP 1999, </w:t>
      </w:r>
      <w:hyperlink r:id="rId67" w:history="1">
        <w:r>
          <w:rPr>
            <w:rStyle w:val="bocontentwrapperbocenteranotbeck-btn"/>
            <w:color w:val="000000"/>
            <w:u w:val="single" w:color="000000"/>
          </w:rPr>
          <w:t>24</w:t>
        </w:r>
      </w:hyperlink>
      <w:r>
        <w:rPr>
          <w:color w:val="000000"/>
        </w:rPr>
        <w:t xml:space="preserve"> = </w:t>
      </w:r>
      <w:r>
        <w:rPr>
          <w:rStyle w:val="any"/>
          <w:color w:val="000000"/>
        </w:rPr>
        <w:t xml:space="preserve">BB 1999, </w:t>
      </w:r>
      <w:hyperlink r:id="rId68" w:history="1">
        <w:r>
          <w:rPr>
            <w:rStyle w:val="bocontentwrapperbocenteranotbeck-btn"/>
            <w:color w:val="000000"/>
            <w:u w:val="single" w:color="000000"/>
          </w:rPr>
          <w:t>1383</w:t>
        </w:r>
      </w:hyperlink>
      <w:r>
        <w:rPr>
          <w:color w:val="000000"/>
        </w:rPr>
        <w:t>).</w:t>
      </w:r>
    </w:p>
    <w:p w14:paraId="5C284124" w14:textId="77777777" w:rsidR="008E63F9" w:rsidRDefault="00000000">
      <w:pPr>
        <w:pStyle w:val="divbocontentwrapperbocenterpParagraph"/>
        <w:spacing w:after="120" w:line="360" w:lineRule="auto"/>
        <w:ind w:right="150"/>
        <w:rPr>
          <w:color w:val="000000"/>
        </w:rPr>
      </w:pPr>
      <w:r>
        <w:rPr>
          <w:color w:val="000000"/>
        </w:rPr>
        <w:t xml:space="preserve">d) Eine letztlich in Betracht kommende Haftung aus culpa in contrahendo hat das </w:t>
      </w:r>
      <w:r>
        <w:rPr>
          <w:rStyle w:val="emitalicon"/>
          <w:color w:val="000000"/>
        </w:rPr>
        <w:t>LG</w:t>
      </w:r>
      <w:r>
        <w:rPr>
          <w:color w:val="000000"/>
        </w:rPr>
        <w:t xml:space="preserve"> zu Recht verneint. Außer wegen der Verfolgung wirtschaftlicher Eigeninteressen kann der Vertreter für vorvertragliches Verschulden nach der Rechtsprechung des </w:t>
      </w:r>
      <w:r>
        <w:rPr>
          <w:rStyle w:val="emitalicon"/>
          <w:color w:val="000000"/>
        </w:rPr>
        <w:t>BGH</w:t>
      </w:r>
      <w:r>
        <w:rPr>
          <w:color w:val="000000"/>
        </w:rPr>
        <w:t xml:space="preserve"> auch dann haften, wenn er besonderes persönliches Vertrauen in Anspruch genommen und dadurch </w:t>
      </w:r>
      <w:r>
        <w:rPr>
          <w:color w:val="000000"/>
        </w:rPr>
        <w:lastRenderedPageBreak/>
        <w:t xml:space="preserve">die Vertragsverhandlungen beeinflusst hat (vgl. </w:t>
      </w:r>
      <w:r>
        <w:rPr>
          <w:rStyle w:val="emitalicon"/>
          <w:color w:val="000000"/>
        </w:rPr>
        <w:t>BGH,</w:t>
      </w:r>
      <w:r>
        <w:rPr>
          <w:color w:val="000000"/>
        </w:rPr>
        <w:t xml:space="preserve"> </w:t>
      </w:r>
      <w:r>
        <w:rPr>
          <w:rStyle w:val="any"/>
          <w:color w:val="000000"/>
        </w:rPr>
        <w:t xml:space="preserve">NJW-RR 1993, </w:t>
      </w:r>
      <w:hyperlink r:id="rId69" w:history="1">
        <w:r>
          <w:rPr>
            <w:rStyle w:val="bocontentwrapperbocenteranotbeck-btn"/>
            <w:color w:val="000000"/>
            <w:u w:val="single" w:color="000000"/>
          </w:rPr>
          <w:t>342</w:t>
        </w:r>
      </w:hyperlink>
      <w:r>
        <w:rPr>
          <w:color w:val="000000"/>
        </w:rPr>
        <w:t xml:space="preserve"> = LM § 276 [Fa] BGB Nr. 131; </w:t>
      </w:r>
      <w:r>
        <w:rPr>
          <w:rStyle w:val="any"/>
          <w:color w:val="000000"/>
        </w:rPr>
        <w:t xml:space="preserve">BGHZ 126, </w:t>
      </w:r>
      <w:hyperlink r:id="rId70"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71"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72" w:history="1">
        <w:r>
          <w:rPr>
            <w:rStyle w:val="bocontentwrapperbocenteranotbeck-btn"/>
            <w:color w:val="000000"/>
            <w:u w:val="single" w:color="000000"/>
          </w:rPr>
          <w:t>639</w:t>
        </w:r>
      </w:hyperlink>
      <w:r>
        <w:rPr>
          <w:color w:val="000000"/>
        </w:rPr>
        <w:t xml:space="preserve">). Der Verhandelnde muss durch sein Verhalten Einfluss auf die Entscheidung des anderen Teils nehmen. Dazu genügt es nicht, dass der Vertragspartner dem handelnden Vertreter das normale Verhandlungsvertrauen entgegenbringt; der Vertreter muss vielmehr darüber hinaus eine zusätzliche, von ihm persönlich ausgehende Gewähr für die Seriosität und die Erfüllung des Geschäfts bieten (vgl. </w:t>
      </w:r>
      <w:r>
        <w:rPr>
          <w:rStyle w:val="any"/>
          <w:color w:val="000000"/>
        </w:rPr>
        <w:t xml:space="preserve">BGHZ 88, </w:t>
      </w:r>
      <w:hyperlink r:id="rId73" w:history="1">
        <w:r>
          <w:rPr>
            <w:rStyle w:val="bocontentwrapperbocenteranotbeck-btn"/>
            <w:color w:val="000000"/>
            <w:u w:val="single" w:color="000000"/>
          </w:rPr>
          <w:t>67</w:t>
        </w:r>
      </w:hyperlink>
      <w:r>
        <w:rPr>
          <w:rStyle w:val="any"/>
          <w:color w:val="000000"/>
        </w:rPr>
        <w:t xml:space="preserve"> [</w:t>
      </w:r>
      <w:hyperlink r:id="rId74" w:history="1">
        <w:r>
          <w:rPr>
            <w:rStyle w:val="bocontentwrapperbocenteranotbeck-btn"/>
            <w:color w:val="000000"/>
            <w:u w:val="single" w:color="000000"/>
          </w:rPr>
          <w:t>69</w:t>
        </w:r>
      </w:hyperlink>
      <w:r>
        <w:rPr>
          <w:color w:val="000000"/>
        </w:rPr>
        <w:t xml:space="preserve">] = </w:t>
      </w:r>
      <w:r>
        <w:rPr>
          <w:rStyle w:val="any"/>
          <w:color w:val="000000"/>
        </w:rPr>
        <w:t xml:space="preserve">NJW 1983, </w:t>
      </w:r>
      <w:hyperlink r:id="rId75" w:history="1">
        <w:r>
          <w:rPr>
            <w:rStyle w:val="bocontentwrapperbocenteranotbeck-btn"/>
            <w:color w:val="000000"/>
            <w:u w:val="single" w:color="000000"/>
          </w:rPr>
          <w:t>2696</w:t>
        </w:r>
      </w:hyperlink>
      <w:r>
        <w:rPr>
          <w:color w:val="000000"/>
        </w:rPr>
        <w:t xml:space="preserve">; </w:t>
      </w:r>
      <w:r>
        <w:rPr>
          <w:rStyle w:val="emitalicon"/>
          <w:color w:val="000000"/>
        </w:rPr>
        <w:t xml:space="preserve">BGH, </w:t>
      </w:r>
      <w:r>
        <w:rPr>
          <w:rStyle w:val="any"/>
          <w:color w:val="000000"/>
        </w:rPr>
        <w:t xml:space="preserve">NJW-RR 1993, </w:t>
      </w:r>
      <w:hyperlink r:id="rId76" w:history="1">
        <w:r>
          <w:rPr>
            <w:rStyle w:val="bocontentwrapperbocenteranotbeck-btn"/>
            <w:color w:val="000000"/>
            <w:u w:val="single" w:color="000000"/>
          </w:rPr>
          <w:t>342</w:t>
        </w:r>
      </w:hyperlink>
      <w:r>
        <w:rPr>
          <w:color w:val="000000"/>
        </w:rPr>
        <w:t xml:space="preserve"> = LM § 276 [Fa] BGB Nr. 131; </w:t>
      </w:r>
      <w:r>
        <w:rPr>
          <w:rStyle w:val="emitalicon"/>
          <w:color w:val="000000"/>
        </w:rPr>
        <w:t xml:space="preserve">Brandes, </w:t>
      </w:r>
      <w:r>
        <w:rPr>
          <w:color w:val="000000"/>
        </w:rPr>
        <w:t>WM Sonderbeil. 3/1992, 20).</w:t>
      </w:r>
    </w:p>
    <w:p w14:paraId="0F57D8EC" w14:textId="77777777" w:rsidR="008E63F9" w:rsidRDefault="00000000">
      <w:pPr>
        <w:pStyle w:val="divbocontentwrapperbocenterpParagraph"/>
        <w:spacing w:after="120" w:line="360" w:lineRule="auto"/>
        <w:ind w:right="150"/>
        <w:rPr>
          <w:color w:val="000000"/>
        </w:rPr>
      </w:pPr>
      <w:r>
        <w:rPr>
          <w:color w:val="000000"/>
        </w:rPr>
        <w:t>Die Rechtsprechung des erkennenden</w:t>
      </w:r>
      <w:r>
        <w:rPr>
          <w:rStyle w:val="emitalicon"/>
          <w:color w:val="000000"/>
        </w:rPr>
        <w:t xml:space="preserve"> Senats </w:t>
      </w:r>
      <w:r>
        <w:rPr>
          <w:color w:val="000000"/>
        </w:rPr>
        <w:t xml:space="preserve">geht dahin, dass der Vertreter haftet, wenn er über das normale Verhandlungsvertrauen hinaus ein von ihm selbst ausgehendes Vertrauen auf die Vollständigkeit und Richtigkeit seiner Erklärungen hervorruft. Insofern müssen sich seine Erklärungen „im Vorfeld einer Garantie” bewegen (vgl. </w:t>
      </w:r>
      <w:r>
        <w:rPr>
          <w:rStyle w:val="emitalicon"/>
          <w:color w:val="000000"/>
        </w:rPr>
        <w:t>Senat,</w:t>
      </w:r>
      <w:r>
        <w:rPr>
          <w:color w:val="000000"/>
        </w:rPr>
        <w:t xml:space="preserve"> </w:t>
      </w:r>
      <w:r>
        <w:rPr>
          <w:rStyle w:val="any"/>
          <w:color w:val="000000"/>
        </w:rPr>
        <w:t xml:space="preserve">NJOZ 2002, </w:t>
      </w:r>
      <w:hyperlink r:id="rId77" w:history="1">
        <w:r>
          <w:rPr>
            <w:rStyle w:val="bocontentwrapperbocenteranotbeck-btn"/>
            <w:color w:val="000000"/>
            <w:u w:val="single" w:color="000000"/>
          </w:rPr>
          <w:t>957</w:t>
        </w:r>
      </w:hyperlink>
      <w:r>
        <w:rPr>
          <w:color w:val="000000"/>
        </w:rPr>
        <w:t xml:space="preserve"> = </w:t>
      </w:r>
      <w:r>
        <w:rPr>
          <w:rStyle w:val="any"/>
          <w:color w:val="000000"/>
        </w:rPr>
        <w:t xml:space="preserve">WM 2003, </w:t>
      </w:r>
      <w:hyperlink r:id="rId78" w:history="1">
        <w:r>
          <w:rPr>
            <w:rStyle w:val="bocontentwrapperbocenteranotbeck-btn"/>
            <w:color w:val="000000"/>
            <w:u w:val="single" w:color="000000"/>
          </w:rPr>
          <w:t>186</w:t>
        </w:r>
      </w:hyperlink>
      <w:r>
        <w:rPr>
          <w:color w:val="000000"/>
        </w:rPr>
        <w:t>). Davon kann hier keine Rede sein.</w:t>
      </w:r>
    </w:p>
    <w:p w14:paraId="38299D37" w14:textId="77777777" w:rsidR="008E63F9" w:rsidRDefault="00000000">
      <w:pPr>
        <w:pStyle w:val="divbocontentwrapperbocenterpParagraph"/>
        <w:spacing w:after="120" w:line="360" w:lineRule="auto"/>
        <w:ind w:right="150"/>
        <w:rPr>
          <w:color w:val="000000"/>
        </w:rPr>
      </w:pPr>
      <w:r>
        <w:rPr>
          <w:color w:val="000000"/>
        </w:rPr>
        <w:t>3. Die Berufung war nach alledem zurückzuweisen.</w:t>
      </w:r>
    </w:p>
    <w:p w14:paraId="2F812BC3" w14:textId="77777777" w:rsidR="008E63F9" w:rsidRDefault="00000000">
      <w:pPr>
        <w:pStyle w:val="divbocontentwrapperbocenterpParagraph"/>
        <w:spacing w:after="120" w:line="360" w:lineRule="auto"/>
        <w:ind w:right="150"/>
        <w:rPr>
          <w:color w:val="000000"/>
        </w:rPr>
      </w:pPr>
      <w:r>
        <w:rPr>
          <w:color w:val="000000"/>
        </w:rPr>
        <w:t>(Mitgeteilt von Richter am OLG E. Weller, Koblenz)</w:t>
      </w:r>
      <w:bookmarkStart w:id="2" w:name="Y-300-Z-NJW-RR-B-2003-S-1198-N-1-NAME-AN"/>
      <w:bookmarkEnd w:id="2"/>
    </w:p>
    <w:p w14:paraId="09789715" w14:textId="77777777" w:rsidR="008E63F9" w:rsidRDefault="00000000">
      <w:pPr>
        <w:pStyle w:val="printcontenth2"/>
        <w:pBdr>
          <w:top w:val="single" w:sz="6" w:space="0" w:color="808080"/>
        </w:pBdr>
        <w:spacing w:before="300" w:line="360" w:lineRule="auto"/>
        <w:ind w:right="150"/>
        <w:outlineLvl w:val="1"/>
        <w:rPr>
          <w:b/>
          <w:bCs/>
        </w:rPr>
      </w:pPr>
      <w:r>
        <w:rPr>
          <w:b/>
          <w:bCs/>
        </w:rPr>
        <w:t>Anm. d. Schriftltg.:</w:t>
      </w:r>
    </w:p>
    <w:p w14:paraId="7248BFCA" w14:textId="77777777" w:rsidR="008E63F9"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zitierten Entscheidung </w:t>
      </w:r>
      <w:r>
        <w:rPr>
          <w:rStyle w:val="any"/>
          <w:color w:val="000000"/>
        </w:rPr>
        <w:t xml:space="preserve">BGHZ 126, </w:t>
      </w:r>
      <w:hyperlink r:id="rId79"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80" w:history="1">
        <w:r>
          <w:rPr>
            <w:rStyle w:val="bocontentwrapperbocenteranotbeck-btn"/>
            <w:color w:val="000000"/>
            <w:u w:val="single" w:color="000000"/>
          </w:rPr>
          <w:t>2220</w:t>
        </w:r>
      </w:hyperlink>
      <w:r>
        <w:rPr>
          <w:color w:val="000000"/>
        </w:rPr>
        <w:t xml:space="preserve">, die Anm. von </w:t>
      </w:r>
      <w:r>
        <w:rPr>
          <w:rStyle w:val="emitalicon"/>
          <w:color w:val="000000"/>
        </w:rPr>
        <w:t xml:space="preserve">Heidenhain, </w:t>
      </w:r>
      <w:r>
        <w:rPr>
          <w:color w:val="000000"/>
        </w:rPr>
        <w:t xml:space="preserve">LM H. 10/1994 § 276 (Fa) BGB Nr. 135, und </w:t>
      </w:r>
      <w:r>
        <w:rPr>
          <w:rStyle w:val="emitalicon"/>
          <w:color w:val="000000"/>
        </w:rPr>
        <w:t xml:space="preserve">Jasper, </w:t>
      </w:r>
      <w:r>
        <w:rPr>
          <w:rStyle w:val="any"/>
          <w:color w:val="000000"/>
        </w:rPr>
        <w:t xml:space="preserve">WiB 1994, </w:t>
      </w:r>
      <w:hyperlink r:id="rId81" w:history="1">
        <w:r>
          <w:rPr>
            <w:rStyle w:val="bocontentwrapperbocenteranotbeck-btn"/>
            <w:color w:val="000000"/>
            <w:u w:val="single" w:color="000000"/>
          </w:rPr>
          <w:t>1103</w:t>
        </w:r>
      </w:hyperlink>
      <w:r>
        <w:rPr>
          <w:color w:val="000000"/>
        </w:rPr>
        <w:t xml:space="preserve">. S. zur Fortbestehensprognose bei einer Vorbelastungsbilanz im Ramen der Unterbilanzhaftung </w:t>
      </w:r>
      <w:r>
        <w:rPr>
          <w:rStyle w:val="emitalicon"/>
          <w:color w:val="000000"/>
        </w:rPr>
        <w:t>BGH</w:t>
      </w:r>
      <w:r>
        <w:rPr>
          <w:color w:val="000000"/>
        </w:rPr>
        <w:t xml:space="preserve">, </w:t>
      </w:r>
      <w:r>
        <w:rPr>
          <w:rStyle w:val="any"/>
          <w:color w:val="000000"/>
        </w:rPr>
        <w:t xml:space="preserve">NJW 1998, </w:t>
      </w:r>
      <w:hyperlink r:id="rId82" w:history="1">
        <w:r>
          <w:rPr>
            <w:rStyle w:val="bocontentwrapperbocenteranotbeck-btn"/>
            <w:color w:val="000000"/>
            <w:u w:val="single" w:color="000000"/>
          </w:rPr>
          <w:t>233</w:t>
        </w:r>
      </w:hyperlink>
      <w:r>
        <w:rPr>
          <w:color w:val="000000"/>
        </w:rPr>
        <w:t xml:space="preserve"> = </w:t>
      </w:r>
      <w:r>
        <w:rPr>
          <w:rStyle w:val="any"/>
          <w:color w:val="000000"/>
        </w:rPr>
        <w:t xml:space="preserve">NZG 1998, </w:t>
      </w:r>
      <w:hyperlink r:id="rId83" w:history="1">
        <w:r>
          <w:rPr>
            <w:rStyle w:val="bocontentwrapperbocenteranotbeck-btn"/>
            <w:color w:val="000000"/>
            <w:u w:val="single" w:color="000000"/>
          </w:rPr>
          <w:t>102</w:t>
        </w:r>
      </w:hyperlink>
      <w:r>
        <w:rPr>
          <w:color w:val="000000"/>
        </w:rPr>
        <w:t>.</w:t>
      </w:r>
    </w:p>
    <w:p w14:paraId="6BF2AD4E" w14:textId="77777777" w:rsidR="008E63F9" w:rsidRDefault="00000000">
      <w:pPr>
        <w:pStyle w:val="printcontenth3"/>
        <w:spacing w:line="360" w:lineRule="auto"/>
        <w:ind w:left="150" w:right="150"/>
        <w:outlineLvl w:val="2"/>
        <w:rPr>
          <w:b/>
          <w:bCs/>
        </w:rPr>
      </w:pPr>
      <w:r>
        <w:rPr>
          <w:b/>
          <w:bCs/>
        </w:rPr>
        <w:t>Entscheidung zitiert in:</w:t>
      </w:r>
    </w:p>
    <w:p w14:paraId="57EF6C04" w14:textId="77777777" w:rsidR="008E63F9" w:rsidRDefault="00000000">
      <w:pPr>
        <w:pStyle w:val="printcontentdivnotlawversion"/>
        <w:spacing w:line="360" w:lineRule="auto"/>
        <w:ind w:left="150" w:right="150"/>
      </w:pPr>
      <w:r>
        <w:t>Büchern | Noack/Servatius/Haas, GmbHG | Hopt, Handelsgesetzbuch, 45. A. 2026 | Koch, Aktiengesetz, 20. A. 2026 | IDW Sanierung und Insolvenz, 2. A. 2022 | IDW Verlautbarungen, Werkstand: IDW Life 6 / 2026 | Michalski GmbHG, 4. A. 2023 | Münchener Kommentar HGB, 5. A. 2024 | Rechtsprechung | Verwaltungsvorschriften | Aufsätzen | Meldungen</w:t>
      </w:r>
    </w:p>
    <w:p w14:paraId="170FB7D6" w14:textId="77777777" w:rsidR="008E63F9" w:rsidRDefault="00000000">
      <w:pPr>
        <w:pStyle w:val="printcontenth3"/>
        <w:spacing w:line="360" w:lineRule="auto"/>
        <w:ind w:left="150" w:right="150"/>
        <w:outlineLvl w:val="2"/>
        <w:rPr>
          <w:b/>
          <w:bCs/>
        </w:rPr>
      </w:pPr>
      <w:r>
        <w:rPr>
          <w:b/>
          <w:bCs/>
        </w:rPr>
        <w:t>Parallelfundstellen:</w:t>
      </w:r>
    </w:p>
    <w:p w14:paraId="510C532D" w14:textId="77777777" w:rsidR="008E63F9" w:rsidRDefault="00000000">
      <w:pPr>
        <w:pStyle w:val="printcontentdivnotlawversion"/>
        <w:spacing w:line="360" w:lineRule="auto"/>
        <w:ind w:left="150" w:right="150"/>
      </w:pPr>
      <w:r>
        <w:t>Entscheidungen | NZI 2003, 463 | NZG 2003, 776 | BeckRS 2003, 2523 | FHZivR 49 Nr. 5334 (Ls.) | LSK 2003, 180378 (Ls.) | Weitere Fundstellen | BeckRS 9998, 18923 | DB 2003, 712 | GmbHR 2003, 419 | ZIP 2003, 571</w:t>
      </w:r>
    </w:p>
    <w:p w14:paraId="60DFB54B" w14:textId="4C7AA6C0" w:rsidR="008E63F9" w:rsidRDefault="008E63F9">
      <w:pPr>
        <w:pStyle w:val="tdm-long"/>
        <w:spacing w:before="225" w:after="2"/>
        <w:ind w:right="150"/>
        <w:rPr>
          <w:sz w:val="16"/>
          <w:szCs w:val="16"/>
        </w:rPr>
      </w:pPr>
    </w:p>
    <w:sectPr w:rsidR="008E63F9">
      <w:headerReference w:type="even" r:id="rId84"/>
      <w:headerReference w:type="default" r:id="rId85"/>
      <w:headerReference w:type="first" r:id="rId8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4CA4CC" w14:textId="77777777" w:rsidR="00473C0F" w:rsidRDefault="00473C0F">
      <w:r>
        <w:separator/>
      </w:r>
    </w:p>
  </w:endnote>
  <w:endnote w:type="continuationSeparator" w:id="0">
    <w:p w14:paraId="241D415A" w14:textId="77777777" w:rsidR="00473C0F" w:rsidRDefault="00473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FE414" w14:textId="77777777" w:rsidR="00473C0F" w:rsidRDefault="00473C0F">
      <w:r>
        <w:separator/>
      </w:r>
    </w:p>
  </w:footnote>
  <w:footnote w:type="continuationSeparator" w:id="0">
    <w:p w14:paraId="459E8848" w14:textId="77777777" w:rsidR="00473C0F" w:rsidRDefault="00473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6A23D" w14:textId="77777777" w:rsidR="00380412" w:rsidRDefault="0038041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2511A3" w14:textId="10548E39" w:rsidR="008E63F9" w:rsidRDefault="008E63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45A6A" w14:textId="77777777" w:rsidR="00380412" w:rsidRDefault="0038041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3F9"/>
    <w:rsid w:val="00380412"/>
    <w:rsid w:val="00473C0F"/>
    <w:rsid w:val="008E63F9"/>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36271"/>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380412"/>
    <w:pPr>
      <w:tabs>
        <w:tab w:val="center" w:pos="4536"/>
        <w:tab w:val="right" w:pos="9072"/>
      </w:tabs>
    </w:pPr>
  </w:style>
  <w:style w:type="character" w:customStyle="1" w:styleId="KopfzeileZchn">
    <w:name w:val="Kopfzeile Zchn"/>
    <w:basedOn w:val="Absatz-Standardschriftart"/>
    <w:link w:val="Kopfzeile"/>
    <w:uiPriority w:val="99"/>
    <w:rsid w:val="00380412"/>
    <w:rPr>
      <w:color w:val="141414"/>
      <w:sz w:val="22"/>
      <w:szCs w:val="22"/>
    </w:rPr>
  </w:style>
  <w:style w:type="paragraph" w:styleId="Fuzeile">
    <w:name w:val="footer"/>
    <w:basedOn w:val="Standard"/>
    <w:link w:val="FuzeileZchn"/>
    <w:uiPriority w:val="99"/>
    <w:unhideWhenUsed/>
    <w:rsid w:val="00380412"/>
    <w:pPr>
      <w:tabs>
        <w:tab w:val="center" w:pos="4536"/>
        <w:tab w:val="right" w:pos="9072"/>
      </w:tabs>
    </w:pPr>
  </w:style>
  <w:style w:type="character" w:customStyle="1" w:styleId="FuzeileZchn">
    <w:name w:val="Fußzeile Zchn"/>
    <w:basedOn w:val="Absatz-Standardschriftart"/>
    <w:link w:val="Fuzeile"/>
    <w:uiPriority w:val="99"/>
    <w:rsid w:val="0038041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GMBHG&amp;p=64&amp;x=I" TargetMode="External"/><Relationship Id="rId21" Type="http://schemas.openxmlformats.org/officeDocument/2006/relationships/hyperlink" Target="https://beck-online.beck.de/?typ=reference&amp;y=100&amp;g=GMBHG&amp;p=64" TargetMode="External"/><Relationship Id="rId42" Type="http://schemas.openxmlformats.org/officeDocument/2006/relationships/hyperlink" Target="https://beck-online.beck.de/?typ=reference&amp;y=300&amp;z=MDR&amp;b=1994&amp;s=781" TargetMode="External"/><Relationship Id="rId47" Type="http://schemas.openxmlformats.org/officeDocument/2006/relationships/hyperlink" Target="https://beck-online.beck.de/?typ=reference&amp;y=300&amp;z=DNOTZ&amp;b=1995&amp;s=455" TargetMode="External"/><Relationship Id="rId63" Type="http://schemas.openxmlformats.org/officeDocument/2006/relationships/hyperlink" Target="https://beck-online.beck.de/?typ=reference&amp;y=300&amp;z=NZG&amp;b=1999&amp;s=116" TargetMode="External"/><Relationship Id="rId68" Type="http://schemas.openxmlformats.org/officeDocument/2006/relationships/hyperlink" Target="https://beck-online.beck.de/?typ=reference&amp;y=300&amp;z=BB&amp;b=1999&amp;s=1383" TargetMode="External"/><Relationship Id="rId84" Type="http://schemas.openxmlformats.org/officeDocument/2006/relationships/header" Target="header1.xml"/><Relationship Id="rId16" Type="http://schemas.openxmlformats.org/officeDocument/2006/relationships/hyperlink" Target="https://beck-online.beck.de/?typ=reference&amp;y=100&amp;g=ZPO&amp;p=286" TargetMode="External"/><Relationship Id="rId11" Type="http://schemas.openxmlformats.org/officeDocument/2006/relationships/hyperlink" Target="https://beck-online.beck.de/?typ=reference&amp;y=100&amp;g=BGB&amp;p=249" TargetMode="External"/><Relationship Id="rId32" Type="http://schemas.openxmlformats.org/officeDocument/2006/relationships/hyperlink" Target="https://beck-online.beck.de/?typ=reference&amp;y=100&amp;g=INSO&amp;p=19&amp;x=II" TargetMode="External"/><Relationship Id="rId37" Type="http://schemas.openxmlformats.org/officeDocument/2006/relationships/hyperlink" Target="https://beck-online.beck.de/?typ=reference&amp;y=300&amp;z=BGHZ&amp;b=126&amp;s=181" TargetMode="External"/><Relationship Id="rId53" Type="http://schemas.openxmlformats.org/officeDocument/2006/relationships/hyperlink" Target="https://beck-online.beck.de/?typ=reference&amp;y=300&amp;z=NZG&amp;b=2001&amp;s=48" TargetMode="External"/><Relationship Id="rId58" Type="http://schemas.openxmlformats.org/officeDocument/2006/relationships/hyperlink" Target="https://beck-online.beck.de/?typ=reference&amp;y=100&amp;g=BGB&amp;p=826" TargetMode="External"/><Relationship Id="rId74" Type="http://schemas.openxmlformats.org/officeDocument/2006/relationships/hyperlink" Target="https://beck-online.beck.de/?typ=reference&amp;y=300&amp;z=BGHZ&amp;b=88&amp;s=69" TargetMode="External"/><Relationship Id="rId79" Type="http://schemas.openxmlformats.org/officeDocument/2006/relationships/hyperlink" Target="https://beck-online.beck.de/?typ=reference&amp;y=300&amp;z=BGHZ&amp;b=126&amp;s=181" TargetMode="External"/><Relationship Id="rId5" Type="http://schemas.openxmlformats.org/officeDocument/2006/relationships/endnotes" Target="endnotes.xml"/><Relationship Id="rId19" Type="http://schemas.openxmlformats.org/officeDocument/2006/relationships/hyperlink" Target="https://beck-online.beck.de/?typ=reference&amp;y=100&amp;g=BGB&amp;p=823&amp;x=II" TargetMode="External"/><Relationship Id="rId14" Type="http://schemas.openxmlformats.org/officeDocument/2006/relationships/hyperlink" Target="https://beck-online.beck.de/?typ=reference&amp;y=100&amp;g=GMBHG&amp;p=64" TargetMode="External"/><Relationship Id="rId22" Type="http://schemas.openxmlformats.org/officeDocument/2006/relationships/hyperlink" Target="https://beck-online.beck.de/?typ=reference&amp;y=100&amp;g=BGB&amp;p=826" TargetMode="External"/><Relationship Id="rId27" Type="http://schemas.openxmlformats.org/officeDocument/2006/relationships/hyperlink" Target="https://beck-online.beck.de/?typ=reference&amp;y=100&amp;g=GMBHG&amp;p=64" TargetMode="External"/><Relationship Id="rId30" Type="http://schemas.openxmlformats.org/officeDocument/2006/relationships/hyperlink" Target="https://beck-online.beck.de/?typ=reference&amp;y=100&amp;g=INSO&amp;p=19&amp;x=I" TargetMode="External"/><Relationship Id="rId35" Type="http://schemas.openxmlformats.org/officeDocument/2006/relationships/hyperlink" Target="https://beck-online.beck.de/?typ=reference&amp;y=300&amp;z=GMBHR&amp;b=1999&amp;s=718" TargetMode="External"/><Relationship Id="rId43" Type="http://schemas.openxmlformats.org/officeDocument/2006/relationships/hyperlink" Target="https://beck-online.beck.de/?typ=reference&amp;y=300&amp;z=GMBHR&amp;b=1994&amp;s=539" TargetMode="External"/><Relationship Id="rId48" Type="http://schemas.openxmlformats.org/officeDocument/2006/relationships/hyperlink" Target="https://beck-online.beck.de/?typ=reference&amp;y=300&amp;z=ZIP&amp;b=2000&amp;s=1709" TargetMode="External"/><Relationship Id="rId56" Type="http://schemas.openxmlformats.org/officeDocument/2006/relationships/hyperlink" Target="https://beck-online.beck.de/?typ=reference&amp;y=300&amp;z=NJW&amp;b=1994&amp;s=2220" TargetMode="External"/><Relationship Id="rId64" Type="http://schemas.openxmlformats.org/officeDocument/2006/relationships/hyperlink" Target="https://beck-online.beck.de/?typ=reference&amp;y=300&amp;z=AP&amp;g=BGB&amp;p=826&amp;n=21" TargetMode="External"/><Relationship Id="rId69" Type="http://schemas.openxmlformats.org/officeDocument/2006/relationships/hyperlink" Target="https://beck-online.beck.de/?typ=reference&amp;y=300&amp;z=NJW-RR&amp;b=1993&amp;s=342" TargetMode="External"/><Relationship Id="rId77" Type="http://schemas.openxmlformats.org/officeDocument/2006/relationships/hyperlink" Target="https://beck-online.beck.de/?typ=reference&amp;y=300&amp;z=NJOZ&amp;b=2002&amp;s=957" TargetMode="External"/><Relationship Id="rId8" Type="http://schemas.openxmlformats.org/officeDocument/2006/relationships/hyperlink" Target="https://beck-online.beck.de/?typ=reference&amp;y=100&amp;g=BGB&amp;p=826" TargetMode="External"/><Relationship Id="rId51" Type="http://schemas.openxmlformats.org/officeDocument/2006/relationships/hyperlink" Target="https://beck-online.beck.de/?typ=reference&amp;y=300&amp;z=GMBHR&amp;b=1999&amp;s=1202" TargetMode="External"/><Relationship Id="rId72" Type="http://schemas.openxmlformats.org/officeDocument/2006/relationships/hyperlink" Target="https://beck-online.beck.de/?typ=reference&amp;y=300&amp;z=WIB&amp;b=1994&amp;s=639" TargetMode="External"/><Relationship Id="rId80" Type="http://schemas.openxmlformats.org/officeDocument/2006/relationships/hyperlink" Target="https://beck-online.beck.de/?typ=reference&amp;y=300&amp;z=NJW&amp;b=1994&amp;s=2220" TargetMode="External"/><Relationship Id="rId85"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beck-online.beck.de/?typ=reference&amp;y=100&amp;g=GMBHG&amp;p=43" TargetMode="External"/><Relationship Id="rId17" Type="http://schemas.openxmlformats.org/officeDocument/2006/relationships/hyperlink" Target="https://beck-online.beck.de/?typ=reference&amp;y=100&amp;g=STGB&amp;p=263" TargetMode="External"/><Relationship Id="rId25"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300&amp;z=GMBHR&amp;b=1997&amp;s=127" TargetMode="External"/><Relationship Id="rId38" Type="http://schemas.openxmlformats.org/officeDocument/2006/relationships/hyperlink" Target="https://beck-online.beck.de/?typ=reference&amp;y=300&amp;z=NJW&amp;b=1994&amp;s=2220" TargetMode="External"/><Relationship Id="rId46" Type="http://schemas.openxmlformats.org/officeDocument/2006/relationships/hyperlink" Target="https://beck-online.beck.de/?typ=reference&amp;y=300&amp;z=MITTBAYNOT&amp;b=1994&amp;s=451" TargetMode="External"/><Relationship Id="rId59" Type="http://schemas.openxmlformats.org/officeDocument/2006/relationships/hyperlink" Target="https://beck-online.beck.de/?typ=reference&amp;y=300&amp;z=BAGE&amp;b=89&amp;s=349" TargetMode="External"/><Relationship Id="rId67" Type="http://schemas.openxmlformats.org/officeDocument/2006/relationships/hyperlink" Target="https://beck-online.beck.de/?typ=reference&amp;y=300&amp;z=ZIP&amp;b=1999&amp;s=24" TargetMode="External"/><Relationship Id="rId20" Type="http://schemas.openxmlformats.org/officeDocument/2006/relationships/hyperlink" Target="https://beck-online.beck.de/?typ=reference&amp;y=100&amp;g=STGB&amp;p=263" TargetMode="External"/><Relationship Id="rId41" Type="http://schemas.openxmlformats.org/officeDocument/2006/relationships/hyperlink" Target="https://beck-online.beck.de/?typ=reference&amp;y=300&amp;z=WM&amp;b=1994&amp;s=1428" TargetMode="External"/><Relationship Id="rId54" Type="http://schemas.openxmlformats.org/officeDocument/2006/relationships/hyperlink" Target="https://beck-online.beck.de/?typ=reference&amp;y=300&amp;z=NZG&amp;b=2001&amp;s=136" TargetMode="External"/><Relationship Id="rId62" Type="http://schemas.openxmlformats.org/officeDocument/2006/relationships/hyperlink" Target="https://beck-online.beck.de/?typ=reference&amp;y=300&amp;z=NZA&amp;b=1999&amp;s=39" TargetMode="External"/><Relationship Id="rId70" Type="http://schemas.openxmlformats.org/officeDocument/2006/relationships/hyperlink" Target="https://beck-online.beck.de/?typ=reference&amp;y=300&amp;z=BGHZ&amp;b=126&amp;s=181" TargetMode="External"/><Relationship Id="rId75" Type="http://schemas.openxmlformats.org/officeDocument/2006/relationships/hyperlink" Target="https://beck-online.beck.de/?typ=reference&amp;y=300&amp;z=NJW&amp;b=1983&amp;s=2696" TargetMode="External"/><Relationship Id="rId83" Type="http://schemas.openxmlformats.org/officeDocument/2006/relationships/hyperlink" Target="https://beck-online.beck.de/?typ=reference&amp;y=300&amp;z=NZG&amp;b=1998&amp;s=102"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BGB&amp;p=823" TargetMode="External"/><Relationship Id="rId15" Type="http://schemas.openxmlformats.org/officeDocument/2006/relationships/hyperlink" Target="https://beck-online.beck.de/?typ=reference&amp;y=100&amp;g=INSO&amp;p=19" TargetMode="External"/><Relationship Id="rId23" Type="http://schemas.openxmlformats.org/officeDocument/2006/relationships/hyperlink" Target="https://beck-online.beck.de/?typ=reference&amp;y=100&amp;g=BGB&amp;p=823" TargetMode="External"/><Relationship Id="rId28" Type="http://schemas.openxmlformats.org/officeDocument/2006/relationships/hyperlink" Target="https://beck-online.beck.de/?typ=reference&amp;y=100&amp;g=GMBHG&amp;p=64&amp;x=I" TargetMode="External"/><Relationship Id="rId36" Type="http://schemas.openxmlformats.org/officeDocument/2006/relationships/hyperlink" Target="https://beck-online.beck.de/?typ=reference&amp;y=300&amp;z=EWIR&amp;b=1999&amp;s=409" TargetMode="External"/><Relationship Id="rId49" Type="http://schemas.openxmlformats.org/officeDocument/2006/relationships/hyperlink" Target="https://beck-online.beck.de/?typ=reference&amp;y=300&amp;z=ZIP&amp;b=2000&amp;s=1712" TargetMode="External"/><Relationship Id="rId57" Type="http://schemas.openxmlformats.org/officeDocument/2006/relationships/hyperlink" Target="https://beck-online.beck.de/?typ=reference&amp;y=300&amp;z=WIB&amp;b=1994&amp;s=639" TargetMode="External"/><Relationship Id="rId10" Type="http://schemas.openxmlformats.org/officeDocument/2006/relationships/hyperlink" Target="https://beck-online.beck.de/?typ=reference&amp;y=100&amp;g=BGB&amp;p=179" TargetMode="External"/><Relationship Id="rId31" Type="http://schemas.openxmlformats.org/officeDocument/2006/relationships/hyperlink" Target="https://beck-online.beck.de/?typ=reference&amp;y=100&amp;g=INSO&amp;p=19" TargetMode="External"/><Relationship Id="rId44" Type="http://schemas.openxmlformats.org/officeDocument/2006/relationships/hyperlink" Target="https://beck-online.beck.de/?typ=reference&amp;y=300&amp;z=DB&amp;b=1994&amp;s=1608" TargetMode="External"/><Relationship Id="rId52" Type="http://schemas.openxmlformats.org/officeDocument/2006/relationships/hyperlink" Target="https://beck-online.beck.de/?typ=reference&amp;y=300&amp;z=KTS&amp;b=2000&amp;s=265" TargetMode="External"/><Relationship Id="rId60" Type="http://schemas.openxmlformats.org/officeDocument/2006/relationships/hyperlink" Target="https://beck-online.beck.de/?typ=reference&amp;y=300&amp;z=NJW&amp;b=1999&amp;s=740" TargetMode="External"/><Relationship Id="rId65" Type="http://schemas.openxmlformats.org/officeDocument/2006/relationships/hyperlink" Target="https://beck-online.beck.de/?typ=reference&amp;y=300&amp;z=GMBHR&amp;b=1998&amp;s=1221" TargetMode="External"/><Relationship Id="rId73" Type="http://schemas.openxmlformats.org/officeDocument/2006/relationships/hyperlink" Target="https://beck-online.beck.de/?typ=reference&amp;y=300&amp;z=BGHZ&amp;b=88&amp;s=67" TargetMode="External"/><Relationship Id="rId78" Type="http://schemas.openxmlformats.org/officeDocument/2006/relationships/hyperlink" Target="https://beck-online.beck.de/?typ=reference&amp;y=300&amp;z=WM&amp;b=2003&amp;s=186" TargetMode="External"/><Relationship Id="rId81" Type="http://schemas.openxmlformats.org/officeDocument/2006/relationships/hyperlink" Target="https://beck-online.beck.de/?typ=reference&amp;y=300&amp;z=WIB&amp;b=1994&amp;s=1103" TargetMode="External"/><Relationship Id="rId86"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beck-online.beck.de/?typ=reference&amp;y=100&amp;g=BGB&amp;p=279" TargetMode="External"/><Relationship Id="rId13" Type="http://schemas.openxmlformats.org/officeDocument/2006/relationships/hyperlink" Target="https://beck-online.beck.de/?typ=reference&amp;y=100&amp;g=GMBHG&amp;p=63" TargetMode="External"/><Relationship Id="rId18" Type="http://schemas.openxmlformats.org/officeDocument/2006/relationships/hyperlink" Target="https://beck-online.beck.de/?typ=reference&amp;y=100&amp;g=BGB&amp;p=823" TargetMode="External"/><Relationship Id="rId39" Type="http://schemas.openxmlformats.org/officeDocument/2006/relationships/hyperlink" Target="https://beck-online.beck.de/?typ=reference&amp;y=300&amp;z=WIB&amp;b=1994&amp;s=639" TargetMode="External"/><Relationship Id="rId34" Type="http://schemas.openxmlformats.org/officeDocument/2006/relationships/hyperlink" Target="https://beck-online.beck.de/?typ=reference&amp;y=300&amp;z=KTS&amp;b=1997&amp;s=233" TargetMode="External"/><Relationship Id="rId50" Type="http://schemas.openxmlformats.org/officeDocument/2006/relationships/hyperlink" Target="https://beck-online.beck.de/?typ=reference&amp;y=300&amp;z=NZG&amp;b=1999&amp;s=944" TargetMode="External"/><Relationship Id="rId55" Type="http://schemas.openxmlformats.org/officeDocument/2006/relationships/hyperlink" Target="https://beck-online.beck.de/?typ=reference&amp;y=300&amp;z=BGHZ&amp;b=126&amp;s=181" TargetMode="External"/><Relationship Id="rId76" Type="http://schemas.openxmlformats.org/officeDocument/2006/relationships/hyperlink" Target="https://beck-online.beck.de/?typ=reference&amp;y=300&amp;z=NJW-RR&amp;b=1993&amp;s=342" TargetMode="External"/><Relationship Id="rId7" Type="http://schemas.openxmlformats.org/officeDocument/2006/relationships/hyperlink" Target="https://beck-online.beck.de/?typ=reference&amp;y=100&amp;g=BGB&amp;p=823&amp;x=II" TargetMode="External"/><Relationship Id="rId71" Type="http://schemas.openxmlformats.org/officeDocument/2006/relationships/hyperlink" Target="https://beck-online.beck.de/?typ=reference&amp;y=300&amp;z=NJW&amp;b=1994&amp;s=2220"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9" TargetMode="External"/><Relationship Id="rId24" Type="http://schemas.openxmlformats.org/officeDocument/2006/relationships/hyperlink" Target="https://beck-online.beck.de/?typ=reference&amp;y=100&amp;g=BGB&amp;p=823&amp;x=II" TargetMode="External"/><Relationship Id="rId40" Type="http://schemas.openxmlformats.org/officeDocument/2006/relationships/hyperlink" Target="https://beck-online.beck.de/?typ=reference&amp;y=300&amp;z=ZIP&amp;b=1994&amp;s=1103" TargetMode="External"/><Relationship Id="rId45" Type="http://schemas.openxmlformats.org/officeDocument/2006/relationships/hyperlink" Target="https://beck-online.beck.de/?typ=reference&amp;y=300&amp;z=BB&amp;b=1994&amp;s=1657" TargetMode="External"/><Relationship Id="rId66" Type="http://schemas.openxmlformats.org/officeDocument/2006/relationships/hyperlink" Target="https://beck-online.beck.de/?typ=reference&amp;y=300&amp;z=DB&amp;b=1998&amp;s=2532" TargetMode="External"/><Relationship Id="rId87" Type="http://schemas.openxmlformats.org/officeDocument/2006/relationships/fontTable" Target="fontTable.xml"/><Relationship Id="rId61" Type="http://schemas.openxmlformats.org/officeDocument/2006/relationships/hyperlink" Target="https://beck-online.beck.de/?typ=reference&amp;y=300&amp;z=NZI&amp;b=1999&amp;s=34" TargetMode="External"/><Relationship Id="rId82" Type="http://schemas.openxmlformats.org/officeDocument/2006/relationships/hyperlink" Target="https://beck-online.beck.de/?typ=reference&amp;y=300&amp;z=NJW&amp;b=1998&amp;s=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2463</Words>
  <Characters>14114</Characters>
  <Application>Microsoft Office Word</Application>
  <DocSecurity>0</DocSecurity>
  <Lines>224</Lines>
  <Paragraphs>63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OLG Koblenz: Beweislast im Prozess gegen GmbH-Geschäftsführer wegen Insolvenzverschleppung - Steuern und Bilanzen</dc:title>
  <dc:creator>beck-online.beck.de</dc:creator>
  <cp:lastModifiedBy>Martin Otten</cp:lastModifiedBy>
  <cp:revision>2</cp:revision>
  <dcterms:created xsi:type="dcterms:W3CDTF">2026-06-28T18:25:00Z</dcterms:created>
  <dcterms:modified xsi:type="dcterms:W3CDTF">2026-06-28T18:25:00Z</dcterms:modified>
</cp:coreProperties>
</file>