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formato de inscripción de p</w:t>
      </w:r>
      <w:r w:rsidDel="00000000" w:rsidR="00000000" w:rsidRPr="00000000">
        <w:rPr>
          <w:rFonts w:ascii="Arial" w:cs="Arial" w:eastAsia="Arial" w:hAnsi="Arial"/>
          <w:sz w:val="22"/>
          <w:szCs w:val="22"/>
          <w:rtl w:val="0"/>
        </w:rPr>
        <w:t xml:space="preserve">royectos de investigación de los semilleros </w:t>
      </w:r>
      <w:r w:rsidDel="00000000" w:rsidR="00000000" w:rsidRPr="00000000">
        <w:rPr>
          <w:rFonts w:ascii="Arial" w:cs="Arial" w:eastAsia="Arial" w:hAnsi="Arial"/>
          <w:color w:val="000000"/>
          <w:sz w:val="22"/>
          <w:szCs w:val="22"/>
          <w:rtl w:val="0"/>
        </w:rPr>
        <w:t xml:space="preserve">debe ser completamente diligenciado, para todas las propuestas, los proyectos en curso y los proyectos terminados con los que deseen participar en las convocatorias, tanto internas como externas.  Este formato debe radicarse en la dirección de Investigación para obtener el aval institucional para participar con los proyectos en cualquier evento académico-científico.</w:t>
      </w:r>
    </w:p>
    <w:p w:rsidR="00000000" w:rsidDel="00000000" w:rsidP="00000000" w:rsidRDefault="00000000" w:rsidRPr="00000000" w14:paraId="00000002">
      <w:pPr>
        <w:jc w:val="both"/>
        <w:rPr>
          <w:rFonts w:ascii="Arial" w:cs="Arial" w:eastAsia="Arial" w:hAnsi="Arial"/>
          <w:color w:val="000000"/>
          <w:sz w:val="22"/>
          <w:szCs w:val="22"/>
        </w:rPr>
      </w:pPr>
      <w:r w:rsidDel="00000000" w:rsidR="00000000" w:rsidRPr="00000000">
        <w:rPr>
          <w:rtl w:val="0"/>
        </w:rPr>
      </w:r>
    </w:p>
    <w:tbl>
      <w:tblPr>
        <w:tblStyle w:val="Table1"/>
        <w:tblW w:w="1060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4"/>
        <w:gridCol w:w="863"/>
        <w:gridCol w:w="704"/>
        <w:gridCol w:w="1692"/>
        <w:gridCol w:w="433"/>
        <w:gridCol w:w="127"/>
        <w:gridCol w:w="1855"/>
        <w:gridCol w:w="1794"/>
        <w:tblGridChange w:id="0">
          <w:tblGrid>
            <w:gridCol w:w="3134"/>
            <w:gridCol w:w="863"/>
            <w:gridCol w:w="704"/>
            <w:gridCol w:w="1692"/>
            <w:gridCol w:w="433"/>
            <w:gridCol w:w="127"/>
            <w:gridCol w:w="1855"/>
            <w:gridCol w:w="1794"/>
          </w:tblGrid>
        </w:tblGridChange>
      </w:tblGrid>
      <w:tr>
        <w:trPr>
          <w:cantSplit w:val="0"/>
          <w:trHeight w:val="255" w:hRule="atLeast"/>
          <w:tblHeader w:val="0"/>
        </w:trPr>
        <w:tc>
          <w:tcPr>
            <w:gridSpan w:val="2"/>
            <w:vMerge w:val="restart"/>
          </w:tcPr>
          <w:p w:rsidR="00000000" w:rsidDel="00000000" w:rsidP="00000000" w:rsidRDefault="00000000" w:rsidRPr="00000000" w14:paraId="00000003">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semillero</w:t>
            </w:r>
          </w:p>
        </w:tc>
        <w:tc>
          <w:tcPr>
            <w:gridSpan w:val="5"/>
            <w:vMerge w:val="restart"/>
          </w:tcPr>
          <w:p w:rsidR="00000000" w:rsidDel="00000000" w:rsidP="00000000" w:rsidRDefault="00000000" w:rsidRPr="00000000" w14:paraId="00000005">
            <w:pPr>
              <w:spacing w:after="120" w:before="120"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0A">
            <w:pPr>
              <w:spacing w:after="120" w:before="12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Código</w:t>
            </w:r>
            <w:r w:rsidDel="00000000" w:rsidR="00000000" w:rsidRPr="00000000">
              <w:rPr>
                <w:rtl w:val="0"/>
              </w:rPr>
            </w:r>
          </w:p>
        </w:tc>
      </w:tr>
      <w:tr>
        <w:trPr>
          <w:cantSplit w:val="0"/>
          <w:trHeight w:val="255" w:hRule="atLeast"/>
          <w:tblHeader w:val="0"/>
        </w:trPr>
        <w:tc>
          <w:tcPr>
            <w:gridSpan w:val="2"/>
            <w:vMerge w:val="continue"/>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5"/>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2">
            <w:pPr>
              <w:spacing w:after="120" w:before="120" w:lineRule="auto"/>
              <w:jc w:val="both"/>
              <w:rPr>
                <w:rFonts w:ascii="Arial" w:cs="Arial" w:eastAsia="Arial" w:hAnsi="Arial"/>
                <w:b w:val="1"/>
                <w:bCs w:val="1"/>
                <w:sz w:val="22"/>
                <w:szCs w:val="22"/>
              </w:rPr>
            </w:pPr>
            <w:r w:rsidDel="00000000" w:rsidR="00000000" w:rsidRPr="00000000">
              <w:rPr>
                <w:rtl w:val="0"/>
              </w:rPr>
            </w:r>
          </w:p>
        </w:tc>
      </w:tr>
      <w:tr>
        <w:trPr>
          <w:cantSplit w:val="0"/>
          <w:trHeight w:val="353" w:hRule="atLeast"/>
          <w:tblHeader w:val="0"/>
        </w:trPr>
        <w:tc>
          <w:tcPr>
            <w:gridSpan w:val="2"/>
          </w:tcPr>
          <w:p w:rsidR="00000000" w:rsidDel="00000000" w:rsidP="00000000" w:rsidRDefault="00000000" w:rsidRPr="00000000" w14:paraId="00000013">
            <w:pPr>
              <w:spacing w:after="120" w:before="120" w:lineRule="auto"/>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Nombres y apellidos del asesor (s) </w:t>
            </w:r>
            <w:r w:rsidDel="00000000" w:rsidR="00000000" w:rsidRPr="00000000">
              <w:rPr>
                <w:rtl w:val="0"/>
              </w:rPr>
            </w:r>
          </w:p>
        </w:tc>
        <w:tc>
          <w:tcPr>
            <w:gridSpan w:val="4"/>
          </w:tcPr>
          <w:p w:rsidR="00000000" w:rsidDel="00000000" w:rsidP="00000000" w:rsidRDefault="00000000" w:rsidRPr="00000000" w14:paraId="00000015">
            <w:pPr>
              <w:spacing w:after="120" w:before="12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 de cédula</w:t>
            </w:r>
          </w:p>
        </w:tc>
        <w:tc>
          <w:tcPr/>
          <w:p w:rsidR="00000000" w:rsidDel="00000000" w:rsidP="00000000" w:rsidRDefault="00000000" w:rsidRPr="00000000" w14:paraId="00000019">
            <w:pPr>
              <w:spacing w:after="120" w:before="12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Correo electrónico</w:t>
            </w:r>
          </w:p>
        </w:tc>
        <w:tc>
          <w:tcPr/>
          <w:p w:rsidR="00000000" w:rsidDel="00000000" w:rsidP="00000000" w:rsidRDefault="00000000" w:rsidRPr="00000000" w14:paraId="0000001A">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 de Integrantes del semillero</w:t>
            </w:r>
            <w:r w:rsidDel="00000000" w:rsidR="00000000" w:rsidRPr="00000000">
              <w:rPr>
                <w:rtl w:val="0"/>
              </w:rPr>
            </w:r>
          </w:p>
        </w:tc>
      </w:tr>
      <w:tr>
        <w:trPr>
          <w:cantSplit w:val="0"/>
          <w:trHeight w:val="124" w:hRule="atLeast"/>
          <w:tblHeader w:val="0"/>
        </w:trPr>
        <w:tc>
          <w:tcPr>
            <w:gridSpan w:val="2"/>
          </w:tcPr>
          <w:p w:rsidR="00000000" w:rsidDel="00000000" w:rsidP="00000000" w:rsidRDefault="00000000" w:rsidRPr="00000000" w14:paraId="0000001B">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Asesor temático: Edna Conde</w:t>
            </w:r>
          </w:p>
        </w:tc>
        <w:tc>
          <w:tcPr>
            <w:gridSpan w:val="4"/>
          </w:tcPr>
          <w:p w:rsidR="00000000" w:rsidDel="00000000" w:rsidP="00000000" w:rsidRDefault="00000000" w:rsidRPr="00000000" w14:paraId="0000001D">
            <w:pPr>
              <w:spacing w:after="120" w:before="12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21">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ing.sistemas@unac.edu.co</w:t>
            </w:r>
          </w:p>
        </w:tc>
        <w:tc>
          <w:tcPr>
            <w:vMerge w:val="restart"/>
          </w:tcPr>
          <w:p w:rsidR="00000000" w:rsidDel="00000000" w:rsidP="00000000" w:rsidRDefault="00000000" w:rsidRPr="00000000" w14:paraId="00000022">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124" w:hRule="atLeast"/>
          <w:tblHeader w:val="0"/>
        </w:trPr>
        <w:tc>
          <w:tcPr>
            <w:gridSpan w:val="2"/>
          </w:tcPr>
          <w:p w:rsidR="00000000" w:rsidDel="00000000" w:rsidP="00000000" w:rsidRDefault="00000000" w:rsidRPr="00000000" w14:paraId="00000023">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Asesor metodológico: Saray Galeano Ospino</w:t>
            </w:r>
          </w:p>
        </w:tc>
        <w:tc>
          <w:tcPr>
            <w:gridSpan w:val="4"/>
          </w:tcPr>
          <w:p w:rsidR="00000000" w:rsidDel="00000000" w:rsidP="00000000" w:rsidRDefault="00000000" w:rsidRPr="00000000" w14:paraId="00000025">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1067852247</w:t>
            </w:r>
          </w:p>
        </w:tc>
        <w:tc>
          <w:tcPr/>
          <w:p w:rsidR="00000000" w:rsidDel="00000000" w:rsidP="00000000" w:rsidRDefault="00000000" w:rsidRPr="00000000" w14:paraId="00000029">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Investigación.fi@unac.edu.co</w:t>
            </w:r>
          </w:p>
        </w:tc>
        <w:tc>
          <w:tcPr>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124" w:hRule="atLeast"/>
          <w:tblHeader w:val="0"/>
        </w:trPr>
        <w:tc>
          <w:tcPr>
            <w:gridSpan w:val="8"/>
          </w:tcPr>
          <w:p w:rsidR="00000000" w:rsidDel="00000000" w:rsidP="00000000" w:rsidRDefault="00000000" w:rsidRPr="00000000" w14:paraId="0000002B">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 DE ESTUDIANTES INTEGRANTES EN EL PROYECTO (Max 4) </w:t>
            </w:r>
            <w:r w:rsidDel="00000000" w:rsidR="00000000" w:rsidRPr="00000000">
              <w:rPr>
                <w:rtl w:val="0"/>
              </w:rPr>
            </w:r>
          </w:p>
        </w:tc>
      </w:tr>
      <w:tr>
        <w:trPr>
          <w:cantSplit w:val="0"/>
          <w:trHeight w:val="17" w:hRule="atLeast"/>
          <w:tblHeader w:val="0"/>
        </w:trPr>
        <w:tc>
          <w:tcPr>
            <w:gridSpan w:val="3"/>
          </w:tcPr>
          <w:p w:rsidR="00000000" w:rsidDel="00000000" w:rsidP="00000000" w:rsidRDefault="00000000" w:rsidRPr="00000000" w14:paraId="0000003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completo</w:t>
            </w:r>
          </w:p>
        </w:tc>
        <w:tc>
          <w:tcPr>
            <w:gridSpan w:val="2"/>
          </w:tcPr>
          <w:p w:rsidR="00000000" w:rsidDel="00000000" w:rsidP="00000000" w:rsidRDefault="00000000" w:rsidRPr="00000000" w14:paraId="0000003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Cédula</w:t>
            </w:r>
          </w:p>
        </w:tc>
        <w:tc>
          <w:tcPr>
            <w:gridSpan w:val="3"/>
          </w:tcPr>
          <w:p w:rsidR="00000000" w:rsidDel="00000000" w:rsidP="00000000" w:rsidRDefault="00000000" w:rsidRPr="00000000" w14:paraId="0000003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Correo electrónico</w:t>
            </w:r>
          </w:p>
        </w:tc>
      </w:tr>
      <w:tr>
        <w:trPr>
          <w:cantSplit w:val="0"/>
          <w:trHeight w:val="17" w:hRule="atLeast"/>
          <w:tblHeader w:val="0"/>
        </w:trPr>
        <w:tc>
          <w:tcPr>
            <w:gridSpan w:val="3"/>
          </w:tcPr>
          <w:p w:rsidR="00000000" w:rsidDel="00000000" w:rsidP="00000000" w:rsidRDefault="00000000" w:rsidRPr="00000000" w14:paraId="000000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Carlos Andrés Montoya pacheco </w:t>
            </w:r>
          </w:p>
        </w:tc>
        <w:tc>
          <w:tcPr>
            <w:gridSpan w:val="2"/>
          </w:tcPr>
          <w:p w:rsidR="00000000" w:rsidDel="00000000" w:rsidP="00000000" w:rsidRDefault="00000000" w:rsidRPr="00000000" w14:paraId="000000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1032176635</w:t>
            </w:r>
          </w:p>
        </w:tc>
        <w:tc>
          <w:tcPr>
            <w:gridSpan w:val="3"/>
          </w:tcPr>
          <w:p w:rsidR="00000000" w:rsidDel="00000000" w:rsidP="00000000" w:rsidRDefault="00000000" w:rsidRPr="00000000" w14:paraId="000000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carlos.montoyap@unac.edu.co</w:t>
            </w:r>
          </w:p>
        </w:tc>
      </w:tr>
      <w:tr>
        <w:trPr>
          <w:cantSplit w:val="0"/>
          <w:trHeight w:val="17" w:hRule="atLeast"/>
          <w:tblHeader w:val="0"/>
        </w:trPr>
        <w:tc>
          <w:tcPr>
            <w:gridSpan w:val="3"/>
          </w:tcPr>
          <w:p w:rsidR="00000000" w:rsidDel="00000000" w:rsidP="00000000" w:rsidRDefault="00000000" w:rsidRPr="00000000" w14:paraId="000000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Santiago Zapata </w:t>
            </w:r>
          </w:p>
        </w:tc>
        <w:tc>
          <w:tcPr>
            <w:gridSpan w:val="2"/>
          </w:tcPr>
          <w:p w:rsidR="00000000" w:rsidDel="00000000" w:rsidP="00000000" w:rsidRDefault="00000000" w:rsidRPr="00000000" w14:paraId="000000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1017923664</w:t>
            </w:r>
          </w:p>
        </w:tc>
        <w:tc>
          <w:tcPr>
            <w:gridSpan w:val="3"/>
          </w:tcPr>
          <w:p w:rsidR="00000000" w:rsidDel="00000000" w:rsidP="00000000" w:rsidRDefault="00000000" w:rsidRPr="00000000" w14:paraId="000000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Santiago.zapatas@unac.edu.co</w:t>
            </w:r>
          </w:p>
        </w:tc>
      </w:tr>
      <w:tr>
        <w:trPr>
          <w:cantSplit w:val="0"/>
          <w:trHeight w:val="17" w:hRule="atLeast"/>
          <w:tblHeader w:val="0"/>
        </w:trPr>
        <w:tc>
          <w:tcPr>
            <w:gridSpan w:val="3"/>
          </w:tcPr>
          <w:p w:rsidR="00000000" w:rsidDel="00000000" w:rsidP="00000000" w:rsidRDefault="00000000" w:rsidRPr="00000000" w14:paraId="000000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Salome Campiño Vélez </w:t>
            </w:r>
          </w:p>
        </w:tc>
        <w:tc>
          <w:tcPr>
            <w:gridSpan w:val="2"/>
          </w:tcPr>
          <w:p w:rsidR="00000000" w:rsidDel="00000000" w:rsidP="00000000" w:rsidRDefault="00000000" w:rsidRPr="00000000" w14:paraId="000000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1038262409</w:t>
            </w:r>
          </w:p>
        </w:tc>
        <w:tc>
          <w:tcPr>
            <w:gridSpan w:val="3"/>
          </w:tcPr>
          <w:p w:rsidR="00000000" w:rsidDel="00000000" w:rsidP="00000000" w:rsidRDefault="00000000" w:rsidRPr="00000000" w14:paraId="000000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salome.campinov@unac.edu.co</w:t>
            </w:r>
          </w:p>
        </w:tc>
      </w:tr>
      <w:tr>
        <w:trPr>
          <w:cantSplit w:val="0"/>
          <w:trHeight w:val="65" w:hRule="atLeast"/>
          <w:tblHeader w:val="0"/>
        </w:trPr>
        <w:tc>
          <w:tcPr>
            <w:gridSpan w:val="3"/>
          </w:tcPr>
          <w:p w:rsidR="00000000" w:rsidDel="00000000" w:rsidP="00000000" w:rsidRDefault="00000000" w:rsidRPr="00000000" w14:paraId="00000053">
            <w:pPr>
              <w:ind w:left="708" w:hanging="70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Jhan Carlos Mesa </w:t>
            </w:r>
          </w:p>
        </w:tc>
        <w:tc>
          <w:tcPr>
            <w:gridSpan w:val="2"/>
          </w:tcPr>
          <w:p w:rsidR="00000000" w:rsidDel="00000000" w:rsidP="00000000" w:rsidRDefault="00000000" w:rsidRPr="00000000" w14:paraId="0000005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1001417605</w:t>
            </w:r>
          </w:p>
        </w:tc>
        <w:tc>
          <w:tcPr>
            <w:gridSpan w:val="3"/>
          </w:tcPr>
          <w:p w:rsidR="00000000" w:rsidDel="00000000" w:rsidP="00000000" w:rsidRDefault="00000000" w:rsidRPr="00000000" w14:paraId="000000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Jhanc.mesae@unac.edu.co</w:t>
            </w:r>
          </w:p>
        </w:tc>
      </w:tr>
      <w:tr>
        <w:trPr>
          <w:cantSplit w:val="0"/>
          <w:trHeight w:val="759" w:hRule="atLeast"/>
          <w:tblHeader w:val="0"/>
        </w:trPr>
        <w:tc>
          <w:tcPr>
            <w:gridSpan w:val="4"/>
          </w:tcPr>
          <w:p w:rsidR="00000000" w:rsidDel="00000000" w:rsidP="00000000" w:rsidRDefault="00000000" w:rsidRPr="00000000" w14:paraId="0000005B">
            <w:pPr>
              <w:spacing w:after="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proyecto se ha presentado en otros eventos: </w:t>
            </w:r>
            <w:r w:rsidDel="00000000" w:rsidR="00000000" w:rsidRPr="00000000">
              <w:rPr>
                <w:rFonts w:ascii="Arial" w:cs="Arial" w:eastAsia="Arial" w:hAnsi="Arial"/>
                <w:sz w:val="22"/>
                <w:szCs w:val="22"/>
                <w:rtl w:val="0"/>
              </w:rPr>
              <w:t xml:space="preserve">No</w:t>
            </w:r>
          </w:p>
        </w:tc>
        <w:tc>
          <w:tcPr>
            <w:gridSpan w:val="4"/>
          </w:tcPr>
          <w:p w:rsidR="00000000" w:rsidDel="00000000" w:rsidP="00000000" w:rsidRDefault="00000000" w:rsidRPr="00000000" w14:paraId="0000005F">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evento / Convocatoria</w:t>
            </w:r>
          </w:p>
          <w:p w:rsidR="00000000" w:rsidDel="00000000" w:rsidP="00000000" w:rsidRDefault="00000000" w:rsidRPr="00000000" w14:paraId="00000060">
            <w:pPr>
              <w:spacing w:after="120" w:before="12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Encuentro Departamental</w:t>
            </w:r>
            <w:r w:rsidDel="00000000" w:rsidR="00000000" w:rsidRPr="00000000">
              <w:rPr>
                <w:rtl w:val="0"/>
              </w:rPr>
            </w:r>
          </w:p>
          <w:p w:rsidR="00000000" w:rsidDel="00000000" w:rsidP="00000000" w:rsidRDefault="00000000" w:rsidRPr="00000000" w14:paraId="00000061">
            <w:pPr>
              <w:spacing w:after="120" w:before="120" w:lineRule="auto"/>
              <w:rPr>
                <w:rFonts w:ascii="Arial" w:cs="Arial" w:eastAsia="Arial" w:hAnsi="Arial"/>
                <w:i w:val="1"/>
                <w:iCs w:val="1"/>
                <w:sz w:val="22"/>
                <w:szCs w:val="22"/>
              </w:rPr>
            </w:pPr>
            <w:r w:rsidDel="00000000" w:rsidR="00000000" w:rsidRPr="00000000">
              <w:rPr>
                <w:color w:val="808080"/>
                <w:rtl w:val="0"/>
              </w:rPr>
              <w:t xml:space="preserve">Elija un elemento.</w:t>
            </w:r>
            <w:r w:rsidDel="00000000" w:rsidR="00000000" w:rsidRPr="00000000">
              <w:rPr>
                <w:rtl w:val="0"/>
              </w:rPr>
            </w:r>
          </w:p>
        </w:tc>
      </w:tr>
      <w:tr>
        <w:trPr>
          <w:cantSplit w:val="0"/>
          <w:trHeight w:val="530" w:hRule="atLeast"/>
          <w:tblHeader w:val="0"/>
        </w:trPr>
        <w:tc>
          <w:tcPr>
            <w:shd w:fill="d9d9d9" w:val="clear"/>
          </w:tcPr>
          <w:p w:rsidR="00000000" w:rsidDel="00000000" w:rsidP="00000000" w:rsidRDefault="00000000" w:rsidRPr="00000000" w14:paraId="0000006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TITULO DEL PROYECTO </w:t>
            </w:r>
          </w:p>
          <w:p w:rsidR="00000000" w:rsidDel="00000000" w:rsidP="00000000" w:rsidRDefault="00000000" w:rsidRPr="00000000" w14:paraId="00000067">
            <w:pPr>
              <w:rPr>
                <w:rFonts w:ascii="Arial" w:cs="Arial" w:eastAsia="Arial" w:hAnsi="Arial"/>
                <w:b w:val="1"/>
                <w:bCs w:val="1"/>
                <w:sz w:val="22"/>
                <w:szCs w:val="22"/>
              </w:rPr>
            </w:pPr>
            <w:r w:rsidDel="00000000" w:rsidR="00000000" w:rsidRPr="00000000">
              <w:rPr>
                <w:rtl w:val="0"/>
              </w:rPr>
            </w:r>
          </w:p>
        </w:tc>
        <w:tc>
          <w:tcPr>
            <w:gridSpan w:val="7"/>
            <w:vAlign w:val="cente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Modelo predictivo del puntaje en las pruebas saber pro de los estudiantes de la Facultad de Ingeniería</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2"/>
        <w:tblW w:w="1062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228"/>
        <w:gridCol w:w="1608"/>
        <w:gridCol w:w="1043"/>
        <w:gridCol w:w="1198"/>
        <w:gridCol w:w="342"/>
        <w:gridCol w:w="1052"/>
        <w:gridCol w:w="1540"/>
        <w:gridCol w:w="1613"/>
        <w:tblGridChange w:id="0">
          <w:tblGrid>
            <w:gridCol w:w="2228"/>
            <w:gridCol w:w="1608"/>
            <w:gridCol w:w="1043"/>
            <w:gridCol w:w="1198"/>
            <w:gridCol w:w="342"/>
            <w:gridCol w:w="1052"/>
            <w:gridCol w:w="1540"/>
            <w:gridCol w:w="1613"/>
          </w:tblGrid>
        </w:tblGridChange>
      </w:tblGrid>
      <w:tr>
        <w:trPr>
          <w:cantSplit w:val="0"/>
          <w:trHeight w:val="570" w:hRule="atLeast"/>
          <w:tblHeader w:val="0"/>
        </w:trPr>
        <w:tc>
          <w:tcPr>
            <w:shd w:fill="d9d9d9" w:val="clear"/>
            <w:vAlign w:val="center"/>
          </w:tcPr>
          <w:p w:rsidR="00000000" w:rsidDel="00000000" w:rsidP="00000000" w:rsidRDefault="00000000" w:rsidRPr="00000000" w14:paraId="0000007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Estado del proyecto</w:t>
            </w:r>
          </w:p>
        </w:tc>
        <w:tc>
          <w:tcPr/>
          <w:p w:rsidR="00000000" w:rsidDel="00000000" w:rsidP="00000000" w:rsidRDefault="00000000" w:rsidRPr="00000000" w14:paraId="00000071">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Propuesta de Investigación.</w:t>
            </w:r>
          </w:p>
          <w:p w:rsidR="00000000" w:rsidDel="00000000" w:rsidP="00000000" w:rsidRDefault="00000000" w:rsidRPr="00000000" w14:paraId="00000072">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(P1)</w:t>
            </w:r>
          </w:p>
        </w:tc>
        <w:tc>
          <w:tcPr/>
          <w:p w:rsidR="00000000" w:rsidDel="00000000" w:rsidP="00000000" w:rsidRDefault="00000000" w:rsidRPr="00000000" w14:paraId="00000073">
            <w:pPr>
              <w:spacing w:after="120" w:before="120" w:lineRule="auto"/>
              <w:jc w:val="cente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74">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en curso.</w:t>
            </w:r>
          </w:p>
          <w:p w:rsidR="00000000" w:rsidDel="00000000" w:rsidP="00000000" w:rsidRDefault="00000000" w:rsidRPr="00000000" w14:paraId="00000075">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(P2)</w:t>
            </w:r>
          </w:p>
        </w:tc>
        <w:tc>
          <w:tcPr/>
          <w:p w:rsidR="00000000" w:rsidDel="00000000" w:rsidP="00000000" w:rsidRDefault="00000000" w:rsidRPr="00000000" w14:paraId="00000077">
            <w:pPr>
              <w:spacing w:after="120" w:before="120" w:lineRule="auto"/>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8">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terminada. (P3)</w:t>
            </w:r>
          </w:p>
        </w:tc>
        <w:tc>
          <w:tcPr/>
          <w:p w:rsidR="00000000" w:rsidDel="00000000" w:rsidP="00000000" w:rsidRDefault="00000000" w:rsidRPr="00000000" w14:paraId="00000079">
            <w:pPr>
              <w:spacing w:after="120" w:before="120" w:lineRule="auto"/>
              <w:rPr>
                <w:rFonts w:ascii="Arial" w:cs="Arial" w:eastAsia="Arial" w:hAnsi="Arial"/>
                <w:sz w:val="22"/>
                <w:szCs w:val="22"/>
              </w:rPr>
            </w:pPr>
            <w:r w:rsidDel="00000000" w:rsidR="00000000" w:rsidRPr="00000000">
              <w:rPr>
                <w:rtl w:val="0"/>
              </w:rPr>
            </w:r>
          </w:p>
        </w:tc>
      </w:tr>
      <w:tr>
        <w:trPr>
          <w:cantSplit w:val="0"/>
          <w:trHeight w:val="502" w:hRule="atLeast"/>
          <w:tblHeader w:val="0"/>
        </w:trPr>
        <w:tc>
          <w:tcPr>
            <w:vMerge w:val="restart"/>
            <w:shd w:fill="d9d9d9" w:val="clear"/>
          </w:tcPr>
          <w:p w:rsidR="00000000" w:rsidDel="00000000" w:rsidP="00000000" w:rsidRDefault="00000000" w:rsidRPr="00000000" w14:paraId="0000007A">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Facultad </w:t>
            </w:r>
          </w:p>
          <w:p w:rsidR="00000000" w:rsidDel="00000000" w:rsidP="00000000" w:rsidRDefault="00000000" w:rsidRPr="00000000" w14:paraId="0000007B">
            <w:pPr>
              <w:widowControl w:val="0"/>
              <w:tabs>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(seleccionar) Ingenieria</w:t>
            </w:r>
          </w:p>
          <w:p w:rsidR="00000000" w:rsidDel="00000000" w:rsidP="00000000" w:rsidRDefault="00000000" w:rsidRPr="00000000" w14:paraId="0000007C">
            <w:pPr>
              <w:widowControl w:val="0"/>
              <w:rPr>
                <w:rFonts w:ascii="Arial" w:cs="Arial" w:eastAsia="Arial" w:hAnsi="Arial"/>
                <w:b w:val="1"/>
                <w:bCs w:val="1"/>
                <w:sz w:val="22"/>
                <w:szCs w:val="22"/>
              </w:rPr>
            </w:pPr>
            <w:r w:rsidDel="00000000" w:rsidR="00000000" w:rsidRPr="00000000">
              <w:rPr>
                <w:rtl w:val="0"/>
              </w:rPr>
            </w:r>
          </w:p>
        </w:tc>
        <w:tc>
          <w:tcPr>
            <w:gridSpan w:val="3"/>
            <w:vMerge w:val="restart"/>
            <w:shd w:fill="d9d9d9" w:val="clear"/>
          </w:tcPr>
          <w:p w:rsidR="00000000" w:rsidDel="00000000" w:rsidP="00000000" w:rsidRDefault="00000000" w:rsidRPr="00000000" w14:paraId="0000007D">
            <w:pPr>
              <w:tabs>
                <w:tab w:val="left" w:leader="none" w:pos="2192"/>
              </w:tabs>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Área (seleccionar) Ingeniería</w:t>
            </w:r>
          </w:p>
        </w:tc>
        <w:tc>
          <w:tcPr>
            <w:gridSpan w:val="4"/>
            <w:shd w:fill="d9d9d9" w:val="clear"/>
          </w:tcPr>
          <w:p w:rsidR="00000000" w:rsidDel="00000000" w:rsidP="00000000" w:rsidRDefault="00000000" w:rsidRPr="00000000" w14:paraId="00000080">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Sub-área</w:t>
            </w:r>
          </w:p>
        </w:tc>
      </w:tr>
      <w:tr>
        <w:trPr>
          <w:cantSplit w:val="0"/>
          <w:trHeight w:val="437" w:hRule="atLeast"/>
          <w:tblHeader w:val="0"/>
        </w:trPr>
        <w:tc>
          <w:tcPr>
            <w:vMerge w:val="continue"/>
            <w:shd w:fill="d9d9d9"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gridSpan w:val="3"/>
            <w:vMerge w:val="continue"/>
            <w:shd w:fill="d9d9d9"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gridSpan w:val="4"/>
          </w:tcPr>
          <w:p w:rsidR="00000000" w:rsidDel="00000000" w:rsidP="00000000" w:rsidRDefault="00000000" w:rsidRPr="00000000" w14:paraId="00000088">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 </w:t>
            </w:r>
          </w:p>
        </w:tc>
      </w:tr>
    </w:tbl>
    <w:p w:rsidR="00000000" w:rsidDel="00000000" w:rsidP="00000000" w:rsidRDefault="00000000" w:rsidRPr="00000000" w14:paraId="0000008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D">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 aclaratoria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letra en color gris es explicativa y no debe estar en el formato final. </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N.° 1 (título del proyecto)- hasta el N.° 9 (referencias bibliográficas) se debe cumplir con número de páginas máximo: para P1 (propuesta) 2 pág. P2 (en curso) 3 pág.  y P3 (terminado) 4 pág.</w:t>
      </w:r>
    </w:p>
    <w:p w:rsidR="00000000" w:rsidDel="00000000" w:rsidP="00000000" w:rsidRDefault="00000000" w:rsidRPr="00000000" w14:paraId="00000091">
      <w:pPr>
        <w:rPr>
          <w:rFonts w:ascii="Arial" w:cs="Arial" w:eastAsia="Arial" w:hAnsi="Arial"/>
          <w:sz w:val="22"/>
          <w:szCs w:val="22"/>
        </w:rPr>
      </w:pPr>
      <w:r w:rsidDel="00000000" w:rsidR="00000000" w:rsidRPr="00000000">
        <w:rPr>
          <w:rtl w:val="0"/>
        </w:rPr>
      </w:r>
    </w:p>
    <w:tbl>
      <w:tblPr>
        <w:tblStyle w:val="Table3"/>
        <w:tblW w:w="982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rHeight w:val="344" w:hRule="atLeast"/>
          <w:tblHeader w:val="0"/>
        </w:trPr>
        <w:tc>
          <w:tcPr>
            <w:shd w:fill="d9d9d9" w:val="clear"/>
            <w:vAlign w:val="center"/>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 del Proyecto: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Afirmación precisa que hace referencia al tema en torno al cual gira el proyecto de investigación.</w:t>
            </w:r>
            <w:r w:rsidDel="00000000" w:rsidR="00000000" w:rsidRPr="00000000">
              <w:rPr>
                <w:rtl w:val="0"/>
              </w:rPr>
            </w:r>
          </w:p>
        </w:tc>
      </w:tr>
      <w:tr>
        <w:trPr>
          <w:cantSplit w:val="0"/>
          <w:trHeight w:val="344" w:hRule="atLeast"/>
          <w:tblHeader w:val="0"/>
        </w:trPr>
        <w:tc>
          <w:tcPr>
            <w:shd w:fill="ffffff" w:val="clear"/>
            <w:vAlign w:val="center"/>
          </w:tcPr>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Modelo predictivo del puntaje en las pruebas saber pro de estudiantes de ingeniería de sistemas</w:t>
            </w:r>
          </w:p>
        </w:tc>
      </w:tr>
      <w:tr>
        <w:trPr>
          <w:cantSplit w:val="0"/>
          <w:trHeight w:val="344" w:hRule="atLeast"/>
          <w:tblHeader w:val="0"/>
        </w:trPr>
        <w:tc>
          <w:tcPr>
            <w:shd w:fill="d9d9d9" w:val="clear"/>
            <w:vAlign w:val="center"/>
          </w:tcPr>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Descripción breve del tema de investigación, dirigido a orientar al lector sobre la condición a investigar.</w:t>
            </w:r>
            <w:r w:rsidDel="00000000" w:rsidR="00000000" w:rsidRPr="00000000">
              <w:rPr>
                <w:rtl w:val="0"/>
              </w:rPr>
            </w:r>
          </w:p>
        </w:tc>
      </w:tr>
      <w:tr>
        <w:trPr>
          <w:cantSplit w:val="0"/>
          <w:trHeight w:val="343" w:hRule="atLeast"/>
          <w:tblHeader w:val="0"/>
        </w:trPr>
        <w:tc>
          <w:tcPr>
            <w:shd w:fill="ffffff" w:val="clear"/>
          </w:tcPr>
          <w:p w:rsidR="00000000" w:rsidDel="00000000" w:rsidP="00000000" w:rsidRDefault="00000000" w:rsidRPr="00000000" w14:paraId="0000009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Colombia, las pruebas Saber Pro son un referente nacional para evaluar las competencias genéricas y específicas de los estudiantes universitarios al finalizar su formación, influyendo directamente en la calidad institucional y el prestigio de los programas académicos. En este contexto, el desarrollo de modelos predictivos que permitan anticipar el puntaje de los estudiantes constituye una herramienta estratégica para la mejora educativa.</w:t>
            </w:r>
          </w:p>
          <w:p w:rsidR="00000000" w:rsidDel="00000000" w:rsidP="00000000" w:rsidRDefault="00000000" w:rsidRPr="00000000" w14:paraId="00000096">
            <w:pPr>
              <w:rPr>
                <w:rFonts w:ascii="Arial" w:cs="Arial" w:eastAsia="Arial" w:hAnsi="Arial"/>
                <w:color w:val="a6a6a6"/>
                <w:sz w:val="22"/>
                <w:szCs w:val="22"/>
              </w:rPr>
            </w:pPr>
            <w:r w:rsidDel="00000000" w:rsidR="00000000" w:rsidRPr="00000000">
              <w:rPr>
                <w:rtl w:val="0"/>
              </w:rPr>
            </w:r>
          </w:p>
        </w:tc>
      </w:tr>
      <w:tr>
        <w:trPr>
          <w:cantSplit w:val="0"/>
          <w:trHeight w:val="480" w:hRule="atLeast"/>
          <w:tblHeader w:val="0"/>
        </w:trPr>
        <w:tc>
          <w:tcPr>
            <w:shd w:fill="d9d9d9" w:val="clear"/>
            <w:vAlign w:val="center"/>
          </w:tcPr>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 Descripción de la situación problema que soporta al estudio.</w:t>
            </w:r>
            <w:r w:rsidDel="00000000" w:rsidR="00000000" w:rsidRPr="00000000">
              <w:rPr>
                <w:rtl w:val="0"/>
              </w:rPr>
            </w:r>
          </w:p>
        </w:tc>
      </w:tr>
      <w:tr>
        <w:trPr>
          <w:cantSplit w:val="0"/>
          <w:trHeight w:val="344" w:hRule="atLeast"/>
          <w:tblHeader w:val="0"/>
        </w:trPr>
        <w:tc>
          <w:tcPr>
            <w:shd w:fill="auto" w:val="clear"/>
            <w:vAlign w:val="center"/>
          </w:tcPr>
          <w:p w:rsidR="00000000" w:rsidDel="00000000" w:rsidP="00000000" w:rsidRDefault="00000000" w:rsidRPr="00000000" w14:paraId="00000098">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problema se centra en la dificultad que enfrentan las instituciones de educación superior para anticipar el desempeño de los estudiantes de Ingeniería de Sistemas en las pruebas Saber Pro, un indicador crucial de calidad (García-González et al., 2019; Soto Dueñas, 2024). Esta limitación es grave porque el rendimiento en la prueba es resultado de factores complejos, tanto académicos como socioeconómicos (Narváez Zúñiga, 2022; Vanegas-Ayala et al., 2022). Al carecer de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un modelo predictivo basado en </w:t>
            </w:r>
            <w:r w:rsidDel="00000000" w:rsidR="00000000" w:rsidRPr="00000000">
              <w:rPr>
                <w:rFonts w:ascii="Arial" w:cs="Arial" w:eastAsia="Arial" w:hAnsi="Arial"/>
                <w:i w:val="1"/>
                <w:iCs w:val="1"/>
                <w:sz w:val="22"/>
                <w:szCs w:val="22"/>
                <w:rtl w:val="0"/>
              </w:rPr>
              <w:t xml:space="preserve">Learning Analytics</w:t>
            </w:r>
            <w:r w:rsidDel="00000000" w:rsidR="00000000" w:rsidRPr="00000000">
              <w:rPr>
                <w:rFonts w:ascii="Arial" w:cs="Arial" w:eastAsia="Arial" w:hAnsi="Arial"/>
                <w:sz w:val="22"/>
                <w:szCs w:val="22"/>
                <w:rtl w:val="0"/>
              </w:rPr>
              <w:t xml:space="preserve">, las instituciones pierden la capacidad de implementar estrategias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preventivas tempranas y personalizadas (Norambuena et al., 2022; Oviedo Carrascal &amp; Jiménez Giraldo, 2020), lo que restringe la mejora continua de la calidad educativa en el programa de Ingeniería de Sistemas.</w:t>
            </w:r>
            <w:r w:rsidDel="00000000" w:rsidR="00000000" w:rsidRPr="00000000">
              <w:rPr>
                <w:rtl w:val="0"/>
              </w:rPr>
            </w:r>
          </w:p>
        </w:tc>
      </w:tr>
      <w:tr>
        <w:trPr>
          <w:cantSplit w:val="0"/>
          <w:trHeight w:val="344" w:hRule="atLeast"/>
          <w:tblHeader w:val="0"/>
        </w:trPr>
        <w:tc>
          <w:tcPr>
            <w:shd w:fill="d9d9d9" w:val="clear"/>
            <w:vAlign w:val="center"/>
          </w:tcPr>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Relevancia, pertinencia e impacto del proyecto de investigación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43" w:hRule="atLeast"/>
          <w:tblHeader w:val="0"/>
        </w:trPr>
        <w:tc>
          <w:tcPr>
            <w:shd w:fill="ffffff" w:val="clear"/>
            <w:vAlign w:val="center"/>
          </w:tcPr>
          <w:p w:rsidR="00000000" w:rsidDel="00000000" w:rsidP="00000000" w:rsidRDefault="00000000" w:rsidRPr="00000000" w14:paraId="0000009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Justificación de este proyecto radica en la necesidad de proveer una herramienta objetiva y proactiva que transforme la gestión académica. Un Modelo Predictivo de </w:t>
            </w:r>
            <w:r w:rsidDel="00000000" w:rsidR="00000000" w:rsidRPr="00000000">
              <w:rPr>
                <w:rFonts w:ascii="Arial" w:cs="Arial" w:eastAsia="Arial" w:hAnsi="Arial"/>
                <w:i w:val="1"/>
                <w:iCs w:val="1"/>
                <w:sz w:val="22"/>
                <w:szCs w:val="22"/>
                <w:rtl w:val="0"/>
              </w:rPr>
              <w:t xml:space="preserve">Machine Learning</w:t>
            </w:r>
            <w:r w:rsidDel="00000000" w:rsidR="00000000" w:rsidRPr="00000000">
              <w:rPr>
                <w:rFonts w:ascii="Arial" w:cs="Arial" w:eastAsia="Arial" w:hAnsi="Arial"/>
                <w:sz w:val="22"/>
                <w:szCs w:val="22"/>
                <w:rtl w:val="0"/>
              </w:rPr>
              <w:t xml:space="preserve"> permite la identificación temprana de estudiantes en riesgo (Soto Dueñas, 2024), facilitando la asignación eficiente de recursos a través de intervenciones focalizadas como tutorías o ajustes curriculares (Martínez Cervera, 2021). De esta manera, el proyecto contribuye a optimizar recursos, fomentar una cultura de toma de decisiones basada en evidencia y datos (García-González et al., 2019), y enriquecer el campo de la Minería de Datos Educativos (EDM) con un referente validado para la predicción del Saber Pro.</w:t>
            </w:r>
          </w:p>
        </w:tc>
      </w:tr>
      <w:tr>
        <w:trPr>
          <w:cantSplit w:val="0"/>
          <w:trHeight w:val="344" w:hRule="atLeast"/>
          <w:tblHeader w:val="0"/>
        </w:trPr>
        <w:tc>
          <w:tcPr>
            <w:shd w:fill="d9d9d9" w:val="clear"/>
            <w:vAlign w:val="center"/>
          </w:tcPr>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64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y específicos: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Presentación del objetivo general y los objetivos específicos de su investigación.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433" w:hRule="atLeast"/>
          <w:tblHeader w:val="0"/>
        </w:trPr>
        <w:tc>
          <w:tcPr>
            <w:shd w:fill="ffffff" w:val="clear"/>
            <w:vAlign w:val="center"/>
          </w:tcPr>
          <w:p w:rsidR="00000000" w:rsidDel="00000000" w:rsidP="00000000" w:rsidRDefault="00000000" w:rsidRPr="00000000" w14:paraId="0000009C">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 General:</w:t>
            </w:r>
          </w:p>
          <w:p w:rsidR="00000000" w:rsidDel="00000000" w:rsidP="00000000" w:rsidRDefault="00000000" w:rsidRPr="00000000" w14:paraId="0000009D">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modelo predictivo basado en técnicas de aprendizaje automático que permita estimar el puntaje de los estudiantes de Ingeniería de Sistemas en las pruebas Saber Pro, con el fin de apoyar la toma de decisiones orientadas al mejoramiento académico.</w:t>
            </w:r>
          </w:p>
          <w:p w:rsidR="00000000" w:rsidDel="00000000" w:rsidP="00000000" w:rsidRDefault="00000000" w:rsidRPr="00000000" w14:paraId="0000009F">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Objetivos Específicos:</w:t>
            </w:r>
          </w:p>
          <w:p w:rsidR="00000000" w:rsidDel="00000000" w:rsidP="00000000" w:rsidRDefault="00000000" w:rsidRPr="00000000" w14:paraId="000000A1">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Analizar los factores académicos, socioeconómicos y personales que influyen en el desempeño de los estudiantes en las pruebas Saber Pro.</w:t>
            </w:r>
          </w:p>
          <w:p w:rsidR="00000000" w:rsidDel="00000000" w:rsidP="00000000" w:rsidRDefault="00000000" w:rsidRPr="00000000" w14:paraId="000000A3">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Diseñar la arquitectura del modelo predictivo utilizando técnicas de Machine Learning y métodos estadísticos para identificar patrones en los datos.</w:t>
            </w:r>
          </w:p>
          <w:p w:rsidR="00000000" w:rsidDel="00000000" w:rsidP="00000000" w:rsidRDefault="00000000" w:rsidRPr="00000000" w14:paraId="000000A5">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Implementar y entrenar el modelo predictivo con información histórica de estudiantes del programa de Ingeniería de Sistemas.</w:t>
            </w:r>
          </w:p>
          <w:p w:rsidR="00000000" w:rsidDel="00000000" w:rsidP="00000000" w:rsidRDefault="00000000" w:rsidRPr="00000000" w14:paraId="000000A7">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before="4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Desarrollar una interfaz web que permita visualizar los resultados y predicciones del modelo de manera interactiva y accesible para las instituciones educativas.</w:t>
            </w:r>
            <w:r w:rsidDel="00000000" w:rsidR="00000000" w:rsidRPr="00000000">
              <w:rPr>
                <w:rtl w:val="0"/>
              </w:rPr>
            </w:r>
          </w:p>
        </w:tc>
      </w:tr>
      <w:tr>
        <w:trPr>
          <w:cantSplit w:val="0"/>
          <w:trHeight w:val="341" w:hRule="atLeast"/>
          <w:tblHeader w:val="0"/>
        </w:trPr>
        <w:tc>
          <w:tcPr>
            <w:shd w:fill="d9d9d9" w:val="clear"/>
            <w:vAlign w:val="center"/>
          </w:tcPr>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644" w:right="0" w:hanging="360"/>
              <w:jc w:val="both"/>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 arte de la</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investigación</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 referente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teórico</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Abordaje breve de los principales aspectos teóricos que respaldan la investigación (Conceptos, leyes, principios, fundamentos, etc.). Para las propuestas de investigación y terminados se debe presentar un texto descriptivo.   Para los proyectos terminados se debe presentar un mapa conceptual que refleje una aproximación al referente teórico (no es obligatorio incluirlo en el Póster, sin embargo debe ser sustentado en la socialización).</w:t>
            </w:r>
          </w:p>
        </w:tc>
      </w:tr>
      <w:tr>
        <w:trPr>
          <w:cantSplit w:val="0"/>
          <w:trHeight w:val="367" w:hRule="atLeast"/>
          <w:tblHeader w:val="0"/>
        </w:trPr>
        <w:tc>
          <w:tcPr>
            <w:shd w:fill="ffffff" w:val="clear"/>
            <w:vAlign w:val="center"/>
          </w:tcPr>
          <w:p w:rsidR="00000000" w:rsidDel="00000000" w:rsidP="00000000" w:rsidRDefault="00000000" w:rsidRPr="00000000" w14:paraId="000000A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fundamenta en la Analítica de Aprendizaje, que aplica técnicas de ciencia de datos para analizar información académica y predecir el desempeño estudiantil. A través del aprendizaje supervisado, se pueden identificar relaciones entre variables académicas y socioeconómicas para estimar el puntaje en las pruebas Saber Pro.</w:t>
            </w:r>
          </w:p>
          <w:p w:rsidR="00000000" w:rsidDel="00000000" w:rsidP="00000000" w:rsidRDefault="00000000" w:rsidRPr="00000000" w14:paraId="000000A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Estudios como los de Badal et al. (2022) y Vanegas-Ayala et al. (2021) evidencian la eficacia de métodos como regresión lineal, Random Forest y redes neuronales en la predicción del rendimiento académico. Estos modelos se desarrollan bajo la metodología CRISP-DM, que guía el proceso desde la comprensión del problema hasta la evaluación del modelo.</w:t>
            </w:r>
          </w:p>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el ICFES respalda la importancia de este enfoque, ya que las pruebas Saber Pro son un instrumento clave para evaluar y mejorar la calidad de la educación superior en Colombia.</w:t>
            </w:r>
          </w:p>
        </w:tc>
      </w:tr>
      <w:tr>
        <w:trPr>
          <w:cantSplit w:val="0"/>
          <w:trHeight w:val="344" w:hRule="atLeast"/>
          <w:tblHeader w:val="0"/>
        </w:trPr>
        <w:tc>
          <w:tcPr>
            <w:shd w:fill="d9d9d9" w:val="clear"/>
            <w:vAlign w:val="center"/>
          </w:tcPr>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p>
          <w:p w:rsidR="00000000" w:rsidDel="00000000" w:rsidP="00000000" w:rsidRDefault="00000000" w:rsidRPr="00000000" w14:paraId="000000B1">
            <w:pPr>
              <w:rPr>
                <w:rFonts w:ascii="Arial" w:cs="Arial" w:eastAsia="Arial" w:hAnsi="Arial"/>
                <w:b w:val="1"/>
                <w:bCs w:val="1"/>
                <w:sz w:val="22"/>
                <w:szCs w:val="22"/>
              </w:rPr>
            </w:pPr>
            <w:r w:rsidDel="00000000" w:rsidR="00000000" w:rsidRPr="00000000">
              <w:rPr>
                <w:rFonts w:ascii="Arial" w:cs="Arial" w:eastAsia="Arial" w:hAnsi="Arial"/>
                <w:i w:val="1"/>
                <w:iCs w:val="1"/>
                <w:color w:val="a6a6a6"/>
                <w:sz w:val="22"/>
                <w:szCs w:val="22"/>
                <w:rtl w:val="0"/>
              </w:rPr>
              <w:t xml:space="preserve">Presentación del tipo de investigación, diseño de investigación, Población-muestra, Técnicas de recolección de datos, aspectos éticos.</w:t>
            </w:r>
            <w:r w:rsidDel="00000000" w:rsidR="00000000" w:rsidRPr="00000000">
              <w:rPr>
                <w:rtl w:val="0"/>
              </w:rPr>
            </w:r>
          </w:p>
        </w:tc>
      </w:tr>
      <w:tr>
        <w:trPr>
          <w:cantSplit w:val="0"/>
          <w:trHeight w:val="343" w:hRule="atLeast"/>
          <w:tblHeader w:val="0"/>
        </w:trPr>
        <w:tc>
          <w:tcPr>
            <w:shd w:fill="ffffff" w:val="clear"/>
            <w:vAlign w:val="center"/>
          </w:tcPr>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empleará un enfoque cuantitativo y predictivo basado en técnicas de ciencia de datos para desarrollar un modelo que estime el puntaje en las pruebas Saber Pro de estudiantes de Ingeniería de Sistemas. La metodología se estructura en tres fases principales: (1) recolección y depuración de datos provenientes de fuentes oficiales como el ICFES y registros académicos institucionales; (2) análisis exploratorio y selección de variables mediante métodos estadísticos y de minería de datos para identificar factores relevantes en el desempeño estudiantil; y (3) construcción y validación del modelo predictivo utilizando algoritmos de aprendizaje automático supervisado —como regresión lineal, árboles de decisión y Random Forest— evaluados con métricas de precisión, error cuadrático medio y validación cruzada. Finalmente, se realizará una interpretación de los resultados para proponer estrategias de mejora académica basadas en la evidencia obtenida.</w:t>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tl w:val="0"/>
              </w:rPr>
            </w:r>
          </w:p>
        </w:tc>
      </w:tr>
      <w:tr>
        <w:trPr>
          <w:cantSplit w:val="0"/>
          <w:trHeight w:val="344" w:hRule="atLeast"/>
          <w:tblHeader w:val="0"/>
        </w:trPr>
        <w:tc>
          <w:tcPr>
            <w:shd w:fill="d9d9d9" w:val="clear"/>
            <w:vAlign w:val="center"/>
          </w:tcPr>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Resultados</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5">
            <w:pPr>
              <w:jc w:val="both"/>
              <w:rPr>
                <w:rFonts w:ascii="Arial" w:cs="Arial" w:eastAsia="Arial" w:hAnsi="Arial"/>
                <w:b w:val="1"/>
                <w:bCs w:val="1"/>
                <w:sz w:val="22"/>
                <w:szCs w:val="22"/>
              </w:rPr>
            </w:pPr>
            <w:r w:rsidDel="00000000" w:rsidR="00000000" w:rsidRPr="00000000">
              <w:rPr>
                <w:rFonts w:ascii="Arial" w:cs="Arial" w:eastAsia="Arial" w:hAnsi="Arial"/>
                <w:i w:val="1"/>
                <w:iCs w:val="1"/>
                <w:color w:val="a6a6a6"/>
                <w:sz w:val="22"/>
                <w:szCs w:val="22"/>
                <w:rtl w:val="0"/>
              </w:rPr>
              <w:t xml:space="preserve">Descripción de los datos recolectados; su presentación deberá ser en forma narrativa, sin adicionar tablas ni gráficos. En el caso de propuesta de investigación indique resultados esperados; si corresponde a Investigación en curso indique resultados parciales, si es Investigación terminada indique resultados finales.</w:t>
            </w:r>
            <w:r w:rsidDel="00000000" w:rsidR="00000000" w:rsidRPr="00000000">
              <w:rPr>
                <w:rtl w:val="0"/>
              </w:rPr>
            </w:r>
          </w:p>
        </w:tc>
      </w:tr>
      <w:tr>
        <w:trPr>
          <w:cantSplit w:val="0"/>
          <w:trHeight w:val="344" w:hRule="atLeast"/>
          <w:tblHeader w:val="0"/>
        </w:trPr>
        <w:tc>
          <w:tcPr>
            <w:shd w:fill="ffffff" w:val="clear"/>
            <w:vAlign w:val="center"/>
          </w:tcPr>
          <w:p w:rsidR="00000000" w:rsidDel="00000000" w:rsidP="00000000" w:rsidRDefault="00000000" w:rsidRPr="00000000" w14:paraId="000000B6">
            <w:pPr>
              <w:rPr>
                <w:rFonts w:ascii="Arial" w:cs="Arial" w:eastAsia="Arial" w:hAnsi="Arial"/>
                <w:b w:val="1"/>
                <w:bCs w:val="1"/>
                <w:sz w:val="22"/>
                <w:szCs w:val="22"/>
              </w:rPr>
            </w:pPr>
            <w:r w:rsidDel="00000000" w:rsidR="00000000" w:rsidRPr="00000000">
              <w:rPr>
                <w:rtl w:val="0"/>
              </w:rPr>
            </w:r>
          </w:p>
        </w:tc>
      </w:tr>
      <w:tr>
        <w:trPr>
          <w:cantSplit w:val="0"/>
          <w:trHeight w:val="344" w:hRule="atLeast"/>
          <w:tblHeader w:val="0"/>
        </w:trPr>
        <w:tc>
          <w:tcPr>
            <w:shd w:fill="d9d9d9" w:val="clear"/>
            <w:vAlign w:val="center"/>
          </w:tcPr>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Descripción precisa de los aspectos más relevantes obtenidos en la    investigación.</w:t>
            </w:r>
            <w:r w:rsidDel="00000000" w:rsidR="00000000" w:rsidRPr="00000000">
              <w:rPr>
                <w:rtl w:val="0"/>
              </w:rPr>
            </w:r>
          </w:p>
        </w:tc>
      </w:tr>
      <w:tr>
        <w:trPr>
          <w:cantSplit w:val="0"/>
          <w:trHeight w:val="343" w:hRule="atLeast"/>
          <w:tblHeader w:val="0"/>
        </w:trPr>
        <w:tc>
          <w:tcPr>
            <w:shd w:fill="ffffff" w:val="clear"/>
            <w:vAlign w:val="center"/>
          </w:tcPr>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tl w:val="0"/>
              </w:rPr>
            </w:r>
          </w:p>
        </w:tc>
      </w:tr>
      <w:tr>
        <w:trPr>
          <w:cantSplit w:val="0"/>
          <w:trHeight w:val="344" w:hRule="atLeast"/>
          <w:tblHeader w:val="0"/>
        </w:trPr>
        <w:tc>
          <w:tcPr>
            <w:shd w:fill="d9d9d9" w:val="clear"/>
            <w:vAlign w:val="center"/>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 </w:t>
            </w: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La bibliografía o lista de referencias bibliográficas comprende un inventario de los materiales consultados y citados. Indicar cuál tipo de norma bibliográfica utilizará en el proyecto (APA o Vancouver). Mínimo cinco (5)</w:t>
            </w:r>
          </w:p>
        </w:tc>
      </w:tr>
      <w:tr>
        <w:trPr>
          <w:cantSplit w:val="0"/>
          <w:trHeight w:val="344" w:hRule="atLeast"/>
          <w:tblHeader w:val="0"/>
        </w:trPr>
        <w:tc>
          <w:tcPr>
            <w:shd w:fill="ffffff" w:val="clear"/>
            <w:vAlign w:val="center"/>
          </w:tcPr>
          <w:p w:rsidR="00000000" w:rsidDel="00000000" w:rsidP="00000000" w:rsidRDefault="00000000" w:rsidRPr="00000000" w14:paraId="000000BA">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Vanegas-Ayala, S. C. ., Leal-Lara, D. D., y Barón-Velandia, J. . (2022). Predicción rendimiento estudiantes pruebas saber pro en pandemia junto con las características socioeconómicas: Prediction of student performance saber pro test in pandemic together with socioeconomic characteristics. Tecnología Investigación y Academia, 9(2), 5–16. </w:t>
            </w:r>
            <w:hyperlink r:id="rId7">
              <w:r w:rsidDel="00000000" w:rsidR="00000000" w:rsidRPr="00000000">
                <w:rPr>
                  <w:rFonts w:ascii="Arial" w:cs="Arial" w:eastAsia="Arial" w:hAnsi="Arial"/>
                  <w:color w:val="0000ff"/>
                  <w:sz w:val="22"/>
                  <w:szCs w:val="22"/>
                  <w:u w:val="single"/>
                  <w:rtl w:val="0"/>
                </w:rPr>
                <w:t xml:space="preserve">https://revistas.udistrital.edu.co/index.php/tia/article/view/19446</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B">
            <w:pPr>
              <w:ind w:left="28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Narváez Zúñiga, A. F. (2022). Modelo estadístico para determinar los factores académicos en los resultados de las pruebas Saber Pro. Investigación E Innovación En Ingenierías, 11(1), 3–21. </w:t>
            </w:r>
            <w:hyperlink r:id="rId8">
              <w:r w:rsidDel="00000000" w:rsidR="00000000" w:rsidRPr="00000000">
                <w:rPr>
                  <w:rFonts w:ascii="Arial" w:cs="Arial" w:eastAsia="Arial" w:hAnsi="Arial"/>
                  <w:color w:val="0000ff"/>
                  <w:sz w:val="22"/>
                  <w:szCs w:val="22"/>
                  <w:u w:val="single"/>
                  <w:rtl w:val="0"/>
                </w:rPr>
                <w:t xml:space="preserve">https://doi.org/10.17081/invinno.11.1.6255</w:t>
              </w:r>
            </w:hyperlink>
            <w:r w:rsidDel="00000000" w:rsidR="00000000" w:rsidRPr="00000000">
              <w:rPr>
                <w:rtl w:val="0"/>
              </w:rPr>
            </w:r>
          </w:p>
          <w:p w:rsidR="00000000" w:rsidDel="00000000" w:rsidP="00000000" w:rsidRDefault="00000000" w:rsidRPr="00000000" w14:paraId="000000BD">
            <w:pPr>
              <w:ind w:left="28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García-González, J. R., Sánchez-Sánchez, P. A., Orozco, M., &amp; Obredor, S. (2019). Extracción de conocimiento para la predicción y análisis de los resultados de la prueba de calidad de la educación superior en Colombia – Saber Pro. Universidad de La Serena. </w:t>
            </w:r>
            <w:hyperlink r:id="rId9">
              <w:r w:rsidDel="00000000" w:rsidR="00000000" w:rsidRPr="00000000">
                <w:rPr>
                  <w:rFonts w:ascii="Arial" w:cs="Arial" w:eastAsia="Arial" w:hAnsi="Arial"/>
                  <w:color w:val="0000ff"/>
                  <w:sz w:val="22"/>
                  <w:szCs w:val="22"/>
                  <w:u w:val="single"/>
                  <w:rtl w:val="0"/>
                </w:rPr>
                <w:t xml:space="preserve">https://bonga.unisimon.edu.co/items/99dac16c-d833-4cc3-aefa-7e7c655295b6</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F">
            <w:pPr>
              <w:ind w:left="28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Martínez Cervera, D. E. (2021). Modelo de pronóstico en la educación superior en pruebas específicas de ingeniería, licenciatura y pensamiento científico matemático en Saber Pro aplicando Machine Learning. Universidad Distrital Francisco José de Caldas. </w:t>
            </w:r>
            <w:hyperlink r:id="rId10">
              <w:r w:rsidDel="00000000" w:rsidR="00000000" w:rsidRPr="00000000">
                <w:rPr>
                  <w:rFonts w:ascii="Arial" w:cs="Arial" w:eastAsia="Arial" w:hAnsi="Arial"/>
                  <w:color w:val="0000ff"/>
                  <w:sz w:val="22"/>
                  <w:szCs w:val="22"/>
                  <w:u w:val="single"/>
                  <w:rtl w:val="0"/>
                </w:rPr>
                <w:t xml:space="preserve">https://repository.udistrital.edu.co/items/3cba5331-8f7f-4236-bfac-9c60a3d314c7</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1">
            <w:pPr>
              <w:ind w:left="28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Oviedo Carrascal, A. I., &amp; Jiménez Giraldo, J. (2020). Minería de datos educativos: análisis del desempeño de estudiantes de ingeniería en las pruebas Saber Pro. Revista Politécnica, 16(31), 79–89. </w:t>
            </w:r>
            <w:hyperlink r:id="rId11">
              <w:r w:rsidDel="00000000" w:rsidR="00000000" w:rsidRPr="00000000">
                <w:rPr>
                  <w:rFonts w:ascii="Arial" w:cs="Arial" w:eastAsia="Arial" w:hAnsi="Arial"/>
                  <w:color w:val="0000ff"/>
                  <w:sz w:val="22"/>
                  <w:szCs w:val="22"/>
                  <w:u w:val="single"/>
                  <w:rtl w:val="0"/>
                </w:rPr>
                <w:t xml:space="preserve">https://revistas.elpoli.edu.co/index.php/pol/article/view/1499</w:t>
              </w:r>
            </w:hyperlink>
            <w:r w:rsidDel="00000000" w:rsidR="00000000" w:rsidRPr="00000000">
              <w:rPr>
                <w:rtl w:val="0"/>
              </w:rPr>
            </w:r>
          </w:p>
          <w:p w:rsidR="00000000" w:rsidDel="00000000" w:rsidP="00000000" w:rsidRDefault="00000000" w:rsidRPr="00000000" w14:paraId="000000C3">
            <w:pPr>
              <w:ind w:left="28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Soto Dueñas, J. L. (2024). Diseño de un modelo predictivo del desempeño académico (Saber Pro). Universidad del Rosario. </w:t>
            </w:r>
            <w:hyperlink r:id="rId12">
              <w:r w:rsidDel="00000000" w:rsidR="00000000" w:rsidRPr="00000000">
                <w:rPr>
                  <w:rFonts w:ascii="Arial" w:cs="Arial" w:eastAsia="Arial" w:hAnsi="Arial"/>
                  <w:color w:val="0000ff"/>
                  <w:sz w:val="22"/>
                  <w:szCs w:val="22"/>
                  <w:u w:val="single"/>
                  <w:rtl w:val="0"/>
                </w:rPr>
                <w:t xml:space="preserve">https://repository.urosario.edu.co/items/175214b4-5bc3-4328-bedc-ec4a9b0fa625</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5">
            <w:pPr>
              <w:ind w:left="28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ind w:left="2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Norambuena, J. M., Badilla-Quintana, M. G., &amp; Angulo, Y. L. (2022). Modelos predictivos basados en uso de analíticas de aprendizaje en educación superior: una revisión sistemática. Texto Livre, 15. </w:t>
            </w:r>
            <w:hyperlink r:id="rId13">
              <w:r w:rsidDel="00000000" w:rsidR="00000000" w:rsidRPr="00000000">
                <w:rPr>
                  <w:rFonts w:ascii="Arial" w:cs="Arial" w:eastAsia="Arial" w:hAnsi="Arial"/>
                  <w:color w:val="0000ff"/>
                  <w:sz w:val="22"/>
                  <w:szCs w:val="22"/>
                  <w:u w:val="single"/>
                  <w:rtl w:val="0"/>
                </w:rPr>
                <w:t xml:space="preserve">https://www.scielo.br/j/tl/a/Gs8gvXkzMkks5sVZjgBdhPP/?lang=es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7">
            <w:pPr>
              <w:ind w:left="284"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8">
            <w:pPr>
              <w:ind w:left="284" w:firstLine="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0C9">
      <w:pPr>
        <w:rPr>
          <w:rFonts w:ascii="Arial" w:cs="Arial" w:eastAsia="Arial" w:hAnsi="Arial"/>
          <w:sz w:val="22"/>
          <w:szCs w:val="22"/>
        </w:rPr>
      </w:pPr>
      <w:r w:rsidDel="00000000" w:rsidR="00000000" w:rsidRPr="00000000">
        <w:rPr>
          <w:rtl w:val="0"/>
        </w:rPr>
      </w:r>
    </w:p>
    <w:sectPr>
      <w:headerReference r:id="rId14" w:type="default"/>
      <w:headerReference r:id="rId15" w:type="first"/>
      <w:footerReference r:id="rId16" w:type="first"/>
      <w:footerReference r:id="rId17" w:type="even"/>
      <w:pgSz w:h="15842" w:w="12242" w:orient="portrait"/>
      <w:pgMar w:bottom="1440" w:top="1440" w:left="1080" w:right="1080" w:header="43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ff"/>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ff"/>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4"/>
      <w:tblW w:w="8223.0" w:type="dxa"/>
      <w:jc w:val="center"/>
      <w:tblLayout w:type="fixed"/>
      <w:tblLook w:val="0000"/>
    </w:tblPr>
    <w:tblGrid>
      <w:gridCol w:w="283"/>
      <w:gridCol w:w="2503"/>
      <w:gridCol w:w="5051"/>
      <w:gridCol w:w="386"/>
      <w:tblGridChange w:id="0">
        <w:tblGrid>
          <w:gridCol w:w="283"/>
          <w:gridCol w:w="2503"/>
          <w:gridCol w:w="5051"/>
          <w:gridCol w:w="386"/>
        </w:tblGrid>
      </w:tblGridChange>
    </w:tblGrid>
    <w:tr>
      <w:trPr>
        <w:cantSplit w:val="0"/>
        <w:trHeight w:val="419"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INSCRIPCIÓN DE PROYECTOS DE SEMILLEROS DE INVESTIGACIÓN.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2"/>
          <w:vMerge w:val="restart"/>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2" w:hRule="atLeast"/>
        <w:tblHeader w:val="0"/>
      </w:trPr>
      <w:tc>
        <w:tcPr>
          <w:gridSpan w:val="2"/>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-16926</wp:posOffset>
          </wp:positionH>
          <wp:positionV relativeFrom="paragraph">
            <wp:posOffset>-871483</wp:posOffset>
          </wp:positionV>
          <wp:extent cx="854878" cy="941696"/>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4878" cy="94169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082.0" w:type="dxa"/>
      <w:jc w:val="center"/>
      <w:tblLayout w:type="fixed"/>
      <w:tblLook w:val="0000"/>
    </w:tblPr>
    <w:tblGrid>
      <w:gridCol w:w="2787"/>
      <w:gridCol w:w="5049"/>
      <w:gridCol w:w="2246"/>
      <w:tblGridChange w:id="0">
        <w:tblGrid>
          <w:gridCol w:w="2787"/>
          <w:gridCol w:w="5049"/>
          <w:gridCol w:w="2246"/>
        </w:tblGrid>
      </w:tblGridChange>
    </w:tblGrid>
    <w:tr>
      <w:trPr>
        <w:cantSplit w:val="0"/>
        <w:trHeight w:val="419" w:hRule="atLeast"/>
        <w:tblHeader w:val="0"/>
      </w:trPr>
      <w:tc>
        <w:tcPr>
          <w:vMerge w:val="restart"/>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0" distR="0">
                <wp:extent cx="1511269" cy="355017"/>
                <wp:effectExtent b="0" l="0" r="0" t="0"/>
                <wp:docPr descr="Logo" id="4" name="image2.jpg"/>
                <a:graphic>
                  <a:graphicData uri="http://schemas.openxmlformats.org/drawingml/2006/picture">
                    <pic:pic>
                      <pic:nvPicPr>
                        <pic:cNvPr descr="Logo" id="0" name="image2.jpg"/>
                        <pic:cNvPicPr preferRelativeResize="0"/>
                      </pic:nvPicPr>
                      <pic:blipFill>
                        <a:blip r:embed="rId1"/>
                        <a:srcRect b="0" l="0" r="0" t="0"/>
                        <a:stretch>
                          <a:fillRect/>
                        </a:stretch>
                      </pic:blipFill>
                      <pic:spPr>
                        <a:xfrm>
                          <a:off x="0" y="0"/>
                          <a:ext cx="1511269" cy="355017"/>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INSCRIPCIÓN DE PROYECTOS DE SEMILLEROS DE INVESTIGACIÓN.</w:t>
          </w:r>
          <w:r w:rsidDel="00000000" w:rsidR="00000000" w:rsidRPr="00000000">
            <w:rPr>
              <w:rtl w:val="0"/>
            </w:rPr>
          </w:r>
        </w:p>
      </w:tc>
      <w:tc>
        <w:tcPr>
          <w:vAlign w:val="center"/>
        </w:tcPr>
        <w:p w:rsidR="00000000" w:rsidDel="00000000" w:rsidP="00000000" w:rsidRDefault="00000000" w:rsidRPr="00000000" w14:paraId="000000DB">
          <w:pPr>
            <w:rPr>
              <w:rFonts w:ascii="Arial" w:cs="Arial" w:eastAsia="Arial" w:hAnsi="Arial"/>
              <w:b w:val="1"/>
              <w:bCs w:val="1"/>
            </w:rPr>
          </w:pPr>
          <w:r w:rsidDel="00000000" w:rsidR="00000000" w:rsidRPr="00000000">
            <w:rPr>
              <w:rFonts w:ascii="Arial" w:cs="Arial" w:eastAsia="Arial" w:hAnsi="Arial"/>
              <w:b w:val="1"/>
              <w:bCs w:val="1"/>
              <w:rtl w:val="0"/>
            </w:rPr>
            <w:t xml:space="preserve">IN-FR-39</w:t>
          </w:r>
        </w:p>
      </w:tc>
    </w:tr>
    <w:tr>
      <w:trPr>
        <w:cantSplit w:val="0"/>
        <w:trHeight w:val="355" w:hRule="atLeast"/>
        <w:tblHeader w:val="0"/>
      </w:trPr>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DE">
          <w:pPr>
            <w:rPr>
              <w:rFonts w:ascii="Arial" w:cs="Arial" w:eastAsia="Arial" w:hAnsi="Arial"/>
              <w:b w:val="1"/>
              <w:bCs w:val="1"/>
            </w:rPr>
          </w:pPr>
          <w:r w:rsidDel="00000000" w:rsidR="00000000" w:rsidRPr="00000000">
            <w:rPr>
              <w:rFonts w:ascii="Arial" w:cs="Arial" w:eastAsia="Arial" w:hAnsi="Arial"/>
              <w:b w:val="1"/>
              <w:bCs w:val="1"/>
              <w:rtl w:val="0"/>
            </w:rPr>
            <w:t xml:space="preserve">Versión. 08</w:t>
          </w:r>
        </w:p>
      </w:tc>
    </w:tr>
    <w:tr>
      <w:trPr>
        <w:cantSplit w:val="0"/>
        <w:trHeight w:val="362" w:hRule="atLeast"/>
        <w:tblHeader w:val="0"/>
      </w:trPr>
      <w:tc>
        <w:tcPr>
          <w:vMerge w:val="continue"/>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E1">
          <w:pPr>
            <w:rPr>
              <w:rFonts w:ascii="Arial" w:cs="Arial" w:eastAsia="Arial" w:hAnsi="Arial"/>
              <w:b w:val="1"/>
              <w:bCs w:val="1"/>
            </w:rPr>
          </w:pPr>
          <w:r w:rsidDel="00000000" w:rsidR="00000000" w:rsidRPr="00000000">
            <w:rPr>
              <w:rFonts w:ascii="Arial" w:cs="Arial" w:eastAsia="Arial" w:hAnsi="Arial"/>
              <w:b w:val="1"/>
              <w:bCs w:val="1"/>
              <w:rtl w:val="0"/>
            </w:rPr>
            <w:t xml:space="preserve">Fecha. 16-09-2020</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jc w:val="center"/>
    </w:pPr>
    <w:rPr>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rsid w:val="00707A63"/>
    <w:rPr>
      <w:rFonts w:ascii="Times New Roman" w:cs="Times New Roman" w:eastAsia="Times New Roman" w:hAnsi="Times New Roman"/>
      <w:b w:val="1"/>
      <w:szCs w:val="20"/>
      <w:lang w:eastAsia="es-CO" w:val="es-ES_tradnl"/>
    </w:rPr>
  </w:style>
  <w:style w:type="paragraph" w:styleId="Piedepgina">
    <w:name w:val="footer"/>
    <w:basedOn w:val="Normal"/>
    <w:link w:val="PiedepginaCar"/>
    <w:uiPriority w:val="99"/>
    <w:rsid w:val="00707A63"/>
    <w:pPr>
      <w:tabs>
        <w:tab w:val="center" w:pos="4252"/>
        <w:tab w:val="right" w:pos="8504"/>
      </w:tabs>
    </w:pPr>
    <w:rPr>
      <w:rFonts w:ascii="Arial" w:hAnsi="Arial"/>
      <w:color w:val="0000ff"/>
      <w:sz w:val="28"/>
      <w:lang w:val="es-ES_tradnl"/>
    </w:rPr>
  </w:style>
  <w:style w:type="character" w:styleId="PiedepginaCar" w:customStyle="1">
    <w:name w:val="Pie de página Car"/>
    <w:basedOn w:val="Fuentedeprrafopredeter"/>
    <w:link w:val="Piedepgina"/>
    <w:uiPriority w:val="99"/>
    <w:rsid w:val="00707A63"/>
    <w:rPr>
      <w:rFonts w:ascii="Arial" w:cs="Times New Roman" w:eastAsia="Times New Roman" w:hAnsi="Arial"/>
      <w:color w:val="0000ff"/>
      <w:sz w:val="28"/>
      <w:szCs w:val="20"/>
      <w:lang w:eastAsia="es-CO" w:val="es-ES_tradnl"/>
    </w:rPr>
  </w:style>
  <w:style w:type="character" w:styleId="Nmerodepgina">
    <w:name w:val="page number"/>
    <w:basedOn w:val="Fuentedeprrafopredeter"/>
    <w:rsid w:val="00707A63"/>
  </w:style>
  <w:style w:type="paragraph" w:styleId="Textoindependiente">
    <w:name w:val="Body Text"/>
    <w:basedOn w:val="Normal"/>
    <w:link w:val="TextoindependienteCar"/>
    <w:rsid w:val="00707A63"/>
    <w:rPr>
      <w:rFonts w:ascii="Arial" w:hAnsi="Arial"/>
      <w:sz w:val="22"/>
    </w:rPr>
  </w:style>
  <w:style w:type="character" w:styleId="TextoindependienteCar" w:customStyle="1">
    <w:name w:val="Texto independiente Car"/>
    <w:basedOn w:val="Fuentedeprrafopredeter"/>
    <w:link w:val="Textoindependiente"/>
    <w:rsid w:val="00707A63"/>
    <w:rPr>
      <w:rFonts w:ascii="Arial" w:cs="Times New Roman" w:eastAsia="Times New Roman" w:hAnsi="Arial"/>
      <w:szCs w:val="20"/>
      <w:lang w:eastAsia="es-CO" w:val="es-ES"/>
    </w:rPr>
  </w:style>
  <w:style w:type="paragraph" w:styleId="Encabezado">
    <w:name w:val="header"/>
    <w:basedOn w:val="Normal"/>
    <w:link w:val="EncabezadoCar"/>
    <w:uiPriority w:val="99"/>
    <w:rsid w:val="00707A63"/>
    <w:pPr>
      <w:tabs>
        <w:tab w:val="center" w:pos="4252"/>
        <w:tab w:val="right" w:pos="8504"/>
      </w:tabs>
    </w:pPr>
  </w:style>
  <w:style w:type="character" w:styleId="EncabezadoCar" w:customStyle="1">
    <w:name w:val="Encabezado Car"/>
    <w:basedOn w:val="Fuentedeprrafopredeter"/>
    <w:link w:val="Encabezado"/>
    <w:uiPriority w:val="99"/>
    <w:rsid w:val="00707A63"/>
    <w:rPr>
      <w:rFonts w:ascii="Times New Roman" w:cs="Times New Roman" w:eastAsia="Times New Roman" w:hAnsi="Times New Roman"/>
      <w:sz w:val="20"/>
      <w:szCs w:val="20"/>
      <w:lang w:eastAsia="es-CO" w:val="es-ES"/>
    </w:rPr>
  </w:style>
  <w:style w:type="table" w:styleId="Tablaconcuadrcula">
    <w:name w:val="Table Grid"/>
    <w:basedOn w:val="Tablanormal"/>
    <w:uiPriority w:val="39"/>
    <w:rsid w:val="00707A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07A63"/>
    <w:pPr>
      <w:ind w:left="720"/>
      <w:contextualSpacing w:val="1"/>
    </w:pPr>
  </w:style>
  <w:style w:type="paragraph" w:styleId="Textodeglobo">
    <w:name w:val="Balloon Text"/>
    <w:basedOn w:val="Normal"/>
    <w:link w:val="TextodegloboCar"/>
    <w:uiPriority w:val="99"/>
    <w:semiHidden w:val="1"/>
    <w:unhideWhenUsed w:val="1"/>
    <w:rsid w:val="00327FD0"/>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27FD0"/>
    <w:rPr>
      <w:rFonts w:ascii="Tahoma" w:cs="Tahoma" w:eastAsia="Times New Roman" w:hAnsi="Tahoma"/>
      <w:sz w:val="16"/>
      <w:szCs w:val="16"/>
      <w:lang w:eastAsia="es-CO" w:val="es-ES"/>
    </w:rPr>
  </w:style>
  <w:style w:type="character" w:styleId="Refdenotaalfinal">
    <w:name w:val="endnote reference"/>
    <w:semiHidden w:val="1"/>
    <w:rsid w:val="00564510"/>
    <w:rPr>
      <w:vertAlign w:val="superscript"/>
    </w:rPr>
  </w:style>
  <w:style w:type="character" w:styleId="Hipervnculo">
    <w:name w:val="Hyperlink"/>
    <w:rsid w:val="00564510"/>
    <w:rPr>
      <w:color w:val="0000ff"/>
      <w:u w:val="single"/>
    </w:rPr>
  </w:style>
  <w:style w:type="paragraph" w:styleId="Sinespaciado1" w:customStyle="1">
    <w:name w:val="Sin espaciado1"/>
    <w:rsid w:val="008076EE"/>
    <w:pPr>
      <w:spacing w:after="0" w:line="240" w:lineRule="auto"/>
    </w:pPr>
    <w:rPr>
      <w:rFonts w:ascii="Calibri" w:cs="Calibri" w:eastAsia="Times New Roman" w:hAnsi="Calibri"/>
      <w:lang w:val="es-ES"/>
    </w:rPr>
  </w:style>
  <w:style w:type="character" w:styleId="Refdecomentario">
    <w:name w:val="annotation reference"/>
    <w:basedOn w:val="Fuentedeprrafopredeter"/>
    <w:uiPriority w:val="99"/>
    <w:semiHidden w:val="1"/>
    <w:unhideWhenUsed w:val="1"/>
    <w:rsid w:val="00447C85"/>
    <w:rPr>
      <w:sz w:val="16"/>
      <w:szCs w:val="16"/>
    </w:rPr>
  </w:style>
  <w:style w:type="paragraph" w:styleId="Textocomentario">
    <w:name w:val="annotation text"/>
    <w:basedOn w:val="Normal"/>
    <w:link w:val="TextocomentarioCar"/>
    <w:uiPriority w:val="99"/>
    <w:semiHidden w:val="1"/>
    <w:unhideWhenUsed w:val="1"/>
    <w:rsid w:val="00447C85"/>
  </w:style>
  <w:style w:type="character" w:styleId="TextocomentarioCar" w:customStyle="1">
    <w:name w:val="Texto comentario Car"/>
    <w:basedOn w:val="Fuentedeprrafopredeter"/>
    <w:link w:val="Textocomentario"/>
    <w:uiPriority w:val="99"/>
    <w:semiHidden w:val="1"/>
    <w:rsid w:val="00447C85"/>
    <w:rPr>
      <w:rFonts w:ascii="Times New Roman" w:cs="Times New Roman" w:eastAsia="Times New Roman" w:hAnsi="Times New Roman"/>
      <w:sz w:val="20"/>
      <w:szCs w:val="20"/>
      <w:lang w:eastAsia="es-CO" w:val="es-ES"/>
    </w:rPr>
  </w:style>
  <w:style w:type="paragraph" w:styleId="Asuntodelcomentario">
    <w:name w:val="annotation subject"/>
    <w:basedOn w:val="Textocomentario"/>
    <w:next w:val="Textocomentario"/>
    <w:link w:val="AsuntodelcomentarioCar"/>
    <w:uiPriority w:val="99"/>
    <w:semiHidden w:val="1"/>
    <w:unhideWhenUsed w:val="1"/>
    <w:rsid w:val="00447C85"/>
    <w:rPr>
      <w:b w:val="1"/>
      <w:bCs w:val="1"/>
    </w:rPr>
  </w:style>
  <w:style w:type="character" w:styleId="AsuntodelcomentarioCar" w:customStyle="1">
    <w:name w:val="Asunto del comentario Car"/>
    <w:basedOn w:val="TextocomentarioCar"/>
    <w:link w:val="Asuntodelcomentario"/>
    <w:uiPriority w:val="99"/>
    <w:semiHidden w:val="1"/>
    <w:rsid w:val="00447C85"/>
    <w:rPr>
      <w:rFonts w:ascii="Times New Roman" w:cs="Times New Roman" w:eastAsia="Times New Roman" w:hAnsi="Times New Roman"/>
      <w:b w:val="1"/>
      <w:bCs w:val="1"/>
      <w:sz w:val="20"/>
      <w:szCs w:val="20"/>
      <w:lang w:eastAsia="es-CO" w:val="es-ES"/>
    </w:rPr>
  </w:style>
  <w:style w:type="character" w:styleId="nfasis">
    <w:name w:val="Emphasis"/>
    <w:basedOn w:val="Fuentedeprrafopredeter"/>
    <w:uiPriority w:val="20"/>
    <w:qFormat w:val="1"/>
    <w:rsid w:val="00F86225"/>
    <w:rPr>
      <w:i w:val="1"/>
      <w:iCs w:val="1"/>
    </w:rPr>
  </w:style>
  <w:style w:type="paragraph" w:styleId="Revisin">
    <w:name w:val="Revision"/>
    <w:hidden w:val="1"/>
    <w:uiPriority w:val="99"/>
    <w:semiHidden w:val="1"/>
    <w:rsid w:val="00E01293"/>
    <w:pPr>
      <w:spacing w:after="0" w:line="240" w:lineRule="auto"/>
    </w:pPr>
    <w:rPr>
      <w:rFonts w:ascii="Times New Roman" w:cs="Times New Roman" w:eastAsia="Times New Roman" w:hAnsi="Times New Roman"/>
      <w:sz w:val="20"/>
      <w:szCs w:val="20"/>
      <w:lang w:eastAsia="es-CO" w:val="es-ES"/>
    </w:rPr>
  </w:style>
  <w:style w:type="paragraph" w:styleId="Bibliografa">
    <w:name w:val="Bibliography"/>
    <w:basedOn w:val="Normal"/>
    <w:next w:val="Normal"/>
    <w:uiPriority w:val="37"/>
    <w:unhideWhenUsed w:val="1"/>
    <w:rsid w:val="003E0136"/>
    <w:pPr>
      <w:spacing w:after="240" w:before="240" w:line="360" w:lineRule="auto"/>
      <w:jc w:val="both"/>
    </w:pPr>
    <w:rPr>
      <w:rFonts w:cstheme="minorBidi" w:eastAsiaTheme="minorHAnsi"/>
      <w:sz w:val="24"/>
      <w:szCs w:val="22"/>
      <w:lang w:eastAsia="en-US" w:val="es-ES_tradnl"/>
    </w:rPr>
  </w:style>
  <w:style w:type="paragraph" w:styleId="Default" w:customStyle="1">
    <w:name w:val="Default"/>
    <w:rsid w:val="00E55E3D"/>
    <w:pPr>
      <w:autoSpaceDE w:val="0"/>
      <w:autoSpaceDN w:val="0"/>
      <w:adjustRightInd w:val="0"/>
      <w:spacing w:after="0" w:line="240" w:lineRule="auto"/>
    </w:pPr>
    <w:rPr>
      <w:rFonts w:ascii="Times New Roman" w:cs="Times New Roman" w:hAnsi="Times New Roman"/>
      <w:color w:val="000000"/>
      <w:sz w:val="24"/>
      <w:szCs w:val="24"/>
      <w:lang w:val="en-GB"/>
    </w:rPr>
  </w:style>
  <w:style w:type="paragraph" w:styleId="paragraph" w:customStyle="1">
    <w:name w:val="paragraph"/>
    <w:basedOn w:val="Normal"/>
    <w:rsid w:val="005F374A"/>
    <w:pPr>
      <w:spacing w:after="100" w:afterAutospacing="1" w:before="100" w:beforeAutospacing="1"/>
    </w:pPr>
    <w:rPr>
      <w:sz w:val="24"/>
      <w:szCs w:val="24"/>
      <w:lang w:eastAsia="es-ES"/>
    </w:rPr>
  </w:style>
  <w:style w:type="character" w:styleId="normaltextrun" w:customStyle="1">
    <w:name w:val="normaltextrun"/>
    <w:basedOn w:val="Fuentedeprrafopredeter"/>
    <w:rsid w:val="005F374A"/>
  </w:style>
  <w:style w:type="character" w:styleId="eop" w:customStyle="1">
    <w:name w:val="eop"/>
    <w:basedOn w:val="Fuentedeprrafopredeter"/>
    <w:rsid w:val="005F374A"/>
  </w:style>
  <w:style w:type="character" w:styleId="spellingerror" w:customStyle="1">
    <w:name w:val="spellingerror"/>
    <w:basedOn w:val="Fuentedeprrafopredeter"/>
    <w:rsid w:val="005F374A"/>
  </w:style>
  <w:style w:type="paragraph" w:styleId="NormalWeb">
    <w:name w:val="Normal (Web)"/>
    <w:basedOn w:val="Normal"/>
    <w:uiPriority w:val="99"/>
    <w:unhideWhenUsed w:val="1"/>
    <w:rsid w:val="007A4573"/>
    <w:pPr>
      <w:spacing w:after="100" w:afterAutospacing="1" w:before="100" w:beforeAutospacing="1"/>
    </w:pPr>
    <w:rPr>
      <w:sz w:val="24"/>
      <w:szCs w:val="24"/>
      <w:lang w:eastAsia="es-ES"/>
    </w:rPr>
  </w:style>
  <w:style w:type="character" w:styleId="Textodelmarcadordeposicin">
    <w:name w:val="Placeholder Text"/>
    <w:basedOn w:val="Fuentedeprrafopredeter"/>
    <w:uiPriority w:val="99"/>
    <w:semiHidden w:val="1"/>
    <w:rsid w:val="00696A0C"/>
    <w:rPr>
      <w:color w:val="808080"/>
    </w:rPr>
  </w:style>
  <w:style w:type="character" w:styleId="Mencinsinresolver">
    <w:name w:val="Unresolved Mention"/>
    <w:basedOn w:val="Fuentedeprrafopredeter"/>
    <w:uiPriority w:val="99"/>
    <w:semiHidden w:val="1"/>
    <w:unhideWhenUsed w:val="1"/>
    <w:rsid w:val="0069053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s.elpoli.edu.co/index.php/pol/article/view/1499" TargetMode="External"/><Relationship Id="rId10" Type="http://schemas.openxmlformats.org/officeDocument/2006/relationships/hyperlink" Target="https://repository.udistrital.edu.co/items/3cba5331-8f7f-4236-bfac-9c60a3d314c7" TargetMode="External"/><Relationship Id="rId13" Type="http://schemas.openxmlformats.org/officeDocument/2006/relationships/hyperlink" Target="https://www.scielo.br/j/tl/a/Gs8gvXkzMkks5sVZjgBdhPP/?lang=es" TargetMode="External"/><Relationship Id="rId12" Type="http://schemas.openxmlformats.org/officeDocument/2006/relationships/hyperlink" Target="https://repository.urosario.edu.co/items/175214b4-5bc3-4328-bedc-ec4a9b0fa6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nga.unisimon.edu.co/items/99dac16c-d833-4cc3-aefa-7e7c655295b6"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vistas.udistrital.edu.co/index.php/tia/article/view/19446" TargetMode="External"/><Relationship Id="rId8" Type="http://schemas.openxmlformats.org/officeDocument/2006/relationships/hyperlink" Target="https://doi.org/10.17081/invinno.11.1.62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lásico de Offic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XqiJtt9teQGV3ATuGA5ybfquQ==">CgMxLjA4AHIhMXhtRktvT19MdklTTVQ1RnpVUU91NDlQazRMdGNoVkcx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2025-10-14T19:13:00Z</dcterms:created>
  <dc:creator>Margarita María Zapata Restrepo</dc:creator>
</cp:coreProperties>
</file>