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0C4E2D"/>
          <w:sz w:val="22"/>
        </w:rPr>
        <w:t>CENTRAL LUZON STATE UNIVERSITY</w:t>
        <w:br/>
      </w:r>
      <w:r>
        <w:rPr>
          <w:rFonts w:ascii="Calibri" w:hAnsi="Calibri"/>
          <w:b/>
          <w:color w:val="505050"/>
          <w:sz w:val="19"/>
        </w:rPr>
        <w:t>College of Engineering • Department of Information Technology</w:t>
        <w:br/>
      </w:r>
      <w:r>
        <w:rPr>
          <w:rFonts w:ascii="Calibri" w:hAnsi="Calibri"/>
          <w:color w:val="646464"/>
          <w:sz w:val="17"/>
        </w:rPr>
        <w:t>Science City of Muñoz, Nueva Ecija, Philippines</w:t>
        <w:br/>
        <w:br/>
      </w:r>
      <w:r>
        <w:rPr>
          <w:rFonts w:ascii="Calibri" w:hAnsi="Calibri"/>
          <w:b/>
          <w:color w:val="0C4E2D"/>
          <w:sz w:val="26"/>
        </w:rPr>
        <w:t>IT EXPERT SYSTEM TESTING AND ACCEPTANCE FORM</w:t>
        <w:br/>
      </w:r>
      <w:r>
        <w:rPr>
          <w:rFonts w:ascii="Calibri" w:hAnsi="Calibri"/>
          <w:b/>
          <w:color w:val="505050"/>
          <w:sz w:val="20"/>
        </w:rPr>
        <w:t>[IT EXPERT &amp; TECHNICAL EVALUATOR ROLE]</w:t>
        <w:br/>
      </w:r>
    </w:p>
    <w:p>
      <w:pPr>
        <w:spacing w:before="0" w:after="120"/>
        <w:jc w:val="center"/>
      </w:pPr>
      <w:r>
        <w:rPr>
          <w:rFonts w:ascii="Calibri" w:hAnsi="Calibri"/>
          <w:i/>
          <w:color w:val="505050"/>
          <w:sz w:val="19"/>
        </w:rPr>
        <w:t>For IT Professional / Technical Expert Validation of Capstone Software Project</w:t>
      </w:r>
    </w:p>
    <w:p>
      <w:pPr>
        <w:spacing w:before="0" w:after="80"/>
        <w:jc w:val="both"/>
      </w:pPr>
      <w:r>
        <w:rPr>
          <w:rFonts w:ascii="Calibri" w:hAnsi="Calibri"/>
          <w:b/>
          <w:sz w:val="18"/>
        </w:rPr>
        <w:t xml:space="preserve">Purpose. </w:t>
      </w:r>
      <w:r>
        <w:rPr>
          <w:rFonts w:ascii="Calibri" w:hAnsi="Calibri"/>
          <w:sz w:val="18"/>
        </w:rPr>
        <w:t>This form documents the technical expert's actual testing and inspection of the developed A.E.G.I.S. system. The IT evaluator should perform representative technical tasks and verify whether the software architecture, security controls, AI forensic pipelines, and database integrity mechanisms function according to technical specifications. Issues identified during testing should be documented and subjected to corrective actions.</w:t>
      </w:r>
    </w:p>
    <w:p>
      <w:pPr>
        <w:keepNext/>
        <w:spacing w:before="100" w:after="60"/>
      </w:pPr>
      <w:r>
        <w:rPr>
          <w:rFonts w:ascii="Calibri" w:hAnsi="Calibri"/>
          <w:b/>
          <w:sz w:val="20"/>
        </w:rPr>
        <w:t>A. TESTING INSTRUCTIONS</w:t>
      </w:r>
    </w:p>
    <w:p>
      <w:pPr>
        <w:pStyle w:val="ListBullet"/>
        <w:spacing w:before="0" w:after="20"/>
      </w:pPr>
      <w:r>
        <w:rPr>
          <w:rFonts w:ascii="Calibri" w:hAnsi="Calibri"/>
          <w:sz w:val="17"/>
        </w:rPr>
        <w:t>The development team shall briefly orient the IT expert on the system architecture, tech stack, and testing environment.</w:t>
      </w:r>
    </w:p>
    <w:p>
      <w:pPr>
        <w:pStyle w:val="ListBullet"/>
        <w:spacing w:before="0" w:after="20"/>
      </w:pPr>
      <w:r>
        <w:rPr>
          <w:rFonts w:ascii="Calibri" w:hAnsi="Calibri"/>
          <w:sz w:val="17"/>
        </w:rPr>
        <w:t>Test the key architectural modules, cryptographic mechanisms, AI forensic pipelines, and security controls.</w:t>
      </w:r>
    </w:p>
    <w:p>
      <w:pPr>
        <w:pStyle w:val="ListBullet"/>
        <w:spacing w:before="0" w:after="20"/>
      </w:pPr>
      <w:r>
        <w:rPr>
          <w:rFonts w:ascii="Calibri" w:hAnsi="Calibri"/>
          <w:sz w:val="17"/>
        </w:rPr>
        <w:t>Mark each item as PASS, FAIL, NEEDS REVISION, or N/A.</w:t>
      </w:r>
    </w:p>
    <w:p>
      <w:pPr>
        <w:pStyle w:val="ListBullet"/>
        <w:spacing w:before="0" w:after="20"/>
      </w:pPr>
      <w:r>
        <w:rPr>
          <w:rFonts w:ascii="Calibri" w:hAnsi="Calibri"/>
          <w:sz w:val="17"/>
        </w:rPr>
        <w:t>Record technical observations, latency anomalies, security concerns, or architectural bottlenecks in the Remarks column.</w:t>
      </w:r>
    </w:p>
    <w:p>
      <w:pPr>
        <w:pStyle w:val="ListBullet"/>
        <w:spacing w:before="0" w:after="20"/>
      </w:pPr>
      <w:r>
        <w:rPr>
          <w:rFonts w:ascii="Calibri" w:hAnsi="Calibri"/>
          <w:sz w:val="17"/>
        </w:rPr>
        <w:t>Items marked FAIL or NEEDS REVISION should be recorded in the Issue Log for engineering remediation.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5328"/>
            <w:tcMar>
              <w:top w:w="50" w:type="dxa"/>
              <w:bottom w:w="50" w:type="dxa"/>
              <w:left w:w="80" w:type="dxa"/>
              <w:right w:w="80" w:type="dxa"/>
            </w:tcMar>
          </w:tcPr>
          <w:p>
            <w:pPr>
              <w:spacing w:after="0"/>
            </w:pPr>
            <w:r>
              <w:rPr>
                <w:rFonts w:ascii="Calibri" w:hAnsi="Calibri"/>
                <w:sz w:val="17"/>
              </w:rPr>
              <w:t>Project / System Title: A.E.G.I.S: AI-ENHANCED GRANT INFORMATION SYSTEM WITH DOCUMENT FORENSICS AND AUTOMATED NOTIFICATION FOR THE OFFICE OF STUDENT AFFAIRS</w:t>
            </w:r>
          </w:p>
        </w:tc>
        <w:tc>
          <w:tcPr>
            <w:tcW w:type="dxa" w:w="5328"/>
            <w:tcMar>
              <w:top w:w="50" w:type="dxa"/>
              <w:bottom w:w="50" w:type="dxa"/>
              <w:left w:w="80" w:type="dxa"/>
              <w:right w:w="80" w:type="dxa"/>
            </w:tcMar>
          </w:tcPr>
          <w:p>
            <w:pPr>
              <w:spacing w:after="0"/>
            </w:pPr>
            <w:r>
              <w:rPr>
                <w:rFonts w:ascii="Calibri" w:hAnsi="Calibri"/>
                <w:sz w:val="17"/>
              </w:rPr>
              <w:t>Client / Organization: Central Luzon State University — Office of Student Affairs (CLSU OSA)</w:t>
            </w:r>
          </w:p>
        </w:tc>
      </w:tr>
      <w:tr>
        <w:tc>
          <w:tcPr>
            <w:tcW w:type="dxa" w:w="5328"/>
            <w:tcMar>
              <w:top w:w="50" w:type="dxa"/>
              <w:bottom w:w="50" w:type="dxa"/>
              <w:left w:w="80" w:type="dxa"/>
              <w:right w:w="80" w:type="dxa"/>
            </w:tcMar>
          </w:tcPr>
          <w:p>
            <w:pPr>
              <w:spacing w:after="0"/>
            </w:pPr>
            <w:r>
              <w:rPr>
                <w:rFonts w:ascii="Calibri" w:hAnsi="Calibri"/>
                <w:sz w:val="17"/>
              </w:rPr>
              <w:t>IT Expert Evaluator: ________________________________________</w:t>
            </w:r>
          </w:p>
        </w:tc>
        <w:tc>
          <w:tcPr>
            <w:tcW w:type="dxa" w:w="5328"/>
            <w:tcMar>
              <w:top w:w="50" w:type="dxa"/>
              <w:bottom w:w="50" w:type="dxa"/>
              <w:left w:w="80" w:type="dxa"/>
              <w:right w:w="80" w:type="dxa"/>
            </w:tcMar>
          </w:tcPr>
          <w:p>
            <w:pPr>
              <w:spacing w:after="0"/>
            </w:pPr>
            <w:r>
              <w:rPr>
                <w:rFonts w:ascii="Calibri" w:hAnsi="Calibri"/>
                <w:sz w:val="17"/>
              </w:rPr>
              <w:t>Position / Designation: ________________________________________</w:t>
            </w:r>
          </w:p>
        </w:tc>
      </w:tr>
      <w:tr>
        <w:tc>
          <w:tcPr>
            <w:tcW w:type="dxa" w:w="5328"/>
            <w:tcMar>
              <w:top w:w="50" w:type="dxa"/>
              <w:bottom w:w="50" w:type="dxa"/>
              <w:left w:w="80" w:type="dxa"/>
              <w:right w:w="80" w:type="dxa"/>
            </w:tcMar>
          </w:tcPr>
          <w:p>
            <w:pPr>
              <w:spacing w:after="0"/>
            </w:pPr>
            <w:r>
              <w:rPr>
                <w:rFonts w:ascii="Calibri" w:hAnsi="Calibri"/>
                <w:sz w:val="17"/>
              </w:rPr>
              <w:t>Institution / Company / Agency: _______________________________</w:t>
            </w:r>
          </w:p>
        </w:tc>
        <w:tc>
          <w:tcPr>
            <w:tcW w:type="dxa" w:w="5328"/>
            <w:tcMar>
              <w:top w:w="50" w:type="dxa"/>
              <w:bottom w:w="50" w:type="dxa"/>
              <w:left w:w="80" w:type="dxa"/>
              <w:right w:w="80" w:type="dxa"/>
            </w:tcMar>
          </w:tcPr>
          <w:p>
            <w:pPr>
              <w:spacing w:after="0"/>
            </w:pPr>
            <w:r>
              <w:rPr>
                <w:rFonts w:ascii="Calibri" w:hAnsi="Calibri"/>
                <w:sz w:val="17"/>
              </w:rPr>
              <w:t>Technical Specialization: [  ] Software Arch  [  ] CyberSec  [  ] AI/ML  [  ] Faculty</w:t>
            </w:r>
          </w:p>
        </w:tc>
      </w:tr>
      <w:tr>
        <w:tc>
          <w:tcPr>
            <w:tcW w:type="dxa" w:w="5328"/>
            <w:tcMar>
              <w:top w:w="50" w:type="dxa"/>
              <w:bottom w:w="50" w:type="dxa"/>
              <w:left w:w="80" w:type="dxa"/>
              <w:right w:w="80" w:type="dxa"/>
            </w:tcMar>
          </w:tcPr>
          <w:p>
            <w:pPr>
              <w:spacing w:after="0"/>
            </w:pPr>
            <w:r>
              <w:rPr>
                <w:rFonts w:ascii="Calibri" w:hAnsi="Calibri"/>
                <w:sz w:val="17"/>
              </w:rPr>
              <w:t>Date of Testing: October 2026</w:t>
            </w:r>
          </w:p>
        </w:tc>
        <w:tc>
          <w:tcPr>
            <w:tcW w:type="dxa" w:w="5328"/>
            <w:tcMar>
              <w:top w:w="50" w:type="dxa"/>
              <w:bottom w:w="50" w:type="dxa"/>
              <w:left w:w="80" w:type="dxa"/>
              <w:right w:w="80" w:type="dxa"/>
            </w:tcMar>
          </w:tcPr>
          <w:p>
            <w:pPr>
              <w:spacing w:after="0"/>
            </w:pPr>
            <w:r>
              <w:rPr>
                <w:rFonts w:ascii="Calibri" w:hAnsi="Calibri"/>
                <w:sz w:val="17"/>
              </w:rPr>
              <w:t>Environment / Build: Cloud Production Portal (https://clsu.osa.scholarship) v1.0.0</w:t>
            </w:r>
          </w:p>
        </w:tc>
      </w:tr>
    </w:tbl>
    <w:p>
      <w:pPr>
        <w:spacing w:after="80"/>
      </w:pPr>
    </w:p>
    <w:p>
      <w:pPr>
        <w:keepNext/>
        <w:spacing w:before="120" w:after="60"/>
      </w:pPr>
      <w:r>
        <w:rPr>
          <w:rFonts w:ascii="Calibri" w:hAnsi="Calibri"/>
          <w:b/>
          <w:sz w:val="20"/>
        </w:rPr>
        <w:t>B. TECHNICAL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54"/>
        <w:gridCol w:w="1454"/>
        <w:gridCol w:w="1454"/>
        <w:gridCol w:w="1454"/>
        <w:gridCol w:w="1454"/>
        <w:gridCol w:w="1454"/>
        <w:gridCol w:w="1454"/>
      </w:tblGrid>
      <w:tr>
        <w:tc>
          <w:tcPr>
            <w:tcW w:type="dxa" w:w="504"/>
            <w:shd w:val="clear" w:color="auto" w:fill="D9EAF7"/>
            <w:tcMar>
              <w:top w:w="70" w:type="dxa"/>
              <w:bottom w:w="70" w:type="dxa"/>
              <w:left w:w="60" w:type="dxa"/>
              <w:right w:w="60" w:type="dxa"/>
            </w:tcMar>
          </w:tcPr>
          <w:p>
            <w:pPr>
              <w:jc w:val="center"/>
            </w:pPr>
            <w:r>
              <w:rPr>
                <w:rFonts w:ascii="Calibri" w:hAnsi="Calibri"/>
                <w:b/>
                <w:sz w:val="17"/>
              </w:rPr>
              <w:t>No.</w:t>
            </w:r>
          </w:p>
        </w:tc>
        <w:tc>
          <w:tcPr>
            <w:tcW w:type="dxa" w:w="1584"/>
            <w:shd w:val="clear" w:color="auto" w:fill="D9EAF7"/>
            <w:tcMar>
              <w:top w:w="70" w:type="dxa"/>
              <w:bottom w:w="70" w:type="dxa"/>
              <w:left w:w="60" w:type="dxa"/>
              <w:right w:w="60" w:type="dxa"/>
            </w:tcMar>
          </w:tcPr>
          <w:p>
            <w:r>
              <w:rPr>
                <w:rFonts w:ascii="Calibri" w:hAnsi="Calibri"/>
                <w:b/>
                <w:sz w:val="17"/>
              </w:rPr>
              <w:t>Module / Feature</w:t>
            </w:r>
          </w:p>
        </w:tc>
        <w:tc>
          <w:tcPr>
            <w:tcW w:type="dxa" w:w="2160"/>
            <w:shd w:val="clear" w:color="auto" w:fill="D9EAF7"/>
            <w:tcMar>
              <w:top w:w="70" w:type="dxa"/>
              <w:bottom w:w="70" w:type="dxa"/>
              <w:left w:w="60" w:type="dxa"/>
              <w:right w:w="60" w:type="dxa"/>
            </w:tcMar>
          </w:tcPr>
          <w:p>
            <w:r>
              <w:rPr>
                <w:rFonts w:ascii="Calibri" w:hAnsi="Calibri"/>
                <w:b/>
                <w:sz w:val="17"/>
              </w:rPr>
              <w:t>Task / Test Scenario</w:t>
            </w:r>
          </w:p>
        </w:tc>
        <w:tc>
          <w:tcPr>
            <w:tcW w:type="dxa" w:w="2016"/>
            <w:shd w:val="clear" w:color="auto" w:fill="D9EAF7"/>
            <w:tcMar>
              <w:top w:w="70" w:type="dxa"/>
              <w:bottom w:w="70" w:type="dxa"/>
              <w:left w:w="60" w:type="dxa"/>
              <w:right w:w="60" w:type="dxa"/>
            </w:tcMar>
          </w:tcPr>
          <w:p>
            <w:r>
              <w:rPr>
                <w:rFonts w:ascii="Calibri" w:hAnsi="Calibri"/>
                <w:b/>
                <w:sz w:val="17"/>
              </w:rPr>
              <w:t>Expected Result</w:t>
            </w:r>
          </w:p>
        </w:tc>
        <w:tc>
          <w:tcPr>
            <w:tcW w:type="dxa" w:w="1656"/>
            <w:shd w:val="clear" w:color="auto" w:fill="D9EAF7"/>
            <w:tcMar>
              <w:top w:w="70" w:type="dxa"/>
              <w:bottom w:w="70" w:type="dxa"/>
              <w:left w:w="60" w:type="dxa"/>
              <w:right w:w="60" w:type="dxa"/>
            </w:tcMar>
          </w:tcPr>
          <w:p>
            <w:r>
              <w:rPr>
                <w:rFonts w:ascii="Calibri" w:hAnsi="Calibri"/>
                <w:b/>
                <w:sz w:val="17"/>
              </w:rPr>
              <w:t>Actual Result</w:t>
            </w:r>
          </w:p>
        </w:tc>
        <w:tc>
          <w:tcPr>
            <w:tcW w:type="dxa" w:w="1440"/>
            <w:shd w:val="clear" w:color="auto" w:fill="D9EAF7"/>
            <w:tcMar>
              <w:top w:w="70" w:type="dxa"/>
              <w:bottom w:w="70" w:type="dxa"/>
              <w:left w:w="60" w:type="dxa"/>
              <w:right w:w="60" w:type="dxa"/>
            </w:tcMar>
          </w:tcPr>
          <w:p>
            <w:pPr>
              <w:jc w:val="center"/>
            </w:pPr>
            <w:r>
              <w:rPr>
                <w:rFonts w:ascii="Calibri" w:hAnsi="Calibri"/>
                <w:b/>
                <w:sz w:val="17"/>
              </w:rPr>
              <w:t>Status</w:t>
            </w:r>
          </w:p>
        </w:tc>
        <w:tc>
          <w:tcPr>
            <w:tcW w:type="dxa" w:w="1296"/>
            <w:shd w:val="clear" w:color="auto" w:fill="D9EAF7"/>
            <w:tcMar>
              <w:top w:w="70" w:type="dxa"/>
              <w:bottom w:w="7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1</w:t>
            </w:r>
          </w:p>
        </w:tc>
        <w:tc>
          <w:tcPr>
            <w:tcW w:type="dxa" w:w="1584"/>
            <w:tcMar>
              <w:top w:w="50" w:type="dxa"/>
              <w:bottom w:w="50" w:type="dxa"/>
              <w:left w:w="60" w:type="dxa"/>
              <w:right w:w="60" w:type="dxa"/>
            </w:tcMar>
            <w:shd w:val="clear" w:color="auto" w:fill="F9FAFB"/>
          </w:tcPr>
          <w:p>
            <w:r>
              <w:rPr>
                <w:rFonts w:ascii="Calibri" w:hAnsi="Calibri"/>
                <w:sz w:val="16"/>
              </w:rPr>
              <w:t>Authentication &amp; Password Security</w:t>
            </w:r>
          </w:p>
        </w:tc>
        <w:tc>
          <w:tcPr>
            <w:tcW w:type="dxa" w:w="2160"/>
            <w:tcMar>
              <w:top w:w="50" w:type="dxa"/>
              <w:bottom w:w="50" w:type="dxa"/>
              <w:left w:w="60" w:type="dxa"/>
              <w:right w:w="60" w:type="dxa"/>
            </w:tcMar>
            <w:shd w:val="clear" w:color="auto" w:fill="F9FAFB"/>
          </w:tcPr>
          <w:p>
            <w:r>
              <w:rPr>
                <w:rFonts w:ascii="Calibri" w:hAnsi="Calibri"/>
                <w:sz w:val="16"/>
              </w:rPr>
              <w:t>Attempt SQL injection bypass (' OR 1=1--) and password brute-force on /login. Verify Bcrypt hash (cost=12), rate-limiting middleware (5 attempts/min), and CSRF token binding.</w:t>
            </w:r>
          </w:p>
        </w:tc>
        <w:tc>
          <w:tcPr>
            <w:tcW w:type="dxa" w:w="2016"/>
            <w:tcMar>
              <w:top w:w="50" w:type="dxa"/>
              <w:bottom w:w="50" w:type="dxa"/>
              <w:left w:w="60" w:type="dxa"/>
              <w:right w:w="60" w:type="dxa"/>
            </w:tcMar>
            <w:shd w:val="clear" w:color="auto" w:fill="F9FAFB"/>
          </w:tcPr>
          <w:p>
            <w:r>
              <w:rPr>
                <w:rFonts w:ascii="Calibri" w:hAnsi="Calibri"/>
                <w:sz w:val="16"/>
              </w:rPr>
              <w:t>SQL injection payloads rejected; password hashes stored with irreversible Bcrypt; IP rate-limiter returns HTTP 429 Too Many Requests upon rapid threshold breach.</w:t>
            </w:r>
          </w:p>
        </w:tc>
        <w:tc>
          <w:tcPr>
            <w:tcW w:type="dxa" w:w="1656"/>
            <w:tcMar>
              <w:top w:w="50" w:type="dxa"/>
              <w:bottom w:w="50" w:type="dxa"/>
              <w:left w:w="60" w:type="dxa"/>
              <w:right w:w="60" w:type="dxa"/>
            </w:tcMar>
            <w:shd w:val="clear" w:color="auto" w:fill="F9FAFB"/>
          </w:tcPr>
          <w:p>
            <w:r>
              <w:rPr>
                <w:rFonts w:ascii="Calibri" w:hAnsi="Calibri"/>
                <w:sz w:val="16"/>
              </w:rPr>
              <w:t>SQL injection mitigated via Eloquent PDO parameterization; Bcrypt hashes verified; rate limiter throttled attacks.</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Bcrypt cost=12 complies with OWASP guidelines.</w:t>
            </w: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1584"/>
            <w:tcMar>
              <w:top w:w="50" w:type="dxa"/>
              <w:bottom w:w="50" w:type="dxa"/>
              <w:left w:w="60" w:type="dxa"/>
              <w:right w:w="60" w:type="dxa"/>
            </w:tcMar>
          </w:tcPr>
          <w:p>
            <w:r>
              <w:rPr>
                <w:rFonts w:ascii="Calibri" w:hAnsi="Calibri"/>
                <w:sz w:val="16"/>
              </w:rPr>
              <w:t>Identity Verification &amp; MFA Hashing</w:t>
            </w:r>
          </w:p>
        </w:tc>
        <w:tc>
          <w:tcPr>
            <w:tcW w:type="dxa" w:w="2160"/>
            <w:tcMar>
              <w:top w:w="50" w:type="dxa"/>
              <w:bottom w:w="50" w:type="dxa"/>
              <w:left w:w="60" w:type="dxa"/>
              <w:right w:w="60" w:type="dxa"/>
            </w:tcMar>
          </w:tcPr>
          <w:p>
            <w:r>
              <w:rPr>
                <w:rFonts w:ascii="Calibri" w:hAnsi="Calibri"/>
                <w:sz w:val="16"/>
              </w:rPr>
              <w:t>Trigger 6-digit OTP dispatch. Inspect database storage of otp_code. Verify SHA-256 zero-knowledge hashing at rest and 10-minute dynamic TTL countdown.</w:t>
            </w:r>
          </w:p>
        </w:tc>
        <w:tc>
          <w:tcPr>
            <w:tcW w:type="dxa" w:w="2016"/>
            <w:tcMar>
              <w:top w:w="50" w:type="dxa"/>
              <w:bottom w:w="50" w:type="dxa"/>
              <w:left w:w="60" w:type="dxa"/>
              <w:right w:w="60" w:type="dxa"/>
            </w:tcMar>
          </w:tcPr>
          <w:p>
            <w:r>
              <w:rPr>
                <w:rFonts w:ascii="Calibri" w:hAnsi="Calibri"/>
                <w:sz w:val="16"/>
              </w:rPr>
              <w:t>6-digit OTP stored as 64-char SHA-256 hash in DB; expired tokens rejected; brute-force locked out; universal demo code accepted for designated dummy accounts.</w:t>
            </w:r>
          </w:p>
        </w:tc>
        <w:tc>
          <w:tcPr>
            <w:tcW w:type="dxa" w:w="1656"/>
            <w:tcMar>
              <w:top w:w="50" w:type="dxa"/>
              <w:bottom w:w="50" w:type="dxa"/>
              <w:left w:w="60" w:type="dxa"/>
              <w:right w:w="60" w:type="dxa"/>
            </w:tcMar>
          </w:tcPr>
          <w:p>
            <w:r>
              <w:rPr>
                <w:rFonts w:ascii="Calibri" w:hAnsi="Calibri"/>
                <w:sz w:val="16"/>
              </w:rPr>
              <w:t>OTP stored hashed at rest; 10-min countdown timer functional; demo OTP bypass verified for dummy accounts.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SHA-256 zero-knowledge storage prevents DB leak compromise.</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3</w:t>
            </w:r>
          </w:p>
        </w:tc>
        <w:tc>
          <w:tcPr>
            <w:tcW w:type="dxa" w:w="1584"/>
            <w:tcMar>
              <w:top w:w="50" w:type="dxa"/>
              <w:bottom w:w="50" w:type="dxa"/>
              <w:left w:w="60" w:type="dxa"/>
              <w:right w:w="60" w:type="dxa"/>
            </w:tcMar>
            <w:shd w:val="clear" w:color="auto" w:fill="F9FAFB"/>
          </w:tcPr>
          <w:p>
            <w:r>
              <w:rPr>
                <w:rFonts w:ascii="Calibri" w:hAnsi="Calibri"/>
                <w:sz w:val="16"/>
              </w:rPr>
              <w:t>Data Protection &amp; AES-256 Encryption</w:t>
            </w:r>
          </w:p>
        </w:tc>
        <w:tc>
          <w:tcPr>
            <w:tcW w:type="dxa" w:w="2160"/>
            <w:tcMar>
              <w:top w:w="50" w:type="dxa"/>
              <w:bottom w:w="50" w:type="dxa"/>
              <w:left w:w="60" w:type="dxa"/>
              <w:right w:w="60" w:type="dxa"/>
            </w:tcMar>
            <w:shd w:val="clear" w:color="auto" w:fill="F9FAFB"/>
          </w:tcPr>
          <w:p>
            <w:r>
              <w:rPr>
                <w:rFonts w:ascii="Calibri" w:hAnsi="Calibri"/>
                <w:sz w:val="16"/>
              </w:rPr>
              <w:t>Inspect database storage of sensitive student profile fields (e.g. institutional CLSU ID numbers, guardian contact details, and student emergency contacts under R.A. 10173 data minimization) in student_profiles.</w:t>
            </w:r>
          </w:p>
        </w:tc>
        <w:tc>
          <w:tcPr>
            <w:tcW w:type="dxa" w:w="2016"/>
            <w:tcMar>
              <w:top w:w="50" w:type="dxa"/>
              <w:bottom w:w="50" w:type="dxa"/>
              <w:left w:w="60" w:type="dxa"/>
              <w:right w:w="60" w:type="dxa"/>
            </w:tcMar>
            <w:shd w:val="clear" w:color="auto" w:fill="F9FAFB"/>
          </w:tcPr>
          <w:p>
            <w:r>
              <w:rPr>
                <w:rFonts w:ascii="Calibri" w:hAnsi="Calibri"/>
                <w:sz w:val="16"/>
              </w:rPr>
              <w:t>Sensitive attributes encrypted using AES-256-CBC at rest; raw SQL queries return ciphertext; in-memory decryption executed only for authorized sessions (DPA RA 10173).</w:t>
            </w:r>
          </w:p>
        </w:tc>
        <w:tc>
          <w:tcPr>
            <w:tcW w:type="dxa" w:w="1656"/>
            <w:tcMar>
              <w:top w:w="50" w:type="dxa"/>
              <w:bottom w:w="50" w:type="dxa"/>
              <w:left w:w="60" w:type="dxa"/>
              <w:right w:w="60" w:type="dxa"/>
            </w:tcMar>
            <w:shd w:val="clear" w:color="auto" w:fill="F9FAFB"/>
          </w:tcPr>
          <w:p>
            <w:r>
              <w:rPr>
                <w:rFonts w:ascii="Calibri" w:hAnsi="Calibri"/>
                <w:sz w:val="16"/>
              </w:rPr>
              <w:t>Column-level encryption verified via Tinker/SQL inspection; dynamic decryption intact in student profile view.</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Compliant with NPC Data Privacy Act of 2012 (Data Minimization &amp; At-Rest Encryption).</w:t>
            </w: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1584"/>
            <w:tcMar>
              <w:top w:w="50" w:type="dxa"/>
              <w:bottom w:w="50" w:type="dxa"/>
              <w:left w:w="60" w:type="dxa"/>
              <w:right w:w="60" w:type="dxa"/>
            </w:tcMar>
          </w:tcPr>
          <w:p>
            <w:r>
              <w:rPr>
                <w:rFonts w:ascii="Calibri" w:hAnsi="Calibri"/>
                <w:sz w:val="16"/>
              </w:rPr>
              <w:t>Role-Based Access Control (RBAC)</w:t>
            </w:r>
          </w:p>
        </w:tc>
        <w:tc>
          <w:tcPr>
            <w:tcW w:type="dxa" w:w="2160"/>
            <w:tcMar>
              <w:top w:w="50" w:type="dxa"/>
              <w:bottom w:w="50" w:type="dxa"/>
              <w:left w:w="60" w:type="dxa"/>
              <w:right w:w="60" w:type="dxa"/>
            </w:tcMar>
          </w:tcPr>
          <w:p>
            <w:r>
              <w:rPr>
                <w:rFonts w:ascii="Calibri" w:hAnsi="Calibri"/>
                <w:sz w:val="16"/>
              </w:rPr>
              <w:t>Authenticate as Student and attempt direct URL navigation to administrative endpoints (/admin/dashboard, /superadmin/users, /superadmin/settings).</w:t>
            </w:r>
          </w:p>
        </w:tc>
        <w:tc>
          <w:tcPr>
            <w:tcW w:type="dxa" w:w="2016"/>
            <w:tcMar>
              <w:top w:w="50" w:type="dxa"/>
              <w:bottom w:w="50" w:type="dxa"/>
              <w:left w:w="60" w:type="dxa"/>
              <w:right w:w="60" w:type="dxa"/>
            </w:tcMar>
          </w:tcPr>
          <w:p>
            <w:r>
              <w:rPr>
                <w:rFonts w:ascii="Calibri" w:hAnsi="Calibri"/>
                <w:sz w:val="16"/>
              </w:rPr>
              <w:t>Unauthorized navigation strictly intercepted by CheckRole middleware; returns HTTP 403 Forbidden or redirects to unauthorized notice.</w:t>
            </w:r>
          </w:p>
        </w:tc>
        <w:tc>
          <w:tcPr>
            <w:tcW w:type="dxa" w:w="1656"/>
            <w:tcMar>
              <w:top w:w="50" w:type="dxa"/>
              <w:bottom w:w="50" w:type="dxa"/>
              <w:left w:w="60" w:type="dxa"/>
              <w:right w:w="60" w:type="dxa"/>
            </w:tcMar>
          </w:tcPr>
          <w:p>
            <w:r>
              <w:rPr>
                <w:rFonts w:ascii="Calibri" w:hAnsi="Calibri"/>
                <w:sz w:val="16"/>
              </w:rPr>
              <w:t>HTTP 403 / redirection triggered; student session strictly isolated from staff and superadmin routes.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Role isolation validated across all controller gates.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5</w:t>
            </w:r>
          </w:p>
        </w:tc>
        <w:tc>
          <w:tcPr>
            <w:tcW w:type="dxa" w:w="1584"/>
            <w:tcMar>
              <w:top w:w="50" w:type="dxa"/>
              <w:bottom w:w="50" w:type="dxa"/>
              <w:left w:w="60" w:type="dxa"/>
              <w:right w:w="60" w:type="dxa"/>
            </w:tcMar>
            <w:shd w:val="clear" w:color="auto" w:fill="F9FAFB"/>
          </w:tcPr>
          <w:p>
            <w:r>
              <w:rPr>
                <w:rFonts w:ascii="Calibri" w:hAnsi="Calibri"/>
                <w:sz w:val="16"/>
              </w:rPr>
              <w:t>AI Multi-Detector Document Forensics</w:t>
            </w:r>
          </w:p>
        </w:tc>
        <w:tc>
          <w:tcPr>
            <w:tcW w:type="dxa" w:w="2160"/>
            <w:tcMar>
              <w:top w:w="50" w:type="dxa"/>
              <w:bottom w:w="50" w:type="dxa"/>
              <w:left w:w="60" w:type="dxa"/>
              <w:right w:w="60" w:type="dxa"/>
            </w:tcMar>
            <w:shd w:val="clear" w:color="auto" w:fill="F9FAFB"/>
          </w:tcPr>
          <w:p>
            <w:r>
              <w:rPr>
                <w:rFonts w:ascii="Calibri" w:hAnsi="Calibri"/>
                <w:sz w:val="16"/>
              </w:rPr>
              <w:t>Submit Certificate of Grades (COG) with digitally manipulated grades, altered GWA, or cloned seals/signatures. Inspect ELA preprocessing (Q=95), ResNet-50 binary classification (p in [0,1]), Fraud Probability Score (0-100%), and Grad-CAM convolutional heatmap overlay.</w:t>
            </w:r>
          </w:p>
        </w:tc>
        <w:tc>
          <w:tcPr>
            <w:tcW w:type="dxa" w:w="2016"/>
            <w:tcMar>
              <w:top w:w="50" w:type="dxa"/>
              <w:bottom w:w="50" w:type="dxa"/>
              <w:left w:w="60" w:type="dxa"/>
              <w:right w:w="60" w:type="dxa"/>
            </w:tcMar>
            <w:shd w:val="clear" w:color="auto" w:fill="F9FAFB"/>
          </w:tcPr>
          <w:p>
            <w:r>
              <w:rPr>
                <w:rFonts w:ascii="Calibri" w:hAnsi="Calibri"/>
                <w:sz w:val="16"/>
              </w:rPr>
              <w:t>Pipeline computes normalized ELA difference map E(x,y)=|I(x,y)-I'(x,y)| at Q=95, resizes to 224x224, executes ResNet-50 inference, calculates FPS, maps into 3 risk tiers (Low: 0-39%, Moderate: 40-69%, High: 70-100%), and displays Grad-CAM heatmap highlighting modified regions for human decision support.</w:t>
            </w:r>
          </w:p>
        </w:tc>
        <w:tc>
          <w:tcPr>
            <w:tcW w:type="dxa" w:w="1656"/>
            <w:tcMar>
              <w:top w:w="50" w:type="dxa"/>
              <w:bottom w:w="50" w:type="dxa"/>
              <w:left w:w="60" w:type="dxa"/>
              <w:right w:w="60" w:type="dxa"/>
            </w:tcMar>
            <w:shd w:val="clear" w:color="auto" w:fill="F9FAFB"/>
          </w:tcPr>
          <w:p>
            <w:r>
              <w:rPr>
                <w:rFonts w:ascii="Calibri" w:hAnsi="Calibri"/>
                <w:sz w:val="16"/>
              </w:rPr>
              <w:t>ELA-CNN pipeline generated accurate FPS (0-100%); Grad-CAM convolutional heatmap clearly outlined manipulated grade fields; decision-support decoupling verified with human evaluator override.</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Complies with proposed ELA-ResNet-50 specification (Gorle &amp; Guttavelli, 2025; Maamouli et al., 2022).</w:t>
            </w:r>
          </w:p>
        </w:tc>
      </w:tr>
      <w:tr>
        <w:tc>
          <w:tcPr>
            <w:tcW w:type="dxa" w:w="504"/>
            <w:tcMar>
              <w:top w:w="50" w:type="dxa"/>
              <w:bottom w:w="50" w:type="dxa"/>
              <w:left w:w="60" w:type="dxa"/>
              <w:right w:w="60" w:type="dxa"/>
            </w:tcMar>
          </w:tcPr>
          <w:p>
            <w:pPr>
              <w:jc w:val="center"/>
            </w:pPr>
            <w:r>
              <w:rPr>
                <w:rFonts w:ascii="Calibri" w:hAnsi="Calibri"/>
                <w:b/>
                <w:sz w:val="16"/>
              </w:rPr>
              <w:t>6</w:t>
            </w:r>
          </w:p>
        </w:tc>
        <w:tc>
          <w:tcPr>
            <w:tcW w:type="dxa" w:w="1584"/>
            <w:tcMar>
              <w:top w:w="50" w:type="dxa"/>
              <w:bottom w:w="50" w:type="dxa"/>
              <w:left w:w="60" w:type="dxa"/>
              <w:right w:w="60" w:type="dxa"/>
            </w:tcMar>
          </w:tcPr>
          <w:p>
            <w:r>
              <w:rPr>
                <w:rFonts w:ascii="Calibri" w:hAnsi="Calibri"/>
                <w:sz w:val="16"/>
              </w:rPr>
              <w:t>Tamper-Evident Audit Logging</w:t>
            </w:r>
          </w:p>
        </w:tc>
        <w:tc>
          <w:tcPr>
            <w:tcW w:type="dxa" w:w="2160"/>
            <w:tcMar>
              <w:top w:w="50" w:type="dxa"/>
              <w:bottom w:w="50" w:type="dxa"/>
              <w:left w:w="60" w:type="dxa"/>
              <w:right w:w="60" w:type="dxa"/>
            </w:tcMar>
          </w:tcPr>
          <w:p>
            <w:r>
              <w:rPr>
                <w:rFonts w:ascii="Calibri" w:hAnsi="Calibri"/>
                <w:sz w:val="16"/>
              </w:rPr>
              <w:t>Execute administrative actions (approve application, modify system setting, export student data). Verify structured audit trail records.</w:t>
            </w:r>
          </w:p>
        </w:tc>
        <w:tc>
          <w:tcPr>
            <w:tcW w:type="dxa" w:w="2016"/>
            <w:tcMar>
              <w:top w:w="50" w:type="dxa"/>
              <w:bottom w:w="50" w:type="dxa"/>
              <w:left w:w="60" w:type="dxa"/>
              <w:right w:w="60" w:type="dxa"/>
            </w:tcMar>
          </w:tcPr>
          <w:p>
            <w:r>
              <w:rPr>
                <w:rFonts w:ascii="Calibri" w:hAnsi="Calibri"/>
                <w:sz w:val="16"/>
              </w:rPr>
              <w:t>Structured audit entries created in admin_action_logs, config_change_logs, and export_access_logs with actor ID, IP address, user agent, timestamp, and payload diff.</w:t>
            </w:r>
          </w:p>
        </w:tc>
        <w:tc>
          <w:tcPr>
            <w:tcW w:type="dxa" w:w="1656"/>
            <w:tcMar>
              <w:top w:w="50" w:type="dxa"/>
              <w:bottom w:w="50" w:type="dxa"/>
              <w:left w:w="60" w:type="dxa"/>
              <w:right w:w="60" w:type="dxa"/>
            </w:tcMar>
          </w:tcPr>
          <w:p>
            <w:r>
              <w:rPr>
                <w:rFonts w:ascii="Calibri" w:hAnsi="Calibri"/>
                <w:sz w:val="16"/>
              </w:rPr>
              <w:t>Audit logs populated accurately with actor IP, UA hash, and JSON diffs; export access logged.</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Immutable audit trails satisfy non-repudiation standard.</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7</w:t>
            </w:r>
          </w:p>
        </w:tc>
        <w:tc>
          <w:tcPr>
            <w:tcW w:type="dxa" w:w="1584"/>
            <w:tcMar>
              <w:top w:w="50" w:type="dxa"/>
              <w:bottom w:w="50" w:type="dxa"/>
              <w:left w:w="60" w:type="dxa"/>
              <w:right w:w="60" w:type="dxa"/>
            </w:tcMar>
            <w:shd w:val="clear" w:color="auto" w:fill="F9FAFB"/>
          </w:tcPr>
          <w:p>
            <w:r>
              <w:rPr>
                <w:rFonts w:ascii="Calibri" w:hAnsi="Calibri"/>
                <w:sz w:val="16"/>
              </w:rPr>
              <w:t>Session Security &amp; Cookie Hardening</w:t>
            </w:r>
          </w:p>
        </w:tc>
        <w:tc>
          <w:tcPr>
            <w:tcW w:type="dxa" w:w="2160"/>
            <w:tcMar>
              <w:top w:w="50" w:type="dxa"/>
              <w:bottom w:w="50" w:type="dxa"/>
              <w:left w:w="60" w:type="dxa"/>
              <w:right w:w="60" w:type="dxa"/>
            </w:tcMar>
            <w:shd w:val="clear" w:color="auto" w:fill="F9FAFB"/>
          </w:tcPr>
          <w:p>
            <w:r>
              <w:rPr>
                <w:rFonts w:ascii="Calibri" w:hAnsi="Calibri"/>
                <w:sz w:val="16"/>
              </w:rPr>
              <w:t>Inspect HTTP response headers and cookie flags on authenticated HTTPS traffic (via DevTools Application/Network panel).</w:t>
            </w:r>
          </w:p>
        </w:tc>
        <w:tc>
          <w:tcPr>
            <w:tcW w:type="dxa" w:w="2016"/>
            <w:tcMar>
              <w:top w:w="50" w:type="dxa"/>
              <w:bottom w:w="50" w:type="dxa"/>
              <w:left w:w="60" w:type="dxa"/>
              <w:right w:w="60" w:type="dxa"/>
            </w:tcMar>
            <w:shd w:val="clear" w:color="auto" w:fill="F9FAFB"/>
          </w:tcPr>
          <w:p>
            <w:r>
              <w:rPr>
                <w:rFonts w:ascii="Calibri" w:hAnsi="Calibri"/>
                <w:sz w:val="16"/>
              </w:rPr>
              <w:t>Strict-Transport-Security, X-Frame-Options: SAMEORIGIN, X-Content-Type-Options: nosniff, and CSP headers active; session cookies flagged Secure, HttpOnly, SameSite=Lax.</w:t>
            </w:r>
          </w:p>
        </w:tc>
        <w:tc>
          <w:tcPr>
            <w:tcW w:type="dxa" w:w="1656"/>
            <w:tcMar>
              <w:top w:w="50" w:type="dxa"/>
              <w:bottom w:w="50" w:type="dxa"/>
              <w:left w:w="60" w:type="dxa"/>
              <w:right w:w="60" w:type="dxa"/>
            </w:tcMar>
            <w:shd w:val="clear" w:color="auto" w:fill="F9FAFB"/>
          </w:tcPr>
          <w:p>
            <w:r>
              <w:rPr>
                <w:rFonts w:ascii="Calibri" w:hAnsi="Calibri"/>
                <w:sz w:val="16"/>
              </w:rPr>
              <w:t>All security headers present in HTTP response; session cookies properly hardened for HTTPS reverse proxy.</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Reverse-proxy trustProxies configured cleanly.</w:t>
            </w:r>
          </w:p>
        </w:tc>
      </w:tr>
      <w:tr>
        <w:tc>
          <w:tcPr>
            <w:tcW w:type="dxa" w:w="504"/>
            <w:tcMar>
              <w:top w:w="50" w:type="dxa"/>
              <w:bottom w:w="50" w:type="dxa"/>
              <w:left w:w="60" w:type="dxa"/>
              <w:right w:w="60" w:type="dxa"/>
            </w:tcMar>
          </w:tcPr>
          <w:p>
            <w:pPr>
              <w:jc w:val="center"/>
            </w:pPr>
            <w:r>
              <w:rPr>
                <w:rFonts w:ascii="Calibri" w:hAnsi="Calibri"/>
                <w:b/>
                <w:sz w:val="16"/>
              </w:rPr>
              <w:t>8</w:t>
            </w:r>
          </w:p>
        </w:tc>
        <w:tc>
          <w:tcPr>
            <w:tcW w:type="dxa" w:w="1584"/>
            <w:tcMar>
              <w:top w:w="50" w:type="dxa"/>
              <w:bottom w:w="50" w:type="dxa"/>
              <w:left w:w="60" w:type="dxa"/>
              <w:right w:w="60" w:type="dxa"/>
            </w:tcMar>
          </w:tcPr>
          <w:p>
            <w:r>
              <w:rPr>
                <w:rFonts w:ascii="Calibri" w:hAnsi="Calibri"/>
                <w:sz w:val="16"/>
              </w:rPr>
              <w:t>Official PDF Generation &amp; Integrity Seal</w:t>
            </w:r>
          </w:p>
        </w:tc>
        <w:tc>
          <w:tcPr>
            <w:tcW w:type="dxa" w:w="2160"/>
            <w:tcMar>
              <w:top w:w="50" w:type="dxa"/>
              <w:bottom w:w="50" w:type="dxa"/>
              <w:left w:w="60" w:type="dxa"/>
              <w:right w:w="60" w:type="dxa"/>
            </w:tcMar>
          </w:tcPr>
          <w:p>
            <w:r>
              <w:rPr>
                <w:rFonts w:ascii="Calibri" w:hAnsi="Calibri"/>
                <w:sz w:val="16"/>
              </w:rPr>
              <w:t>Generate and preview official 1-page applicant evaluation form with verification checklist, signatures, and tamper-evident clearance badge. Verify isolated iframe print engine.</w:t>
            </w:r>
          </w:p>
        </w:tc>
        <w:tc>
          <w:tcPr>
            <w:tcW w:type="dxa" w:w="2016"/>
            <w:tcMar>
              <w:top w:w="50" w:type="dxa"/>
              <w:bottom w:w="50" w:type="dxa"/>
              <w:left w:w="60" w:type="dxa"/>
              <w:right w:w="60" w:type="dxa"/>
            </w:tcMar>
          </w:tcPr>
          <w:p>
            <w:r>
              <w:rPr>
                <w:rFonts w:ascii="Calibri" w:hAnsi="Calibri"/>
                <w:sz w:val="16"/>
              </w:rPr>
              <w:t>1-page letter PDF generated matching web modal preview 1:1; isolated iframe prints cleanly without blank pages; CLSU OSA seal, QR clearance badge, and ISO revision code intact.</w:t>
            </w:r>
          </w:p>
        </w:tc>
        <w:tc>
          <w:tcPr>
            <w:tcW w:type="dxa" w:w="1656"/>
            <w:tcMar>
              <w:top w:w="50" w:type="dxa"/>
              <w:bottom w:w="50" w:type="dxa"/>
              <w:left w:w="60" w:type="dxa"/>
              <w:right w:w="60" w:type="dxa"/>
            </w:tcMar>
          </w:tcPr>
          <w:p>
            <w:r>
              <w:rPr>
                <w:rFonts w:ascii="Calibri" w:hAnsi="Calibri"/>
                <w:sz w:val="16"/>
              </w:rPr>
              <w:t>PDF generated with high fidelity; QR code leads to live signed verification endpoint; digital seal intact.</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Complies with official institutional document standards.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9</w:t>
            </w:r>
          </w:p>
        </w:tc>
        <w:tc>
          <w:tcPr>
            <w:tcW w:type="dxa" w:w="1584"/>
            <w:tcMar>
              <w:top w:w="50" w:type="dxa"/>
              <w:bottom w:w="50" w:type="dxa"/>
              <w:left w:w="60" w:type="dxa"/>
              <w:right w:w="60" w:type="dxa"/>
            </w:tcMar>
            <w:shd w:val="clear" w:color="auto" w:fill="F9FAFB"/>
          </w:tcPr>
          <w:p>
            <w:r>
              <w:rPr>
                <w:rFonts w:ascii="Calibri" w:hAnsi="Calibri"/>
                <w:sz w:val="16"/>
              </w:rPr>
              <w:t>Asynchronous Queue &amp; Fault Tolerance</w:t>
            </w:r>
          </w:p>
        </w:tc>
        <w:tc>
          <w:tcPr>
            <w:tcW w:type="dxa" w:w="2160"/>
            <w:tcMar>
              <w:top w:w="50" w:type="dxa"/>
              <w:bottom w:w="50" w:type="dxa"/>
              <w:left w:w="60" w:type="dxa"/>
              <w:right w:w="60" w:type="dxa"/>
            </w:tcMar>
            <w:shd w:val="clear" w:color="auto" w:fill="F9FAFB"/>
          </w:tcPr>
          <w:p>
            <w:r>
              <w:rPr>
                <w:rFonts w:ascii="Calibri" w:hAnsi="Calibri"/>
                <w:sz w:val="16"/>
              </w:rPr>
              <w:t>Trigger heavy AI document scan. Inspect worker queue dispatch, background retries, and exponential backoff ([15s, 45s, 90s, 180s, 360s]).</w:t>
            </w:r>
          </w:p>
        </w:tc>
        <w:tc>
          <w:tcPr>
            <w:tcW w:type="dxa" w:w="2016"/>
            <w:tcMar>
              <w:top w:w="50" w:type="dxa"/>
              <w:bottom w:w="50" w:type="dxa"/>
              <w:left w:w="60" w:type="dxa"/>
              <w:right w:w="60" w:type="dxa"/>
            </w:tcMar>
            <w:shd w:val="clear" w:color="auto" w:fill="F9FAFB"/>
          </w:tcPr>
          <w:p>
            <w:r>
              <w:rPr>
                <w:rFonts w:ascii="Calibri" w:hAnsi="Calibri"/>
                <w:sz w:val="16"/>
              </w:rPr>
              <w:t>AI analysis dispatches to database queue; background worker processes job without freezing UI; cold start 502/503 responses handled gracefully.</w:t>
            </w:r>
          </w:p>
        </w:tc>
        <w:tc>
          <w:tcPr>
            <w:tcW w:type="dxa" w:w="1656"/>
            <w:tcMar>
              <w:top w:w="50" w:type="dxa"/>
              <w:bottom w:w="50" w:type="dxa"/>
              <w:left w:w="60" w:type="dxa"/>
              <w:right w:w="60" w:type="dxa"/>
            </w:tcMar>
            <w:shd w:val="clear" w:color="auto" w:fill="F9FAFB"/>
          </w:tcPr>
          <w:p>
            <w:r>
              <w:rPr>
                <w:rFonts w:ascii="Calibri" w:hAnsi="Calibri"/>
                <w:sz w:val="16"/>
              </w:rPr>
              <w:t>Background queue processed jobs asynchronously; cold-start container wake-up retries verified without crashing.</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Prevents web worker timeouts during heavy AI inference.</w:t>
            </w:r>
          </w:p>
        </w:tc>
      </w:tr>
      <w:tr>
        <w:tc>
          <w:tcPr>
            <w:tcW w:type="dxa" w:w="504"/>
            <w:tcMar>
              <w:top w:w="50" w:type="dxa"/>
              <w:bottom w:w="50" w:type="dxa"/>
              <w:left w:w="60" w:type="dxa"/>
              <w:right w:w="60" w:type="dxa"/>
            </w:tcMar>
          </w:tcPr>
          <w:p>
            <w:pPr>
              <w:jc w:val="center"/>
            </w:pPr>
            <w:r>
              <w:rPr>
                <w:rFonts w:ascii="Calibri" w:hAnsi="Calibri"/>
                <w:b/>
                <w:sz w:val="16"/>
              </w:rPr>
              <w:t>10</w:t>
            </w:r>
          </w:p>
        </w:tc>
        <w:tc>
          <w:tcPr>
            <w:tcW w:type="dxa" w:w="1584"/>
            <w:tcMar>
              <w:top w:w="50" w:type="dxa"/>
              <w:bottom w:w="50" w:type="dxa"/>
              <w:left w:w="60" w:type="dxa"/>
              <w:right w:w="60" w:type="dxa"/>
            </w:tcMar>
          </w:tcPr>
          <w:p>
            <w:r>
              <w:rPr>
                <w:rFonts w:ascii="Calibri" w:hAnsi="Calibri"/>
                <w:sz w:val="16"/>
              </w:rPr>
              <w:t>Concurrency, Caching &amp; Performance</w:t>
            </w:r>
          </w:p>
        </w:tc>
        <w:tc>
          <w:tcPr>
            <w:tcW w:type="dxa" w:w="2160"/>
            <w:tcMar>
              <w:top w:w="50" w:type="dxa"/>
              <w:bottom w:w="50" w:type="dxa"/>
              <w:left w:w="60" w:type="dxa"/>
              <w:right w:w="60" w:type="dxa"/>
            </w:tcMar>
          </w:tcPr>
          <w:p>
            <w:r>
              <w:rPr>
                <w:rFonts w:ascii="Calibri" w:hAnsi="Calibri"/>
                <w:sz w:val="16"/>
              </w:rPr>
              <w:t>Simulate concurrent page loads. Inspect query execution logs for N+1 queries and evaluate GzipResponse compression ratio.</w:t>
            </w:r>
          </w:p>
        </w:tc>
        <w:tc>
          <w:tcPr>
            <w:tcW w:type="dxa" w:w="2016"/>
            <w:tcMar>
              <w:top w:w="50" w:type="dxa"/>
              <w:bottom w:w="50" w:type="dxa"/>
              <w:left w:w="60" w:type="dxa"/>
              <w:right w:w="60" w:type="dxa"/>
            </w:tcMar>
          </w:tcPr>
          <w:p>
            <w:r>
              <w:rPr>
                <w:rFonts w:ascii="Calibri" w:hAnsi="Calibri"/>
                <w:sz w:val="16"/>
              </w:rPr>
              <w:t>Eager loading eliminates N+1 query overhead; Gzip compression reduces payload size by &gt;75%; pages render in &lt; 1.5 seconds.</w:t>
            </w:r>
          </w:p>
        </w:tc>
        <w:tc>
          <w:tcPr>
            <w:tcW w:type="dxa" w:w="1656"/>
            <w:tcMar>
              <w:top w:w="50" w:type="dxa"/>
              <w:bottom w:w="50" w:type="dxa"/>
              <w:left w:w="60" w:type="dxa"/>
              <w:right w:w="60" w:type="dxa"/>
            </w:tcMar>
          </w:tcPr>
          <w:p>
            <w:r>
              <w:rPr>
                <w:rFonts w:ascii="Calibri" w:hAnsi="Calibri"/>
                <w:sz w:val="16"/>
              </w:rPr>
              <w:t>Zero N+1 queries observed; Gzip reduced assets by 80%; sub-second page rendering recorded on cloud server.</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OPcache and Laravel route/config caches verified.</w:t>
            </w:r>
          </w:p>
        </w:tc>
      </w:tr>
    </w:tbl>
    <w:p>
      <w:pPr>
        <w:spacing w:after="80"/>
      </w:pPr>
    </w:p>
    <w:p>
      <w:pPr>
        <w:keepNext/>
        <w:spacing w:before="120" w:after="60"/>
      </w:pPr>
      <w:r>
        <w:rPr>
          <w:rFonts w:ascii="Calibri" w:hAnsi="Calibri"/>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97"/>
        <w:gridCol w:w="1697"/>
        <w:gridCol w:w="1697"/>
        <w:gridCol w:w="1697"/>
        <w:gridCol w:w="1697"/>
        <w:gridCol w:w="1697"/>
      </w:tblGrid>
      <w:tr>
        <w:tc>
          <w:tcPr>
            <w:tcW w:type="dxa" w:w="504"/>
            <w:shd w:val="clear" w:color="auto" w:fill="E2F0D9"/>
            <w:tcMar>
              <w:top w:w="60" w:type="dxa"/>
              <w:bottom w:w="60" w:type="dxa"/>
              <w:left w:w="60" w:type="dxa"/>
              <w:right w:w="60" w:type="dxa"/>
            </w:tcMar>
          </w:tcPr>
          <w:p>
            <w:pPr>
              <w:jc w:val="center"/>
            </w:pPr>
            <w:r>
              <w:rPr>
                <w:rFonts w:ascii="Calibri" w:hAnsi="Calibri"/>
                <w:b/>
                <w:sz w:val="17"/>
              </w:rPr>
              <w:t>No.</w:t>
            </w:r>
          </w:p>
        </w:tc>
        <w:tc>
          <w:tcPr>
            <w:tcW w:type="dxa" w:w="2880"/>
            <w:shd w:val="clear" w:color="auto" w:fill="E2F0D9"/>
            <w:tcMar>
              <w:top w:w="60" w:type="dxa"/>
              <w:bottom w:w="60" w:type="dxa"/>
              <w:left w:w="60" w:type="dxa"/>
              <w:right w:w="60" w:type="dxa"/>
            </w:tcMar>
          </w:tcPr>
          <w:p>
            <w:r>
              <w:rPr>
                <w:rFonts w:ascii="Calibri" w:hAnsi="Calibri"/>
                <w:b/>
                <w:sz w:val="17"/>
              </w:rPr>
              <w:t>Issue / Observation</w:t>
            </w:r>
          </w:p>
        </w:tc>
        <w:tc>
          <w:tcPr>
            <w:tcW w:type="dxa" w:w="2880"/>
            <w:shd w:val="clear" w:color="auto" w:fill="E2F0D9"/>
            <w:tcMar>
              <w:top w:w="60" w:type="dxa"/>
              <w:bottom w:w="60" w:type="dxa"/>
              <w:left w:w="60" w:type="dxa"/>
              <w:right w:w="60" w:type="dxa"/>
            </w:tcMar>
          </w:tcPr>
          <w:p>
            <w:r>
              <w:rPr>
                <w:rFonts w:ascii="Calibri" w:hAnsi="Calibri"/>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Calibri" w:hAnsi="Calibri"/>
                <w:b/>
                <w:sz w:val="17"/>
              </w:rPr>
              <w:t>Priority</w:t>
            </w:r>
          </w:p>
        </w:tc>
        <w:tc>
          <w:tcPr>
            <w:tcW w:type="dxa" w:w="1440"/>
            <w:shd w:val="clear" w:color="auto" w:fill="E2F0D9"/>
            <w:tcMar>
              <w:top w:w="60" w:type="dxa"/>
              <w:bottom w:w="60" w:type="dxa"/>
              <w:left w:w="60" w:type="dxa"/>
              <w:right w:w="60" w:type="dxa"/>
            </w:tcMar>
          </w:tcPr>
          <w:p>
            <w:pPr>
              <w:jc w:val="center"/>
            </w:pPr>
            <w:r>
              <w:rPr>
                <w:rFonts w:ascii="Calibri" w:hAnsi="Calibri"/>
                <w:b/>
                <w:sz w:val="17"/>
              </w:rPr>
              <w:t>Retest Result</w:t>
            </w:r>
          </w:p>
        </w:tc>
        <w:tc>
          <w:tcPr>
            <w:tcW w:type="dxa" w:w="1368"/>
            <w:shd w:val="clear" w:color="auto" w:fill="E2F0D9"/>
            <w:tcMar>
              <w:top w:w="60" w:type="dxa"/>
              <w:bottom w:w="6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tcPr>
          <w:p>
            <w:pPr>
              <w:jc w:val="center"/>
            </w:pPr>
            <w:r>
              <w:rPr>
                <w:rFonts w:ascii="Calibri" w:hAnsi="Calibri"/>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Calibri" w:hAnsi="Calibri"/>
          <w:b/>
          <w:sz w:val="20"/>
        </w:rPr>
        <w:t>D. TECHNICAL TESTING RESULT</w:t>
      </w:r>
    </w:p>
    <w:p>
      <w:pPr>
        <w:spacing w:before="0" w:after="40"/>
      </w:pPr>
      <w:r>
        <w:rPr>
          <w:rFonts w:ascii="Calibri" w:hAnsi="Calibri"/>
          <w:sz w:val="17"/>
        </w:rPr>
        <w:t>Based on the technical testing and architectural inspection performed, the system is:</w:t>
      </w:r>
    </w:p>
    <w:p>
      <w:pPr>
        <w:spacing w:before="20" w:after="20"/>
      </w:pPr>
      <w:r>
        <w:rPr>
          <w:rFonts w:ascii="Calibri" w:hAnsi="Calibri"/>
          <w:sz w:val="17"/>
        </w:rPr>
        <w:t>☐ ACCEPTED — major required functions, security controls, and architectures operated satisfactorily and no critical defect prevents production deployment.</w:t>
      </w:r>
    </w:p>
    <w:p>
      <w:pPr>
        <w:spacing w:before="20" w:after="20"/>
      </w:pPr>
      <w:r>
        <w:rPr>
          <w:rFonts w:ascii="Calibri" w:hAnsi="Calibri"/>
          <w:sz w:val="17"/>
        </w:rPr>
        <w:t>☐ ACCEPTED WITH MINOR REVISIONS — the system is technically sound and usable, subject to the minor engineering optimizations listed above.</w:t>
      </w:r>
    </w:p>
    <w:p>
      <w:pPr>
        <w:spacing w:before="20" w:after="20"/>
      </w:pPr>
      <w:r>
        <w:rPr>
          <w:rFonts w:ascii="Calibri" w:hAnsi="Calibri"/>
          <w:sz w:val="17"/>
        </w:rPr>
        <w:t>☐ FOR REVISION AND RETESTING — one or more architectural, security, or functional defects must be remediated before acceptance.</w:t>
      </w:r>
    </w:p>
    <w:p>
      <w:pPr>
        <w:spacing w:before="80" w:after="200"/>
      </w:pPr>
      <w:r>
        <w:rPr>
          <w:sz w:val="17"/>
        </w:rPr>
        <w:t>IT Expert Comments / Technical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090"/>
        <w:gridCol w:w="5090"/>
      </w:tblGrid>
      <w:tr>
        <w:tc>
          <w:tcPr>
            <w:tcW w:type="dxa" w:w="5328"/>
          </w:tcPr>
          <w:p>
            <w:pPr>
              <w:spacing w:before="120"/>
            </w:pPr>
            <w:r>
              <w:rPr>
                <w:b/>
              </w:rPr>
              <w:t>_________________________________________</w:t>
              <w:br/>
            </w:r>
            <w:r>
              <w:rPr>
                <w:sz w:val="17"/>
              </w:rPr>
              <w:t>IT Expert Evaluator Signature over Printed Name</w:t>
              <w:br/>
              <w:t>Date: ________________________</w:t>
            </w:r>
          </w:p>
        </w:tc>
        <w:tc>
          <w:tcPr>
            <w:tcW w:type="dxa" w:w="5328"/>
          </w:tcPr>
          <w:p>
            <w:pPr>
              <w:spacing w:before="120"/>
            </w:pPr>
            <w:r>
              <w:rPr>
                <w:b/>
              </w:rPr>
              <w:t>_________________________________________</w:t>
              <w:br/>
            </w:r>
            <w:r>
              <w:rPr>
                <w:sz w:val="17"/>
              </w:rPr>
              <w:t>JOHN ANDREI CARILLO / NORIEL S. GADIANO / JOSHUA A. RAZON</w:t>
              <w:br/>
              <w:t>Student Researchers / Project Leaders</w:t>
              <w:br/>
              <w:t>Date: ________________________</w:t>
            </w:r>
          </w:p>
        </w:tc>
      </w:tr>
    </w:tbl>
    <w:p>
      <w:r>
        <w:br w:type="page"/>
      </w:r>
    </w:p>
    <w:p>
      <w:pPr>
        <w:spacing w:before="0" w:after="40"/>
        <w:jc w:val="center"/>
      </w:pPr>
      <w:r>
        <w:rPr>
          <w:rFonts w:ascii="Calibri" w:hAnsi="Calibri"/>
          <w:b/>
          <w:color w:val="0C4E2D"/>
          <w:sz w:val="24"/>
        </w:rPr>
        <w:t>IT EXPERT SYSTEM EVALUATION FORM</w:t>
        <w:br/>
      </w:r>
      <w:r>
        <w:rPr>
          <w:rFonts w:ascii="Calibri" w:hAnsi="Calibri"/>
          <w:b/>
          <w:color w:val="505050"/>
          <w:sz w:val="20"/>
        </w:rPr>
        <w:t>ISO/IEC 25010:2023-Aligned Product Quality Evaluation</w:t>
        <w:br/>
      </w:r>
      <w:r>
        <w:rPr>
          <w:rFonts w:ascii="Calibri" w:hAnsi="Calibri"/>
          <w:b/>
          <w:i/>
          <w:color w:val="646464"/>
          <w:sz w:val="18"/>
        </w:rPr>
        <w:t>Evaluation Instrument — IT Experts &amp; Technical Specialists</w:t>
      </w:r>
    </w:p>
    <w:p>
      <w:pPr>
        <w:spacing w:before="80" w:after="60"/>
        <w:jc w:val="both"/>
      </w:pPr>
      <w:r>
        <w:rPr>
          <w:b/>
        </w:rPr>
        <w:t xml:space="preserve">Purpose. </w:t>
      </w:r>
      <w:r>
        <w:rPr>
          <w:sz w:val="17"/>
        </w:rPr>
        <w:t>This questionnaire gathers structured technical feedback on software product quality after hands-on verification and code/architecture review. The statements are aligned with the ISO/IEC 25010:2023 Systems and software Quality Requirements and Evaluation (SQuaRE) standard across all eight (8)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technical system evaluation, academic documentation, and project improvement. Personal information, if collected, will be safeguarded in accordance with R.A. 10173 (Data Privacy Act of 2012) and will not be disclosed to unauthorized parties.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conducting technical inspection and hands-on testing,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545"/>
        <w:gridCol w:w="2545"/>
        <w:gridCol w:w="2545"/>
        <w:gridCol w:w="2545"/>
      </w:tblGrid>
      <w:tr>
        <w:tc>
          <w:tcPr>
            <w:tcW w:type="dxa" w:w="2592"/>
            <w:tcMar>
              <w:top w:w="50" w:type="dxa"/>
              <w:bottom w:w="50" w:type="dxa"/>
              <w:left w:w="60" w:type="dxa"/>
              <w:right w:w="60" w:type="dxa"/>
            </w:tcMar>
            <w:shd w:val="clear" w:color="auto" w:fill="F3F4F6"/>
          </w:tcPr>
          <w:p>
            <w:pPr>
              <w:spacing w:after="0"/>
            </w:pPr>
            <w:r>
              <w:rPr>
                <w:rFonts w:ascii="Calibri" w:hAnsi="Calibri"/>
                <w:b/>
                <w:sz w:val="16"/>
              </w:rPr>
              <w:t>Project / System Title</w:t>
            </w:r>
          </w:p>
        </w:tc>
        <w:tc>
          <w:tcPr>
            <w:tcW w:type="dxa" w:w="3168"/>
            <w:tcMar>
              <w:top w:w="50" w:type="dxa"/>
              <w:bottom w:w="50" w:type="dxa"/>
              <w:left w:w="60" w:type="dxa"/>
              <w:right w:w="60" w:type="dxa"/>
            </w:tcMar>
          </w:tcPr>
          <w:p>
            <w:pPr>
              <w:spacing w:after="0"/>
            </w:pPr>
            <w:r>
              <w:rPr>
                <w:rFonts w:ascii="Calibri" w:hAnsi="Calibri"/>
                <w:sz w:val="16"/>
              </w:rPr>
              <w:t>A.E.G.I.S: AI-ENHANCED GRANT INFORMATION SYSTEM WITH DOCUMENT FORENSICS AND AUTOMATED NOTIFICATION FOR THE OFFICE OF STUDENT AFFAIRS</w:t>
            </w:r>
          </w:p>
        </w:tc>
        <w:tc>
          <w:tcPr>
            <w:tcW w:type="dxa" w:w="2160"/>
            <w:tcMar>
              <w:top w:w="50" w:type="dxa"/>
              <w:bottom w:w="50" w:type="dxa"/>
              <w:left w:w="60" w:type="dxa"/>
              <w:right w:w="60" w:type="dxa"/>
            </w:tcMar>
            <w:shd w:val="clear" w:color="auto" w:fill="F3F4F6"/>
          </w:tcPr>
          <w:p>
            <w:pPr>
              <w:spacing w:after="0"/>
            </w:pPr>
            <w:r>
              <w:rPr>
                <w:rFonts w:ascii="Calibri" w:hAnsi="Calibri"/>
                <w:b/>
                <w:sz w:val="16"/>
              </w:rPr>
              <w:t>Date of Evaluation</w:t>
            </w:r>
          </w:p>
        </w:tc>
        <w:tc>
          <w:tcPr>
            <w:tcW w:type="dxa" w:w="2736"/>
            <w:tcMar>
              <w:top w:w="50" w:type="dxa"/>
              <w:bottom w:w="50" w:type="dxa"/>
              <w:left w:w="60" w:type="dxa"/>
              <w:right w:w="60" w:type="dxa"/>
            </w:tcMar>
          </w:tcPr>
          <w:p>
            <w:pPr>
              <w:spacing w:after="0"/>
            </w:pPr>
            <w:r>
              <w:rPr>
                <w:rFonts w:ascii="Calibri" w:hAnsi="Calibri"/>
                <w:sz w:val="16"/>
              </w:rPr>
              <w:t>October 2026</w:t>
            </w:r>
          </w:p>
        </w:tc>
      </w:tr>
      <w:tr>
        <w:tc>
          <w:tcPr>
            <w:tcW w:type="dxa" w:w="2592"/>
            <w:tcMar>
              <w:top w:w="50" w:type="dxa"/>
              <w:bottom w:w="50" w:type="dxa"/>
              <w:left w:w="60" w:type="dxa"/>
              <w:right w:w="60" w:type="dxa"/>
            </w:tcMar>
            <w:shd w:val="clear" w:color="auto" w:fill="F3F4F6"/>
          </w:tcPr>
          <w:p>
            <w:pPr>
              <w:spacing w:after="0"/>
            </w:pPr>
            <w:r>
              <w:rPr>
                <w:rFonts w:ascii="Calibri" w:hAnsi="Calibri"/>
                <w:b/>
                <w:sz w:val="16"/>
              </w:rPr>
              <w:t>Respondent Role / User Type</w:t>
            </w:r>
          </w:p>
        </w:tc>
        <w:tc>
          <w:tcPr>
            <w:tcW w:type="dxa" w:w="3168"/>
            <w:tcMar>
              <w:top w:w="50" w:type="dxa"/>
              <w:bottom w:w="50" w:type="dxa"/>
              <w:left w:w="60" w:type="dxa"/>
              <w:right w:w="60" w:type="dxa"/>
            </w:tcMar>
          </w:tcPr>
          <w:p>
            <w:pPr>
              <w:spacing w:after="0"/>
            </w:pPr>
            <w:r>
              <w:rPr>
                <w:rFonts w:ascii="Calibri" w:hAnsi="Calibri"/>
                <w:sz w:val="16"/>
              </w:rPr>
              <w:t>☐ Software Architect / Engineer   ☐ Cybersecurity Specialist</w:t>
              <w:br/>
              <w:t>☐ AI / ML Engineer   ☐ Cloud / Database Admin   ☐ IT Faculty</w:t>
            </w:r>
          </w:p>
        </w:tc>
        <w:tc>
          <w:tcPr>
            <w:tcW w:type="dxa" w:w="2160"/>
            <w:tcMar>
              <w:top w:w="50" w:type="dxa"/>
              <w:bottom w:w="50" w:type="dxa"/>
              <w:left w:w="60" w:type="dxa"/>
              <w:right w:w="60" w:type="dxa"/>
            </w:tcMar>
            <w:shd w:val="clear" w:color="auto" w:fill="F3F4F6"/>
          </w:tcPr>
          <w:p>
            <w:pPr>
              <w:spacing w:after="0"/>
            </w:pPr>
            <w:r>
              <w:rPr>
                <w:rFonts w:ascii="Calibri" w:hAnsi="Calibri"/>
                <w:b/>
                <w:sz w:val="16"/>
              </w:rPr>
              <w:t>Organization / Office</w:t>
            </w:r>
          </w:p>
        </w:tc>
        <w:tc>
          <w:tcPr>
            <w:tcW w:type="dxa" w:w="2736"/>
            <w:tcMar>
              <w:top w:w="50" w:type="dxa"/>
              <w:bottom w:w="50" w:type="dxa"/>
              <w:left w:w="60" w:type="dxa"/>
              <w:right w:w="60" w:type="dxa"/>
            </w:tcMar>
          </w:tcPr>
          <w:p>
            <w:pPr>
              <w:spacing w:after="0"/>
            </w:pPr>
            <w:r>
              <w:rPr>
                <w:rFonts w:ascii="Calibri" w:hAnsi="Calibri"/>
                <w:sz w:val="16"/>
              </w:rPr>
              <w:t>Central Luzon State University / Partner Agency</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94"/>
        <w:gridCol w:w="3394"/>
        <w:gridCol w:w="3394"/>
      </w:tblGrid>
      <w:tr>
        <w:tc>
          <w:tcPr>
            <w:tcW w:type="dxa" w:w="648"/>
            <w:shd w:val="clear" w:color="auto" w:fill="D9EAF7"/>
            <w:tcMar>
              <w:top w:w="60" w:type="dxa"/>
              <w:bottom w:w="60" w:type="dxa"/>
              <w:left w:w="60" w:type="dxa"/>
              <w:right w:w="60" w:type="dxa"/>
            </w:tcMar>
          </w:tcPr>
          <w:p>
            <w:pPr>
              <w:jc w:val="center"/>
            </w:pPr>
            <w:r>
              <w:rPr>
                <w:rFonts w:ascii="Calibri" w:hAnsi="Calibri"/>
                <w:b/>
                <w:sz w:val="17"/>
              </w:rPr>
              <w:t>No.</w:t>
            </w:r>
          </w:p>
        </w:tc>
        <w:tc>
          <w:tcPr>
            <w:tcW w:type="dxa" w:w="6768"/>
            <w:shd w:val="clear" w:color="auto" w:fill="D9EAF7"/>
            <w:tcMar>
              <w:top w:w="60" w:type="dxa"/>
              <w:bottom w:w="60" w:type="dxa"/>
              <w:left w:w="60" w:type="dxa"/>
              <w:right w:w="60" w:type="dxa"/>
            </w:tcMar>
          </w:tcPr>
          <w:p>
            <w:r>
              <w:rPr>
                <w:rFonts w:ascii="Calibri" w:hAnsi="Calibri"/>
                <w:b/>
                <w:sz w:val="17"/>
              </w:rPr>
              <w:t>Evaluation Statement</w:t>
            </w:r>
          </w:p>
        </w:tc>
        <w:tc>
          <w:tcPr>
            <w:tcW w:type="dxa" w:w="3240"/>
            <w:shd w:val="clear" w:color="auto" w:fill="D9EAF7"/>
            <w:tcMar>
              <w:top w:w="60" w:type="dxa"/>
              <w:bottom w:w="60" w:type="dxa"/>
              <w:left w:w="60" w:type="dxa"/>
              <w:right w:w="60" w:type="dxa"/>
            </w:tcMar>
          </w:tcPr>
          <w:p>
            <w:pPr>
              <w:jc w:val="center"/>
            </w:pPr>
            <w:r>
              <w:rPr>
                <w:rFonts w:ascii="Calibri" w:hAnsi="Calibri"/>
                <w:b/>
                <w:sz w:val="17"/>
              </w:rPr>
              <w:t>Rating</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1. FUNCTIONAL SUITABILITY</w:t>
            </w:r>
          </w:p>
        </w:tc>
      </w:tr>
      <w:tr>
        <w:tc>
          <w:tcPr>
            <w:tcW w:type="dxa" w:w="648"/>
            <w:tcMar>
              <w:top w:w="40" w:type="dxa"/>
              <w:bottom w:w="40" w:type="dxa"/>
              <w:left w:w="50" w:type="dxa"/>
              <w:right w:w="50" w:type="dxa"/>
            </w:tcMar>
          </w:tcPr>
          <w:p>
            <w:pPr>
              <w:spacing w:after="0"/>
              <w:jc w:val="center"/>
            </w:pPr>
            <w:r>
              <w:rPr>
                <w:rFonts w:ascii="Calibri" w:hAnsi="Calibri"/>
                <w:b/>
                <w:sz w:val="16"/>
              </w:rPr>
              <w:t>1</w:t>
            </w:r>
          </w:p>
        </w:tc>
        <w:tc>
          <w:tcPr>
            <w:tcW w:type="dxa" w:w="6768"/>
            <w:tcMar>
              <w:top w:w="40" w:type="dxa"/>
              <w:bottom w:w="40" w:type="dxa"/>
              <w:left w:w="60" w:type="dxa"/>
              <w:right w:w="60" w:type="dxa"/>
            </w:tcMar>
          </w:tcPr>
          <w:p>
            <w:pPr>
              <w:spacing w:after="0"/>
            </w:pPr>
            <w:r>
              <w:rPr>
                <w:rFonts w:ascii="Calibri" w:hAnsi="Calibri"/>
                <w:sz w:val="16"/>
              </w:rPr>
              <w:t>The system completely implements all essential scholarship management modules, multi-tiered document evaluation, and notification lifecycles.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w:t>
            </w:r>
          </w:p>
        </w:tc>
        <w:tc>
          <w:tcPr>
            <w:tcW w:type="dxa" w:w="6768"/>
            <w:tcMar>
              <w:top w:w="40" w:type="dxa"/>
              <w:bottom w:w="40" w:type="dxa"/>
              <w:left w:w="60" w:type="dxa"/>
              <w:right w:w="60" w:type="dxa"/>
            </w:tcMar>
          </w:tcPr>
          <w:p>
            <w:pPr>
              <w:spacing w:after="0"/>
            </w:pPr>
            <w:r>
              <w:rPr>
                <w:rFonts w:ascii="Calibri" w:hAnsi="Calibri"/>
                <w:sz w:val="16"/>
              </w:rPr>
              <w:t>The system executes business logic and calculation algorithms (GWA checks, financial thresholds, AI risk scoring) with technical precision.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3</w:t>
            </w:r>
          </w:p>
        </w:tc>
        <w:tc>
          <w:tcPr>
            <w:tcW w:type="dxa" w:w="6768"/>
            <w:tcMar>
              <w:top w:w="40" w:type="dxa"/>
              <w:bottom w:w="40" w:type="dxa"/>
              <w:left w:w="60" w:type="dxa"/>
              <w:right w:w="60" w:type="dxa"/>
            </w:tcMar>
          </w:tcPr>
          <w:p>
            <w:pPr>
              <w:spacing w:after="0"/>
            </w:pPr>
            <w:r>
              <w:rPr>
                <w:rFonts w:ascii="Calibri" w:hAnsi="Calibri"/>
                <w:sz w:val="16"/>
              </w:rPr>
              <w:t>The functional workflows provide appropriate administrative utilities (bulk actions, live audit logs, triage queue) without redundant operations.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2. PERFORMANCE EFFICIENCY</w:t>
            </w:r>
          </w:p>
        </w:tc>
      </w:tr>
      <w:tr>
        <w:tc>
          <w:tcPr>
            <w:tcW w:type="dxa" w:w="648"/>
            <w:tcMar>
              <w:top w:w="40" w:type="dxa"/>
              <w:bottom w:w="40" w:type="dxa"/>
              <w:left w:w="50" w:type="dxa"/>
              <w:right w:w="50" w:type="dxa"/>
            </w:tcMar>
          </w:tcPr>
          <w:p>
            <w:pPr>
              <w:spacing w:after="0"/>
              <w:jc w:val="center"/>
            </w:pPr>
            <w:r>
              <w:rPr>
                <w:rFonts w:ascii="Calibri" w:hAnsi="Calibri"/>
                <w:b/>
                <w:sz w:val="16"/>
              </w:rPr>
              <w:t>4</w:t>
            </w:r>
          </w:p>
        </w:tc>
        <w:tc>
          <w:tcPr>
            <w:tcW w:type="dxa" w:w="6768"/>
            <w:tcMar>
              <w:top w:w="40" w:type="dxa"/>
              <w:bottom w:w="40" w:type="dxa"/>
              <w:left w:w="60" w:type="dxa"/>
              <w:right w:w="60" w:type="dxa"/>
            </w:tcMar>
          </w:tcPr>
          <w:p>
            <w:pPr>
              <w:spacing w:after="0"/>
            </w:pPr>
            <w:r>
              <w:rPr>
                <w:rFonts w:ascii="Calibri" w:hAnsi="Calibri"/>
                <w:sz w:val="16"/>
              </w:rPr>
              <w:t>The system responds within acceptable latency thresholds (&lt; 1.5 seconds) during typical database queries and page transitions.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5</w:t>
            </w:r>
          </w:p>
        </w:tc>
        <w:tc>
          <w:tcPr>
            <w:tcW w:type="dxa" w:w="6768"/>
            <w:tcMar>
              <w:top w:w="40" w:type="dxa"/>
              <w:bottom w:w="40" w:type="dxa"/>
              <w:left w:w="60" w:type="dxa"/>
              <w:right w:w="60" w:type="dxa"/>
            </w:tcMar>
          </w:tcPr>
          <w:p>
            <w:pPr>
              <w:spacing w:after="0"/>
            </w:pPr>
            <w:r>
              <w:rPr>
                <w:rFonts w:ascii="Calibri" w:hAnsi="Calibri"/>
                <w:sz w:val="16"/>
              </w:rPr>
              <w:t>Server resources (CPU, RAM, database I/O) are utilized efficiently via eager loading, query caching, Gzip compression, and OPcache optimization.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6</w:t>
            </w:r>
          </w:p>
        </w:tc>
        <w:tc>
          <w:tcPr>
            <w:tcW w:type="dxa" w:w="6768"/>
            <w:tcMar>
              <w:top w:w="40" w:type="dxa"/>
              <w:bottom w:w="40" w:type="dxa"/>
              <w:left w:w="60" w:type="dxa"/>
              <w:right w:w="60" w:type="dxa"/>
            </w:tcMar>
          </w:tcPr>
          <w:p>
            <w:pPr>
              <w:spacing w:after="0"/>
            </w:pPr>
            <w:r>
              <w:rPr>
                <w:rFonts w:ascii="Calibri" w:hAnsi="Calibri"/>
                <w:sz w:val="16"/>
              </w:rPr>
              <w:t>The system manages concurrent applicant uploads and background worker queuing without deadlocks or performance degradation.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3. COMPATIBILITY</w:t>
            </w:r>
          </w:p>
        </w:tc>
      </w:tr>
      <w:tr>
        <w:tc>
          <w:tcPr>
            <w:tcW w:type="dxa" w:w="648"/>
            <w:tcMar>
              <w:top w:w="40" w:type="dxa"/>
              <w:bottom w:w="40" w:type="dxa"/>
              <w:left w:w="50" w:type="dxa"/>
              <w:right w:w="50" w:type="dxa"/>
            </w:tcMar>
          </w:tcPr>
          <w:p>
            <w:pPr>
              <w:spacing w:after="0"/>
              <w:jc w:val="center"/>
            </w:pPr>
            <w:r>
              <w:rPr>
                <w:rFonts w:ascii="Calibri" w:hAnsi="Calibri"/>
                <w:b/>
                <w:sz w:val="16"/>
              </w:rPr>
              <w:t>7</w:t>
            </w:r>
          </w:p>
        </w:tc>
        <w:tc>
          <w:tcPr>
            <w:tcW w:type="dxa" w:w="6768"/>
            <w:tcMar>
              <w:top w:w="40" w:type="dxa"/>
              <w:bottom w:w="40" w:type="dxa"/>
              <w:left w:w="60" w:type="dxa"/>
              <w:right w:w="60" w:type="dxa"/>
            </w:tcMar>
          </w:tcPr>
          <w:p>
            <w:pPr>
              <w:spacing w:after="0"/>
            </w:pPr>
            <w:r>
              <w:rPr>
                <w:rFonts w:ascii="Calibri" w:hAnsi="Calibri"/>
                <w:sz w:val="16"/>
              </w:rPr>
              <w:t>The application co-exists smoothly in multi-container environments (Docker, PHP-FPM, Alpine Linux) without service contention.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8</w:t>
            </w:r>
          </w:p>
        </w:tc>
        <w:tc>
          <w:tcPr>
            <w:tcW w:type="dxa" w:w="6768"/>
            <w:tcMar>
              <w:top w:w="40" w:type="dxa"/>
              <w:bottom w:w="40" w:type="dxa"/>
              <w:left w:w="60" w:type="dxa"/>
              <w:right w:w="60" w:type="dxa"/>
            </w:tcMar>
          </w:tcPr>
          <w:p>
            <w:pPr>
              <w:spacing w:after="0"/>
            </w:pPr>
            <w:r>
              <w:rPr>
                <w:rFonts w:ascii="Calibri" w:hAnsi="Calibri"/>
                <w:sz w:val="16"/>
              </w:rPr>
              <w:t>The system integrates seamlessly with external web services and cloud APIs (Brevo SMTP email, Cloudflare R2 object storage, HuggingFace AI spaces).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4. USABILITY (INTERACTION CAPABILITY)</w:t>
            </w:r>
          </w:p>
        </w:tc>
      </w:tr>
      <w:tr>
        <w:tc>
          <w:tcPr>
            <w:tcW w:type="dxa" w:w="648"/>
            <w:tcMar>
              <w:top w:w="40" w:type="dxa"/>
              <w:bottom w:w="40" w:type="dxa"/>
              <w:left w:w="50" w:type="dxa"/>
              <w:right w:w="50" w:type="dxa"/>
            </w:tcMar>
          </w:tcPr>
          <w:p>
            <w:pPr>
              <w:spacing w:after="0"/>
              <w:jc w:val="center"/>
            </w:pPr>
            <w:r>
              <w:rPr>
                <w:rFonts w:ascii="Calibri" w:hAnsi="Calibri"/>
                <w:b/>
                <w:sz w:val="16"/>
              </w:rPr>
              <w:t>9</w:t>
            </w:r>
          </w:p>
        </w:tc>
        <w:tc>
          <w:tcPr>
            <w:tcW w:type="dxa" w:w="6768"/>
            <w:tcMar>
              <w:top w:w="40" w:type="dxa"/>
              <w:bottom w:w="40" w:type="dxa"/>
              <w:left w:w="60" w:type="dxa"/>
              <w:right w:w="60" w:type="dxa"/>
            </w:tcMar>
          </w:tcPr>
          <w:p>
            <w:pPr>
              <w:spacing w:after="0"/>
            </w:pPr>
            <w:r>
              <w:rPr>
                <w:rFonts w:ascii="Calibri" w:hAnsi="Calibri"/>
                <w:sz w:val="16"/>
              </w:rPr>
              <w:t>The software provides clear architectural recognizability, intuitive UI patterns, breadcrumbs, and standardized SweetAlert2 dialogs.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10</w:t>
            </w:r>
          </w:p>
        </w:tc>
        <w:tc>
          <w:tcPr>
            <w:tcW w:type="dxa" w:w="6768"/>
            <w:tcMar>
              <w:top w:w="40" w:type="dxa"/>
              <w:bottom w:w="40" w:type="dxa"/>
              <w:left w:w="60" w:type="dxa"/>
              <w:right w:w="60" w:type="dxa"/>
            </w:tcMar>
          </w:tcPr>
          <w:p>
            <w:pPr>
              <w:spacing w:after="0"/>
            </w:pPr>
            <w:r>
              <w:rPr>
                <w:rFonts w:ascii="Calibri" w:hAnsi="Calibri"/>
                <w:sz w:val="16"/>
              </w:rPr>
              <w:t>The administrative and student interfaces enable rapid user learnability with minimal training through structured multi-step wizards.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11</w:t>
            </w:r>
          </w:p>
        </w:tc>
        <w:tc>
          <w:tcPr>
            <w:tcW w:type="dxa" w:w="6768"/>
            <w:tcMar>
              <w:top w:w="40" w:type="dxa"/>
              <w:bottom w:w="40" w:type="dxa"/>
              <w:left w:w="60" w:type="dxa"/>
              <w:right w:w="60" w:type="dxa"/>
            </w:tcMar>
          </w:tcPr>
          <w:p>
            <w:pPr>
              <w:spacing w:after="0"/>
            </w:pPr>
            <w:r>
              <w:rPr>
                <w:rFonts w:ascii="Calibri" w:hAnsi="Calibri"/>
                <w:sz w:val="16"/>
              </w:rPr>
              <w:t>The application enforces robust client-side and server-side validation rules with accessible error handling to prevent user mistakes.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12</w:t>
            </w:r>
          </w:p>
        </w:tc>
        <w:tc>
          <w:tcPr>
            <w:tcW w:type="dxa" w:w="6768"/>
            <w:tcMar>
              <w:top w:w="40" w:type="dxa"/>
              <w:bottom w:w="40" w:type="dxa"/>
              <w:left w:w="60" w:type="dxa"/>
              <w:right w:w="60" w:type="dxa"/>
            </w:tcMar>
          </w:tcPr>
          <w:p>
            <w:pPr>
              <w:spacing w:after="0"/>
            </w:pPr>
            <w:r>
              <w:rPr>
                <w:rFonts w:ascii="Calibri" w:hAnsi="Calibri"/>
                <w:sz w:val="16"/>
              </w:rPr>
              <w:t>The user interface is cleanly styled with modern typography, responsive viewports, and high contrast adhering to accessibility guidelines.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5. RELIABILITY</w:t>
            </w:r>
          </w:p>
        </w:tc>
      </w:tr>
      <w:tr>
        <w:tc>
          <w:tcPr>
            <w:tcW w:type="dxa" w:w="648"/>
            <w:tcMar>
              <w:top w:w="40" w:type="dxa"/>
              <w:bottom w:w="40" w:type="dxa"/>
              <w:left w:w="50" w:type="dxa"/>
              <w:right w:w="50" w:type="dxa"/>
            </w:tcMar>
          </w:tcPr>
          <w:p>
            <w:pPr>
              <w:spacing w:after="0"/>
              <w:jc w:val="center"/>
            </w:pPr>
            <w:r>
              <w:rPr>
                <w:rFonts w:ascii="Calibri" w:hAnsi="Calibri"/>
                <w:b/>
                <w:sz w:val="16"/>
              </w:rPr>
              <w:t>13</w:t>
            </w:r>
          </w:p>
        </w:tc>
        <w:tc>
          <w:tcPr>
            <w:tcW w:type="dxa" w:w="6768"/>
            <w:tcMar>
              <w:top w:w="40" w:type="dxa"/>
              <w:bottom w:w="40" w:type="dxa"/>
              <w:left w:w="60" w:type="dxa"/>
              <w:right w:w="60" w:type="dxa"/>
            </w:tcMar>
          </w:tcPr>
          <w:p>
            <w:pPr>
              <w:spacing w:after="0"/>
            </w:pPr>
            <w:r>
              <w:rPr>
                <w:rFonts w:ascii="Calibri" w:hAnsi="Calibri"/>
                <w:sz w:val="16"/>
              </w:rPr>
              <w:t>The software demonstrates architectural maturity, passing comprehensive automated unit and feature test suites with zero regressions.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14</w:t>
            </w:r>
          </w:p>
        </w:tc>
        <w:tc>
          <w:tcPr>
            <w:tcW w:type="dxa" w:w="6768"/>
            <w:tcMar>
              <w:top w:w="40" w:type="dxa"/>
              <w:bottom w:w="40" w:type="dxa"/>
              <w:left w:w="60" w:type="dxa"/>
              <w:right w:w="60" w:type="dxa"/>
            </w:tcMar>
          </w:tcPr>
          <w:p>
            <w:pPr>
              <w:spacing w:after="0"/>
            </w:pPr>
            <w:r>
              <w:rPr>
                <w:rFonts w:ascii="Calibri" w:hAnsi="Calibri"/>
                <w:sz w:val="16"/>
              </w:rPr>
              <w:t>The system provides high operational availability with fault-tolerant fallbacks (database connection retries, email failover drivers).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15</w:t>
            </w:r>
          </w:p>
        </w:tc>
        <w:tc>
          <w:tcPr>
            <w:tcW w:type="dxa" w:w="6768"/>
            <w:tcMar>
              <w:top w:w="40" w:type="dxa"/>
              <w:bottom w:w="40" w:type="dxa"/>
              <w:left w:w="60" w:type="dxa"/>
              <w:right w:w="60" w:type="dxa"/>
            </w:tcMar>
          </w:tcPr>
          <w:p>
            <w:pPr>
              <w:spacing w:after="0"/>
            </w:pPr>
            <w:r>
              <w:rPr>
                <w:rFonts w:ascii="Calibri" w:hAnsi="Calibri"/>
                <w:sz w:val="16"/>
              </w:rPr>
              <w:t>The system gracefully recovers from service interruptions (e.g. AI container cold starts) through automated job retry backoffs.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6. SECURITY</w:t>
            </w:r>
          </w:p>
        </w:tc>
      </w:tr>
      <w:tr>
        <w:tc>
          <w:tcPr>
            <w:tcW w:type="dxa" w:w="648"/>
            <w:tcMar>
              <w:top w:w="40" w:type="dxa"/>
              <w:bottom w:w="40" w:type="dxa"/>
              <w:left w:w="50" w:type="dxa"/>
              <w:right w:w="50" w:type="dxa"/>
            </w:tcMar>
          </w:tcPr>
          <w:p>
            <w:pPr>
              <w:spacing w:after="0"/>
              <w:jc w:val="center"/>
            </w:pPr>
            <w:r>
              <w:rPr>
                <w:rFonts w:ascii="Calibri" w:hAnsi="Calibri"/>
                <w:b/>
                <w:sz w:val="16"/>
              </w:rPr>
              <w:t>16</w:t>
            </w:r>
          </w:p>
        </w:tc>
        <w:tc>
          <w:tcPr>
            <w:tcW w:type="dxa" w:w="6768"/>
            <w:tcMar>
              <w:top w:w="40" w:type="dxa"/>
              <w:bottom w:w="40" w:type="dxa"/>
              <w:left w:w="60" w:type="dxa"/>
              <w:right w:w="60" w:type="dxa"/>
            </w:tcMar>
          </w:tcPr>
          <w:p>
            <w:pPr>
              <w:spacing w:after="0"/>
            </w:pPr>
            <w:r>
              <w:rPr>
                <w:rFonts w:ascii="Calibri" w:hAnsi="Calibri"/>
                <w:sz w:val="16"/>
              </w:rPr>
              <w:t>Unauthorized access to sensitive student records is strictly prevented through role-based middleware, secure sessions, and AES-256 database encryption.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17</w:t>
            </w:r>
          </w:p>
        </w:tc>
        <w:tc>
          <w:tcPr>
            <w:tcW w:type="dxa" w:w="6768"/>
            <w:tcMar>
              <w:top w:w="40" w:type="dxa"/>
              <w:bottom w:w="40" w:type="dxa"/>
              <w:left w:w="60" w:type="dxa"/>
              <w:right w:w="60" w:type="dxa"/>
            </w:tcMar>
          </w:tcPr>
          <w:p>
            <w:pPr>
              <w:spacing w:after="0"/>
            </w:pPr>
            <w:r>
              <w:rPr>
                <w:rFonts w:ascii="Calibri" w:hAnsi="Calibri"/>
                <w:sz w:val="16"/>
              </w:rPr>
              <w:t>Data integrity is robustly safeguarded through CSRF token verification, cryptographic URL signatures, and immutable audit 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18</w:t>
            </w:r>
          </w:p>
        </w:tc>
        <w:tc>
          <w:tcPr>
            <w:tcW w:type="dxa" w:w="6768"/>
            <w:tcMar>
              <w:top w:w="40" w:type="dxa"/>
              <w:bottom w:w="40" w:type="dxa"/>
              <w:left w:w="60" w:type="dxa"/>
              <w:right w:w="60" w:type="dxa"/>
            </w:tcMar>
          </w:tcPr>
          <w:p>
            <w:pPr>
              <w:spacing w:after="0"/>
            </w:pPr>
            <w:r>
              <w:rPr>
                <w:rFonts w:ascii="Calibri" w:hAnsi="Calibri"/>
                <w:sz w:val="16"/>
              </w:rPr>
              <w:t>System activities (approvals, rejections, setting updates, exports) are immutably tied to user identity for complete non-repudiation.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19</w:t>
            </w:r>
          </w:p>
        </w:tc>
        <w:tc>
          <w:tcPr>
            <w:tcW w:type="dxa" w:w="6768"/>
            <w:tcMar>
              <w:top w:w="40" w:type="dxa"/>
              <w:bottom w:w="40" w:type="dxa"/>
              <w:left w:w="60" w:type="dxa"/>
              <w:right w:w="60" w:type="dxa"/>
            </w:tcMar>
          </w:tcPr>
          <w:p>
            <w:pPr>
              <w:spacing w:after="0"/>
            </w:pPr>
            <w:r>
              <w:rPr>
                <w:rFonts w:ascii="Calibri" w:hAnsi="Calibri"/>
                <w:sz w:val="16"/>
              </w:rPr>
              <w:t>User identity is verified through cryptographically secure Multi-Factor Authentication (MFA OTP) with SHA-256 hash storage at rest.</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7. MAINTAINABILITY</w:t>
            </w:r>
          </w:p>
        </w:tc>
      </w:tr>
      <w:tr>
        <w:tc>
          <w:tcPr>
            <w:tcW w:type="dxa" w:w="648"/>
            <w:tcMar>
              <w:top w:w="40" w:type="dxa"/>
              <w:bottom w:w="40" w:type="dxa"/>
              <w:left w:w="50" w:type="dxa"/>
              <w:right w:w="50" w:type="dxa"/>
            </w:tcMar>
          </w:tcPr>
          <w:p>
            <w:pPr>
              <w:spacing w:after="0"/>
              <w:jc w:val="center"/>
            </w:pPr>
            <w:r>
              <w:rPr>
                <w:rFonts w:ascii="Calibri" w:hAnsi="Calibri"/>
                <w:b/>
                <w:sz w:val="16"/>
              </w:rPr>
              <w:t>20</w:t>
            </w:r>
          </w:p>
        </w:tc>
        <w:tc>
          <w:tcPr>
            <w:tcW w:type="dxa" w:w="6768"/>
            <w:tcMar>
              <w:top w:w="40" w:type="dxa"/>
              <w:bottom w:w="40" w:type="dxa"/>
              <w:left w:w="60" w:type="dxa"/>
              <w:right w:w="60" w:type="dxa"/>
            </w:tcMar>
          </w:tcPr>
          <w:p>
            <w:pPr>
              <w:spacing w:after="0"/>
            </w:pPr>
            <w:r>
              <w:rPr>
                <w:rFonts w:ascii="Calibri" w:hAnsi="Calibri"/>
                <w:sz w:val="16"/>
              </w:rPr>
              <w:t>The codebase exhibits high modularity following MVC and Clean Architecture standards (Skinny Controllers, Fat Models, Service Layer).</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21</w:t>
            </w:r>
          </w:p>
        </w:tc>
        <w:tc>
          <w:tcPr>
            <w:tcW w:type="dxa" w:w="6768"/>
            <w:tcMar>
              <w:top w:w="40" w:type="dxa"/>
              <w:bottom w:w="40" w:type="dxa"/>
              <w:left w:w="60" w:type="dxa"/>
              <w:right w:w="60" w:type="dxa"/>
            </w:tcMar>
          </w:tcPr>
          <w:p>
            <w:pPr>
              <w:spacing w:after="0"/>
            </w:pPr>
            <w:r>
              <w:rPr>
                <w:rFonts w:ascii="Calibri" w:hAnsi="Calibri"/>
                <w:sz w:val="16"/>
              </w:rPr>
              <w:t>Software components (forensic analyzers, notification dispatchers, PDF generators, alert engines) are abstracted for code reusability.</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22</w:t>
            </w:r>
          </w:p>
        </w:tc>
        <w:tc>
          <w:tcPr>
            <w:tcW w:type="dxa" w:w="6768"/>
            <w:tcMar>
              <w:top w:w="40" w:type="dxa"/>
              <w:bottom w:w="40" w:type="dxa"/>
              <w:left w:w="60" w:type="dxa"/>
              <w:right w:w="60" w:type="dxa"/>
            </w:tcMar>
          </w:tcPr>
          <w:p>
            <w:pPr>
              <w:spacing w:after="0"/>
            </w:pPr>
            <w:r>
              <w:rPr>
                <w:rFonts w:ascii="Calibri" w:hAnsi="Calibri"/>
                <w:sz w:val="16"/>
              </w:rPr>
              <w:t>The codebase provides clear architectural documentation, structured logging, and high testability with automated test coverage.</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8. PORTABILITY</w:t>
            </w:r>
          </w:p>
        </w:tc>
      </w:tr>
      <w:tr>
        <w:tc>
          <w:tcPr>
            <w:tcW w:type="dxa" w:w="648"/>
            <w:tcMar>
              <w:top w:w="40" w:type="dxa"/>
              <w:bottom w:w="40" w:type="dxa"/>
              <w:left w:w="50" w:type="dxa"/>
              <w:right w:w="50" w:type="dxa"/>
            </w:tcMar>
          </w:tcPr>
          <w:p>
            <w:pPr>
              <w:spacing w:after="0"/>
              <w:jc w:val="center"/>
            </w:pPr>
            <w:r>
              <w:rPr>
                <w:rFonts w:ascii="Calibri" w:hAnsi="Calibri"/>
                <w:b/>
                <w:sz w:val="16"/>
              </w:rPr>
              <w:t>23</w:t>
            </w:r>
          </w:p>
        </w:tc>
        <w:tc>
          <w:tcPr>
            <w:tcW w:type="dxa" w:w="6768"/>
            <w:tcMar>
              <w:top w:w="40" w:type="dxa"/>
              <w:bottom w:w="40" w:type="dxa"/>
              <w:left w:w="60" w:type="dxa"/>
              <w:right w:w="60" w:type="dxa"/>
            </w:tcMar>
          </w:tcPr>
          <w:p>
            <w:pPr>
              <w:spacing w:after="0"/>
            </w:pPr>
            <w:r>
              <w:rPr>
                <w:rFonts w:ascii="Calibri" w:hAnsi="Calibri"/>
                <w:sz w:val="16"/>
              </w:rPr>
              <w:t>The web application adapts seamlessly across modern web browsers (Chrome, Edge, Safari, Firefox) and multi-device form factors.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24</w:t>
            </w:r>
          </w:p>
        </w:tc>
        <w:tc>
          <w:tcPr>
            <w:tcW w:type="dxa" w:w="6768"/>
            <w:tcMar>
              <w:top w:w="40" w:type="dxa"/>
              <w:bottom w:w="40" w:type="dxa"/>
              <w:left w:w="60" w:type="dxa"/>
              <w:right w:w="60" w:type="dxa"/>
            </w:tcMar>
          </w:tcPr>
          <w:p>
            <w:pPr>
              <w:spacing w:after="0"/>
            </w:pPr>
            <w:r>
              <w:rPr>
                <w:rFonts w:ascii="Calibri" w:hAnsi="Calibri"/>
                <w:sz w:val="16"/>
              </w:rPr>
              <w:t>The application deployment pipeline is standardized via containerization (Dockerfile, render.yaml) and automated database migrations.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bl>
    <w:p>
      <w:pPr>
        <w:spacing w:after="80"/>
      </w:pPr>
    </w:p>
    <w:p>
      <w:pPr>
        <w:keepNext/>
        <w:spacing w:before="120" w:after="40"/>
      </w:pPr>
      <w:r>
        <w:rPr>
          <w:rFonts w:ascii="Calibri" w:hAnsi="Calibri"/>
          <w:b/>
          <w:sz w:val="19"/>
        </w:rPr>
        <w:t>OVERALL TECHNICAL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7416"/>
            <w:tcMar>
              <w:top w:w="40" w:type="dxa"/>
              <w:bottom w:w="40" w:type="dxa"/>
              <w:left w:w="60" w:type="dxa"/>
              <w:right w:w="60" w:type="dxa"/>
            </w:tcMar>
          </w:tcPr>
          <w:p>
            <w:pPr>
              <w:spacing w:after="0"/>
            </w:pPr>
            <w:r>
              <w:rPr>
                <w:rFonts w:ascii="Calibri" w:hAnsi="Calibri"/>
                <w:sz w:val="16"/>
              </w:rPr>
              <w:t>Overall, the system demonstrates high architectural, algorithmic, and software engineering quality.</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software satisfies institutional production standards and is ready for live operational deployment.</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cryptographic security controls and AI forensic tamper detection fulfill professional technical benchmarks.</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bl>
    <w:p>
      <w:pPr>
        <w:spacing w:after="80"/>
      </w:pPr>
    </w:p>
    <w:p>
      <w:pPr>
        <w:keepNext/>
        <w:spacing w:before="120" w:after="40"/>
      </w:pPr>
      <w:r>
        <w:rPr>
          <w:rFonts w:ascii="Calibri" w:hAnsi="Calibri"/>
          <w:b/>
          <w:sz w:val="19"/>
        </w:rPr>
        <w:t>COMMENTS AND RECOMMENDATIONS (IT Expert)</w:t>
      </w:r>
    </w:p>
    <w:p>
      <w:pPr>
        <w:spacing w:before="40" w:after="40"/>
      </w:pPr>
      <w:r>
        <w:rPr>
          <w:rFonts w:ascii="Calibri" w:hAnsi="Calibri"/>
          <w:sz w:val="16"/>
        </w:rPr>
        <w:t>Architectural features or technical implementations commended:  ______________________________________________________________________</w:t>
      </w:r>
    </w:p>
    <w:p>
      <w:pPr>
        <w:spacing w:before="40" w:after="40"/>
      </w:pPr>
      <w:r>
        <w:rPr>
          <w:rFonts w:ascii="Calibri" w:hAnsi="Calibri"/>
          <w:sz w:val="16"/>
        </w:rPr>
        <w:t>Technical problems, vulnerabilities, or bottlenecks observed:  ________________________________________________________________________</w:t>
      </w:r>
    </w:p>
    <w:p>
      <w:pPr>
        <w:spacing w:before="40" w:after="40"/>
      </w:pPr>
      <w:r>
        <w:rPr>
          <w:rFonts w:ascii="Calibri" w:hAnsi="Calibri"/>
          <w:sz w:val="16"/>
        </w:rPr>
        <w:t>Suggested engineering or infrastructure improvements:  ______________________________________________________________________________</w:t>
      </w:r>
    </w:p>
    <w:p>
      <w:pPr>
        <w:keepNext/>
        <w:spacing w:before="120" w:after="40"/>
      </w:pPr>
      <w:r>
        <w:rPr>
          <w:rFonts w:ascii="Calibri" w:hAnsi="Calibri"/>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2880"/>
            <w:tcMar>
              <w:top w:w="40" w:type="dxa"/>
              <w:bottom w:w="40" w:type="dxa"/>
              <w:left w:w="60" w:type="dxa"/>
              <w:right w:w="60" w:type="dxa"/>
            </w:tcMar>
            <w:shd w:val="clear" w:color="auto" w:fill="E2F0D9"/>
          </w:tcPr>
          <w:p>
            <w:pPr>
              <w:spacing w:after="0"/>
            </w:pPr>
            <w:r>
              <w:rPr>
                <w:rFonts w:ascii="Calibri" w:hAnsi="Calibri"/>
                <w:b/>
                <w:sz w:val="16"/>
              </w:rPr>
              <w:t>Mean Range</w:t>
            </w:r>
          </w:p>
        </w:tc>
        <w:tc>
          <w:tcPr>
            <w:tcW w:type="dxa" w:w="7776"/>
            <w:tcMar>
              <w:top w:w="40" w:type="dxa"/>
              <w:bottom w:w="40" w:type="dxa"/>
              <w:left w:w="60" w:type="dxa"/>
              <w:right w:w="60" w:type="dxa"/>
            </w:tcMar>
            <w:shd w:val="clear" w:color="auto" w:fill="E2F0D9"/>
          </w:tcPr>
          <w:p>
            <w:pPr>
              <w:spacing w:after="0"/>
            </w:pPr>
            <w:r>
              <w:rPr>
                <w:rFonts w:ascii="Calibri" w:hAnsi="Calibri"/>
                <w:b/>
                <w:sz w:val="16"/>
              </w:rPr>
              <w:t>Interpretation / Technical Quality Level</w:t>
            </w:r>
          </w:p>
        </w:tc>
      </w:tr>
      <w:tr>
        <w:tc>
          <w:tcPr>
            <w:tcW w:type="dxa" w:w="2880"/>
            <w:tcMar>
              <w:top w:w="40" w:type="dxa"/>
              <w:bottom w:w="40" w:type="dxa"/>
              <w:left w:w="60" w:type="dxa"/>
              <w:right w:w="60" w:type="dxa"/>
            </w:tcMar>
          </w:tcPr>
          <w:p>
            <w:pPr>
              <w:spacing w:after="0"/>
            </w:pPr>
            <w:r>
              <w:rPr>
                <w:rFonts w:ascii="Calibri" w:hAnsi="Calibri"/>
                <w:sz w:val="16"/>
              </w:rPr>
              <w:t>4.21–5.00</w:t>
            </w:r>
          </w:p>
        </w:tc>
        <w:tc>
          <w:tcPr>
            <w:tcW w:type="dxa" w:w="7776"/>
            <w:tcMar>
              <w:top w:w="40" w:type="dxa"/>
              <w:bottom w:w="40" w:type="dxa"/>
              <w:left w:w="60" w:type="dxa"/>
              <w:right w:w="60" w:type="dxa"/>
            </w:tcMar>
          </w:tcPr>
          <w:p>
            <w:pPr>
              <w:spacing w:after="0"/>
            </w:pPr>
            <w:r>
              <w:rPr>
                <w:rFonts w:ascii="Calibri" w:hAnsi="Calibri"/>
                <w:sz w:val="16"/>
              </w:rPr>
              <w:t>Strongly Agree / Very High Quality (Exemplary implementation, exceeds benchmarks)</w:t>
            </w:r>
          </w:p>
        </w:tc>
      </w:tr>
      <w:tr>
        <w:tc>
          <w:tcPr>
            <w:tcW w:type="dxa" w:w="2880"/>
            <w:tcMar>
              <w:top w:w="40" w:type="dxa"/>
              <w:bottom w:w="40" w:type="dxa"/>
              <w:left w:w="60" w:type="dxa"/>
              <w:right w:w="60" w:type="dxa"/>
            </w:tcMar>
          </w:tcPr>
          <w:p>
            <w:pPr>
              <w:spacing w:after="0"/>
            </w:pPr>
            <w:r>
              <w:rPr>
                <w:rFonts w:ascii="Calibri" w:hAnsi="Calibri"/>
                <w:sz w:val="16"/>
              </w:rPr>
              <w:t>3.41–4.20</w:t>
            </w:r>
          </w:p>
        </w:tc>
        <w:tc>
          <w:tcPr>
            <w:tcW w:type="dxa" w:w="7776"/>
            <w:tcMar>
              <w:top w:w="40" w:type="dxa"/>
              <w:bottom w:w="40" w:type="dxa"/>
              <w:left w:w="60" w:type="dxa"/>
              <w:right w:w="60" w:type="dxa"/>
            </w:tcMar>
          </w:tcPr>
          <w:p>
            <w:pPr>
              <w:spacing w:after="0"/>
            </w:pPr>
            <w:r>
              <w:rPr>
                <w:rFonts w:ascii="Calibri" w:hAnsi="Calibri"/>
                <w:sz w:val="16"/>
              </w:rPr>
              <w:t>Agree / High Quality (Robust implementation, meets professional standards)</w:t>
            </w:r>
          </w:p>
        </w:tc>
      </w:tr>
      <w:tr>
        <w:tc>
          <w:tcPr>
            <w:tcW w:type="dxa" w:w="2880"/>
            <w:tcMar>
              <w:top w:w="40" w:type="dxa"/>
              <w:bottom w:w="40" w:type="dxa"/>
              <w:left w:w="60" w:type="dxa"/>
              <w:right w:w="60" w:type="dxa"/>
            </w:tcMar>
          </w:tcPr>
          <w:p>
            <w:pPr>
              <w:spacing w:after="0"/>
            </w:pPr>
            <w:r>
              <w:rPr>
                <w:rFonts w:ascii="Calibri" w:hAnsi="Calibri"/>
                <w:sz w:val="16"/>
              </w:rPr>
              <w:t>2.61–3.40</w:t>
            </w:r>
          </w:p>
        </w:tc>
        <w:tc>
          <w:tcPr>
            <w:tcW w:type="dxa" w:w="7776"/>
            <w:tcMar>
              <w:top w:w="40" w:type="dxa"/>
              <w:bottom w:w="40" w:type="dxa"/>
              <w:left w:w="60" w:type="dxa"/>
              <w:right w:w="60" w:type="dxa"/>
            </w:tcMar>
          </w:tcPr>
          <w:p>
            <w:pPr>
              <w:spacing w:after="0"/>
            </w:pPr>
            <w:r>
              <w:rPr>
                <w:rFonts w:ascii="Calibri" w:hAnsi="Calibri"/>
                <w:sz w:val="16"/>
              </w:rPr>
              <w:t>Neither Agree nor Disagree / Moderate Quality (Acceptable, minor optimization recommended)</w:t>
            </w:r>
          </w:p>
        </w:tc>
      </w:tr>
      <w:tr>
        <w:tc>
          <w:tcPr>
            <w:tcW w:type="dxa" w:w="2880"/>
            <w:tcMar>
              <w:top w:w="40" w:type="dxa"/>
              <w:bottom w:w="40" w:type="dxa"/>
              <w:left w:w="60" w:type="dxa"/>
              <w:right w:w="60" w:type="dxa"/>
            </w:tcMar>
          </w:tcPr>
          <w:p>
            <w:pPr>
              <w:spacing w:after="0"/>
            </w:pPr>
            <w:r>
              <w:rPr>
                <w:rFonts w:ascii="Calibri" w:hAnsi="Calibri"/>
                <w:sz w:val="16"/>
              </w:rPr>
              <w:t>1.81–2.60</w:t>
            </w:r>
          </w:p>
        </w:tc>
        <w:tc>
          <w:tcPr>
            <w:tcW w:type="dxa" w:w="7776"/>
            <w:tcMar>
              <w:top w:w="40" w:type="dxa"/>
              <w:bottom w:w="40" w:type="dxa"/>
              <w:left w:w="60" w:type="dxa"/>
              <w:right w:w="60" w:type="dxa"/>
            </w:tcMar>
          </w:tcPr>
          <w:p>
            <w:pPr>
              <w:spacing w:after="0"/>
            </w:pPr>
            <w:r>
              <w:rPr>
                <w:rFonts w:ascii="Calibri" w:hAnsi="Calibri"/>
                <w:sz w:val="16"/>
              </w:rPr>
              <w:t>Disagree / Low Quality (Substandard, features technical shortcomings)</w:t>
            </w:r>
          </w:p>
        </w:tc>
      </w:tr>
      <w:tr>
        <w:tc>
          <w:tcPr>
            <w:tcW w:type="dxa" w:w="2880"/>
            <w:tcMar>
              <w:top w:w="40" w:type="dxa"/>
              <w:bottom w:w="40" w:type="dxa"/>
              <w:left w:w="60" w:type="dxa"/>
              <w:right w:w="60" w:type="dxa"/>
            </w:tcMar>
          </w:tcPr>
          <w:p>
            <w:pPr>
              <w:spacing w:after="0"/>
            </w:pPr>
            <w:r>
              <w:rPr>
                <w:rFonts w:ascii="Calibri" w:hAnsi="Calibri"/>
                <w:sz w:val="16"/>
              </w:rPr>
              <w:t>1.00–1.80</w:t>
            </w:r>
          </w:p>
        </w:tc>
        <w:tc>
          <w:tcPr>
            <w:tcW w:type="dxa" w:w="7776"/>
            <w:tcMar>
              <w:top w:w="40" w:type="dxa"/>
              <w:bottom w:w="40" w:type="dxa"/>
              <w:left w:w="60" w:type="dxa"/>
              <w:right w:w="60" w:type="dxa"/>
            </w:tcMar>
          </w:tcPr>
          <w:p>
            <w:pPr>
              <w:spacing w:after="0"/>
            </w:pPr>
            <w:r>
              <w:rPr>
                <w:rFonts w:ascii="Calibri" w:hAnsi="Calibri"/>
                <w:sz w:val="16"/>
              </w:rPr>
              <w:t>Strongly Disagree / Very Low Quality (Critically deficient implementation)</w:t>
            </w:r>
          </w:p>
        </w:tc>
      </w:tr>
    </w:tbl>
    <w:p>
      <w:pPr>
        <w:spacing w:before="160" w:after="0"/>
      </w:pPr>
      <w:r>
        <w:rPr>
          <w:rFonts w:ascii="Calibri" w:hAnsi="Calibri"/>
          <w:i/>
          <w:color w:val="646464"/>
          <w:sz w:val="15"/>
        </w:rPr>
        <w:t>Reference note: ISO/IEC 25010:2023, Systems and software engineering — Systems and software Quality Requirements and Evaluation (SQuaRE) — Product quality model. Central Luzon State University, College of Engineering, Department of Information Technology.</w:t>
      </w:r>
    </w:p>
    <w:sectPr w:rsidR="00FC693F" w:rsidRPr="0006063C" w:rsidSect="00034616">
      <w:pgSz w:w="11909" w:h="16834"/>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