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[OSA SCHOLARSHIP EVALUATOR / STAFF ROLE]</w:t>
        <w:br/>
      </w:r>
    </w:p>
    <w:p>
      <w:pPr>
        <w:spacing w:before="0" w:after="120"/>
        <w:jc w:val="center"/>
      </w:pPr>
      <w:r>
        <w:rPr>
          <w:rFonts w:ascii="Arial" w:hAnsi="Arial"/>
          <w:i/>
          <w:sz w:val="19"/>
        </w:rPr>
        <w:t>Staff Evaluation, AI Verification &amp; Decisioning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(Automated Evaluation &amp; Grade Integrity System)</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OSA Scholarship Evaluator / Staff Officer</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(https://aegis-capstone.onrender.com)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Authentication &amp; MFA Security</w:t>
            </w:r>
          </w:p>
        </w:tc>
        <w:tc>
          <w:tcPr>
            <w:tcW w:type="dxa" w:w="2160"/>
            <w:tcMar>
              <w:top w:w="50" w:type="dxa"/>
              <w:bottom w:w="50" w:type="dxa"/>
              <w:left w:w="60" w:type="dxa"/>
              <w:right w:w="60" w:type="dxa"/>
            </w:tcMar>
            <w:shd w:val="clear" w:color="auto" w:fill="F9FAFB"/>
          </w:tcPr>
          <w:p>
            <w:r>
              <w:rPr>
                <w:rFonts w:ascii="Arial" w:hAnsi="Arial"/>
                <w:sz w:val="16"/>
              </w:rPr>
              <w:t>Staff logs in with institutional credentials, inputs 6-digit OTP, and registers trusted device token.</w:t>
            </w:r>
          </w:p>
        </w:tc>
        <w:tc>
          <w:tcPr>
            <w:tcW w:type="dxa" w:w="2016"/>
            <w:tcMar>
              <w:top w:w="50" w:type="dxa"/>
              <w:bottom w:w="50" w:type="dxa"/>
              <w:left w:w="60" w:type="dxa"/>
              <w:right w:w="60" w:type="dxa"/>
            </w:tcMar>
            <w:shd w:val="clear" w:color="auto" w:fill="F9FAFB"/>
          </w:tcPr>
          <w:p>
            <w:r>
              <w:rPr>
                <w:rFonts w:ascii="Arial" w:hAnsi="Arial"/>
                <w:sz w:val="16"/>
              </w:rPr>
              <w:t>Authentication succeeds; session encryption and role redirection route user directly to Staff Review Queue.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Application Queue Triage</w:t>
            </w:r>
          </w:p>
        </w:tc>
        <w:tc>
          <w:tcPr>
            <w:tcW w:type="dxa" w:w="2160"/>
            <w:tcMar>
              <w:top w:w="50" w:type="dxa"/>
              <w:bottom w:w="50" w:type="dxa"/>
              <w:left w:w="60" w:type="dxa"/>
              <w:right w:w="60" w:type="dxa"/>
            </w:tcMar>
          </w:tcPr>
          <w:p>
            <w:r>
              <w:rPr>
                <w:rFonts w:ascii="Arial" w:hAnsi="Arial"/>
                <w:sz w:val="16"/>
              </w:rPr>
              <w:t>Staff filters review queue by scholarship program, term, status (Pending/Returned), and sorts by GWA.</w:t>
            </w:r>
          </w:p>
        </w:tc>
        <w:tc>
          <w:tcPr>
            <w:tcW w:type="dxa" w:w="2016"/>
            <w:tcMar>
              <w:top w:w="50" w:type="dxa"/>
              <w:bottom w:w="50" w:type="dxa"/>
              <w:left w:w="60" w:type="dxa"/>
              <w:right w:w="60" w:type="dxa"/>
            </w:tcMar>
          </w:tcPr>
          <w:p>
            <w:r>
              <w:rPr>
                <w:rFonts w:ascii="Arial" w:hAnsi="Arial"/>
                <w:sz w:val="16"/>
              </w:rPr>
              <w:t>Queue filters rapidly with real-time record count; priority badges highlight overdue or flagged applications.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Applicant Dossier Assessment</w:t>
            </w:r>
          </w:p>
        </w:tc>
        <w:tc>
          <w:tcPr>
            <w:tcW w:type="dxa" w:w="2160"/>
            <w:tcMar>
              <w:top w:w="50" w:type="dxa"/>
              <w:bottom w:w="50" w:type="dxa"/>
              <w:left w:w="60" w:type="dxa"/>
              <w:right w:w="60" w:type="dxa"/>
            </w:tcMar>
            <w:shd w:val="clear" w:color="auto" w:fill="F9FAFB"/>
          </w:tcPr>
          <w:p>
            <w:r>
              <w:rPr>
                <w:rFonts w:ascii="Arial" w:hAnsi="Arial"/>
                <w:sz w:val="16"/>
              </w:rPr>
              <w:t>Staff opens application dossier to inspect student academic record, income bracket, and custom responses.</w:t>
            </w:r>
          </w:p>
        </w:tc>
        <w:tc>
          <w:tcPr>
            <w:tcW w:type="dxa" w:w="2016"/>
            <w:tcMar>
              <w:top w:w="50" w:type="dxa"/>
              <w:bottom w:w="50" w:type="dxa"/>
              <w:left w:w="60" w:type="dxa"/>
              <w:right w:w="60" w:type="dxa"/>
            </w:tcMar>
            <w:shd w:val="clear" w:color="auto" w:fill="F9FAFB"/>
          </w:tcPr>
          <w:p>
            <w:r>
              <w:rPr>
                <w:rFonts w:ascii="Arial" w:hAnsi="Arial"/>
                <w:sz w:val="16"/>
              </w:rPr>
              <w:t>Clean two-column layout renders full student data; automated eligibility badge verifies GWA compliance.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Interactive Canvas Viewer</w:t>
            </w:r>
          </w:p>
        </w:tc>
        <w:tc>
          <w:tcPr>
            <w:tcW w:type="dxa" w:w="2160"/>
            <w:tcMar>
              <w:top w:w="50" w:type="dxa"/>
              <w:bottom w:w="50" w:type="dxa"/>
              <w:left w:w="60" w:type="dxa"/>
              <w:right w:w="60" w:type="dxa"/>
            </w:tcMar>
          </w:tcPr>
          <w:p>
            <w:r>
              <w:rPr>
                <w:rFonts w:ascii="Arial" w:hAnsi="Arial"/>
                <w:sz w:val="16"/>
              </w:rPr>
              <w:t>Staff inspects Certificate of Grades (COG) using zoom (up to 400%), pan, rotate, and contrast inversion filters.</w:t>
            </w:r>
          </w:p>
        </w:tc>
        <w:tc>
          <w:tcPr>
            <w:tcW w:type="dxa" w:w="2016"/>
            <w:tcMar>
              <w:top w:w="50" w:type="dxa"/>
              <w:bottom w:w="50" w:type="dxa"/>
              <w:left w:w="60" w:type="dxa"/>
              <w:right w:w="60" w:type="dxa"/>
            </w:tcMar>
          </w:tcPr>
          <w:p>
            <w:r>
              <w:rPr>
                <w:rFonts w:ascii="Arial" w:hAnsi="Arial"/>
                <w:sz w:val="16"/>
              </w:rPr>
              <w:t>Canvas renders smoothly with zero lag; high-contrast filter clearly exposes registrar seal details and eraser marks.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AI Fraud Score &amp; EXIF Fingerprint</w:t>
            </w:r>
          </w:p>
        </w:tc>
        <w:tc>
          <w:tcPr>
            <w:tcW w:type="dxa" w:w="2160"/>
            <w:tcMar>
              <w:top w:w="50" w:type="dxa"/>
              <w:bottom w:w="50" w:type="dxa"/>
              <w:left w:w="60" w:type="dxa"/>
              <w:right w:w="60" w:type="dxa"/>
            </w:tcMar>
            <w:shd w:val="clear" w:color="auto" w:fill="F9FAFB"/>
          </w:tcPr>
          <w:p>
            <w:r>
              <w:rPr>
                <w:rFonts w:ascii="Arial" w:hAnsi="Arial"/>
                <w:sz w:val="16"/>
              </w:rPr>
              <w:t>Staff evaluates AI Forensic score (0-100%), 3-tier risk badge, and EXIF software metadata analysis.</w:t>
            </w:r>
          </w:p>
        </w:tc>
        <w:tc>
          <w:tcPr>
            <w:tcW w:type="dxa" w:w="2016"/>
            <w:tcMar>
              <w:top w:w="50" w:type="dxa"/>
              <w:bottom w:w="50" w:type="dxa"/>
              <w:left w:w="60" w:type="dxa"/>
              <w:right w:w="60" w:type="dxa"/>
            </w:tcMar>
            <w:shd w:val="clear" w:color="auto" w:fill="F9FAFB"/>
          </w:tcPr>
          <w:p>
            <w:r>
              <w:rPr>
                <w:rFonts w:ascii="Arial" w:hAnsi="Arial"/>
                <w:sz w:val="16"/>
              </w:rPr>
              <w:t>Score and risk tier badge display accurately; benign scanner noise is properly differentiated from heavy edits.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Grad-CAM Heatmap &amp; ELA Overlay</w:t>
            </w:r>
          </w:p>
        </w:tc>
        <w:tc>
          <w:tcPr>
            <w:tcW w:type="dxa" w:w="2160"/>
            <w:tcMar>
              <w:top w:w="50" w:type="dxa"/>
              <w:bottom w:w="50" w:type="dxa"/>
              <w:left w:w="60" w:type="dxa"/>
              <w:right w:w="60" w:type="dxa"/>
            </w:tcMar>
          </w:tcPr>
          <w:p>
            <w:r>
              <w:rPr>
                <w:rFonts w:ascii="Arial" w:hAnsi="Arial"/>
                <w:sz w:val="16"/>
              </w:rPr>
              <w:t>Staff toggles Grad-CAM saliency heatmap and ELA overlay on COG canvas, adjusting opacity from 0% to 100%.</w:t>
            </w:r>
          </w:p>
        </w:tc>
        <w:tc>
          <w:tcPr>
            <w:tcW w:type="dxa" w:w="2016"/>
            <w:tcMar>
              <w:top w:w="50" w:type="dxa"/>
              <w:bottom w:w="50" w:type="dxa"/>
              <w:left w:w="60" w:type="dxa"/>
              <w:right w:w="60" w:type="dxa"/>
            </w:tcMar>
          </w:tcPr>
          <w:p>
            <w:r>
              <w:rPr>
                <w:rFonts w:ascii="Arial" w:hAnsi="Arial"/>
                <w:sz w:val="16"/>
              </w:rPr>
              <w:t>Overlay aligns with document coordinates; localized pixel anomalies and altered grade numbers glow prominently.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Decisioning &amp; Fast-Triage Remarks</w:t>
            </w:r>
          </w:p>
        </w:tc>
        <w:tc>
          <w:tcPr>
            <w:tcW w:type="dxa" w:w="2160"/>
            <w:tcMar>
              <w:top w:w="50" w:type="dxa"/>
              <w:bottom w:w="50" w:type="dxa"/>
              <w:left w:w="60" w:type="dxa"/>
              <w:right w:w="60" w:type="dxa"/>
            </w:tcMar>
            <w:shd w:val="clear" w:color="auto" w:fill="F9FAFB"/>
          </w:tcPr>
          <w:p>
            <w:r>
              <w:rPr>
                <w:rFonts w:ascii="Arial" w:hAnsi="Arial"/>
                <w:sz w:val="16"/>
              </w:rPr>
              <w:t>Staff renders decision (Approve/Return/Reject), selects Fast-Triage preset remarks, and confirms action.</w:t>
            </w:r>
          </w:p>
        </w:tc>
        <w:tc>
          <w:tcPr>
            <w:tcW w:type="dxa" w:w="2016"/>
            <w:tcMar>
              <w:top w:w="50" w:type="dxa"/>
              <w:bottom w:w="50" w:type="dxa"/>
              <w:left w:w="60" w:type="dxa"/>
              <w:right w:w="60" w:type="dxa"/>
            </w:tcMar>
            <w:shd w:val="clear" w:color="auto" w:fill="F9FAFB"/>
          </w:tcPr>
          <w:p>
            <w:r>
              <w:rPr>
                <w:rFonts w:ascii="Arial" w:hAnsi="Arial"/>
                <w:sz w:val="16"/>
              </w:rPr>
              <w:t>Status updates immediately in database; mandatory remark enforced on returns; automated notification triggered.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Internal Notes &amp; Audit Log</w:t>
            </w:r>
          </w:p>
        </w:tc>
        <w:tc>
          <w:tcPr>
            <w:tcW w:type="dxa" w:w="2160"/>
            <w:tcMar>
              <w:top w:w="50" w:type="dxa"/>
              <w:bottom w:w="50" w:type="dxa"/>
              <w:left w:w="60" w:type="dxa"/>
              <w:right w:w="60" w:type="dxa"/>
            </w:tcMar>
          </w:tcPr>
          <w:p>
            <w:r>
              <w:rPr>
                <w:rFonts w:ascii="Arial" w:hAnsi="Arial"/>
                <w:sz w:val="16"/>
              </w:rPr>
              <w:t>Staff saves confidential internal notes and verifies that evaluation history is recorded in audit timeline.</w:t>
            </w:r>
          </w:p>
        </w:tc>
        <w:tc>
          <w:tcPr>
            <w:tcW w:type="dxa" w:w="2016"/>
            <w:tcMar>
              <w:top w:w="50" w:type="dxa"/>
              <w:bottom w:w="50" w:type="dxa"/>
              <w:left w:w="60" w:type="dxa"/>
              <w:right w:w="60" w:type="dxa"/>
            </w:tcMar>
          </w:tcPr>
          <w:p>
            <w:r>
              <w:rPr>
                <w:rFonts w:ascii="Arial" w:hAnsi="Arial"/>
                <w:sz w:val="16"/>
              </w:rPr>
              <w:t>Notes remain strictly hidden from student view; immutable timeline permanently records evaluator ID and timestamp.</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40"/>
      </w:pPr>
      <w:r>
        <w:rPr>
          <w:rFonts w:ascii="Arial" w:hAnsi="Arial"/>
          <w:b/>
          <w:sz w:val="19"/>
        </w:rPr>
        <w:t>B.1. AI-ASSISTED VS. HUMAN-ONLY DOCUMENT REVIEW COMPARISON WORKSHEET</w:t>
      </w:r>
    </w:p>
    <w:p>
      <w:pPr>
        <w:spacing w:before="0" w:after="60"/>
      </w:pPr>
      <w:r>
        <w:rPr>
          <w:sz w:val="16"/>
        </w:rPr>
        <w:t>Protocol: As detailed in Chapter IV (Results &amp; Discussion), evaluators inspect 10 sample COG documents in two phases:</w:t>
        <w:br/>
        <w:t>Phase 1: Record authenticity judgment WITHOUT viewing AI scores. | Phase 2: Reveal AI score and heatmap, then record final decision.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864"/>
            <w:shd w:val="clear" w:color="auto" w:fill="E2F0D9"/>
            <w:tcMar>
              <w:top w:w="50" w:type="dxa"/>
              <w:bottom w:w="50" w:type="dxa"/>
              <w:left w:w="40" w:type="dxa"/>
              <w:right w:w="40" w:type="dxa"/>
            </w:tcMar>
          </w:tcPr>
          <w:p>
            <w:pPr>
              <w:jc w:val="center"/>
            </w:pPr>
            <w:r>
              <w:rPr>
                <w:rFonts w:ascii="Arial" w:hAnsi="Arial"/>
                <w:b/>
                <w:sz w:val="15"/>
              </w:rPr>
              <w:t>Doc ID</w:t>
            </w:r>
          </w:p>
        </w:tc>
        <w:tc>
          <w:tcPr>
            <w:tcW w:type="dxa" w:w="2592"/>
            <w:shd w:val="clear" w:color="auto" w:fill="E2F0D9"/>
            <w:tcMar>
              <w:top w:w="50" w:type="dxa"/>
              <w:bottom w:w="50" w:type="dxa"/>
              <w:left w:w="40" w:type="dxa"/>
              <w:right w:w="40" w:type="dxa"/>
            </w:tcMar>
          </w:tcPr>
          <w:p>
            <w:pPr>
              <w:jc w:val="center"/>
            </w:pPr>
            <w:r>
              <w:rPr>
                <w:rFonts w:ascii="Arial" w:hAnsi="Arial"/>
                <w:b/>
                <w:sz w:val="15"/>
              </w:rPr>
              <w:t>Document Description</w:t>
            </w:r>
          </w:p>
        </w:tc>
        <w:tc>
          <w:tcPr>
            <w:tcW w:type="dxa" w:w="1872"/>
            <w:shd w:val="clear" w:color="auto" w:fill="E2F0D9"/>
            <w:tcMar>
              <w:top w:w="50" w:type="dxa"/>
              <w:bottom w:w="50" w:type="dxa"/>
              <w:left w:w="40" w:type="dxa"/>
              <w:right w:w="40" w:type="dxa"/>
            </w:tcMar>
          </w:tcPr>
          <w:p>
            <w:pPr>
              <w:jc w:val="center"/>
            </w:pPr>
            <w:r>
              <w:rPr>
                <w:rFonts w:ascii="Arial" w:hAnsi="Arial"/>
                <w:b/>
                <w:sz w:val="15"/>
              </w:rPr>
              <w:t>Phase 1 Judgment</w:t>
              <w:br/>
              <w:t>(No AI Assistance)</w:t>
            </w:r>
          </w:p>
        </w:tc>
        <w:tc>
          <w:tcPr>
            <w:tcW w:type="dxa" w:w="864"/>
            <w:shd w:val="clear" w:color="auto" w:fill="E2F0D9"/>
            <w:tcMar>
              <w:top w:w="50" w:type="dxa"/>
              <w:bottom w:w="50" w:type="dxa"/>
              <w:left w:w="40" w:type="dxa"/>
              <w:right w:w="40" w:type="dxa"/>
            </w:tcMar>
          </w:tcPr>
          <w:p>
            <w:pPr>
              <w:jc w:val="center"/>
            </w:pPr>
            <w:r>
              <w:rPr>
                <w:rFonts w:ascii="Arial" w:hAnsi="Arial"/>
                <w:b/>
                <w:sz w:val="15"/>
              </w:rPr>
              <w:t>Review</w:t>
              <w:br/>
              <w:t>Time</w:t>
            </w:r>
          </w:p>
        </w:tc>
        <w:tc>
          <w:tcPr>
            <w:tcW w:type="dxa" w:w="1008"/>
            <w:shd w:val="clear" w:color="auto" w:fill="E2F0D9"/>
            <w:tcMar>
              <w:top w:w="50" w:type="dxa"/>
              <w:bottom w:w="50" w:type="dxa"/>
              <w:left w:w="40" w:type="dxa"/>
              <w:right w:w="40" w:type="dxa"/>
            </w:tcMar>
          </w:tcPr>
          <w:p>
            <w:pPr>
              <w:jc w:val="center"/>
            </w:pPr>
            <w:r>
              <w:rPr>
                <w:rFonts w:ascii="Arial" w:hAnsi="Arial"/>
                <w:b/>
                <w:sz w:val="15"/>
              </w:rPr>
              <w:t>AI Fraud</w:t>
              <w:br/>
              <w:t>Score</w:t>
            </w:r>
          </w:p>
        </w:tc>
        <w:tc>
          <w:tcPr>
            <w:tcW w:type="dxa" w:w="1872"/>
            <w:shd w:val="clear" w:color="auto" w:fill="E2F0D9"/>
            <w:tcMar>
              <w:top w:w="50" w:type="dxa"/>
              <w:bottom w:w="50" w:type="dxa"/>
              <w:left w:w="40" w:type="dxa"/>
              <w:right w:w="40" w:type="dxa"/>
            </w:tcMar>
          </w:tcPr>
          <w:p>
            <w:pPr>
              <w:jc w:val="center"/>
            </w:pPr>
            <w:r>
              <w:rPr>
                <w:rFonts w:ascii="Arial" w:hAnsi="Arial"/>
                <w:b/>
                <w:sz w:val="15"/>
              </w:rPr>
              <w:t>Phase 2 Judgment</w:t>
              <w:br/>
              <w:t>(With AI Assistance)</w:t>
            </w:r>
          </w:p>
        </w:tc>
        <w:tc>
          <w:tcPr>
            <w:tcW w:type="dxa" w:w="1584"/>
            <w:shd w:val="clear" w:color="auto" w:fill="E2F0D9"/>
            <w:tcMar>
              <w:top w:w="50" w:type="dxa"/>
              <w:bottom w:w="50" w:type="dxa"/>
              <w:left w:w="40" w:type="dxa"/>
              <w:right w:w="40" w:type="dxa"/>
            </w:tcMar>
          </w:tcPr>
          <w:p>
            <w:pPr>
              <w:jc w:val="center"/>
            </w:pPr>
            <w:r>
              <w:rPr>
                <w:rFonts w:ascii="Arial" w:hAnsi="Arial"/>
                <w:b/>
                <w:sz w:val="15"/>
              </w:rPr>
              <w:t>Reviewer Confidence</w:t>
              <w:br/>
              <w:t>(1 to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COG-01</w:t>
            </w:r>
          </w:p>
        </w:tc>
        <w:tc>
          <w:tcPr>
            <w:tcW w:type="dxa" w:w="2592"/>
            <w:tcMar>
              <w:top w:w="40" w:type="dxa"/>
              <w:bottom w:w="40" w:type="dxa"/>
              <w:left w:w="40" w:type="dxa"/>
              <w:right w:w="40" w:type="dxa"/>
            </w:tcMar>
            <w:shd w:val="clear" w:color="auto" w:fill="F9FAFB"/>
          </w:tcPr>
          <w:p>
            <w:pPr>
              <w:jc w:val="left"/>
            </w:pPr>
            <w:r>
              <w:rPr>
                <w:rFonts w:ascii="Arial" w:hAnsi="Arial"/>
                <w:sz w:val="15"/>
              </w:rPr>
              <w:t>Authentic Registrar COG (BSIT)</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12.4%</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COG-02</w:t>
            </w:r>
          </w:p>
        </w:tc>
        <w:tc>
          <w:tcPr>
            <w:tcW w:type="dxa" w:w="2592"/>
            <w:tcMar>
              <w:top w:w="40" w:type="dxa"/>
              <w:bottom w:w="40" w:type="dxa"/>
              <w:left w:w="40" w:type="dxa"/>
              <w:right w:w="40" w:type="dxa"/>
            </w:tcMar>
          </w:tcPr>
          <w:p>
            <w:pPr>
              <w:jc w:val="left"/>
            </w:pPr>
            <w:r>
              <w:rPr>
                <w:rFonts w:ascii="Arial" w:hAnsi="Arial"/>
                <w:sz w:val="15"/>
              </w:rPr>
              <w:t>Grade Digit Inflation (BSCE)</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88.7%</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COG-03</w:t>
            </w:r>
          </w:p>
        </w:tc>
        <w:tc>
          <w:tcPr>
            <w:tcW w:type="dxa" w:w="2592"/>
            <w:tcMar>
              <w:top w:w="40" w:type="dxa"/>
              <w:bottom w:w="40" w:type="dxa"/>
              <w:left w:w="40" w:type="dxa"/>
              <w:right w:w="40" w:type="dxa"/>
            </w:tcMar>
            <w:shd w:val="clear" w:color="auto" w:fill="F9FAFB"/>
          </w:tcPr>
          <w:p>
            <w:pPr>
              <w:jc w:val="left"/>
            </w:pPr>
            <w:r>
              <w:rPr>
                <w:rFonts w:ascii="Arial" w:hAnsi="Arial"/>
                <w:sz w:val="15"/>
              </w:rPr>
              <w:t>Authentic Dean's List (BSA)</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08.1%</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COG-04</w:t>
            </w:r>
          </w:p>
        </w:tc>
        <w:tc>
          <w:tcPr>
            <w:tcW w:type="dxa" w:w="2592"/>
            <w:tcMar>
              <w:top w:w="40" w:type="dxa"/>
              <w:bottom w:w="40" w:type="dxa"/>
              <w:left w:w="40" w:type="dxa"/>
              <w:right w:w="40" w:type="dxa"/>
            </w:tcMar>
          </w:tcPr>
          <w:p>
            <w:pPr>
              <w:jc w:val="left"/>
            </w:pPr>
            <w:r>
              <w:rPr>
                <w:rFonts w:ascii="Arial" w:hAnsi="Arial"/>
                <w:sz w:val="15"/>
              </w:rPr>
              <w:t>Forged Signature &amp; Seal</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92.3%</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COG-05</w:t>
            </w:r>
          </w:p>
        </w:tc>
        <w:tc>
          <w:tcPr>
            <w:tcW w:type="dxa" w:w="2592"/>
            <w:tcMar>
              <w:top w:w="40" w:type="dxa"/>
              <w:bottom w:w="40" w:type="dxa"/>
              <w:left w:w="40" w:type="dxa"/>
              <w:right w:w="40" w:type="dxa"/>
            </w:tcMar>
            <w:shd w:val="clear" w:color="auto" w:fill="F9FAFB"/>
          </w:tcPr>
          <w:p>
            <w:pPr>
              <w:jc w:val="left"/>
            </w:pPr>
            <w:r>
              <w:rPr>
                <w:rFonts w:ascii="Arial" w:hAnsi="Arial"/>
                <w:sz w:val="15"/>
              </w:rPr>
              <w:t>Camera Noise Scan (BSEE)</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24.5%</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COG-06</w:t>
            </w:r>
          </w:p>
        </w:tc>
        <w:tc>
          <w:tcPr>
            <w:tcW w:type="dxa" w:w="2592"/>
            <w:tcMar>
              <w:top w:w="40" w:type="dxa"/>
              <w:bottom w:w="40" w:type="dxa"/>
              <w:left w:w="40" w:type="dxa"/>
              <w:right w:w="40" w:type="dxa"/>
            </w:tcMar>
          </w:tcPr>
          <w:p>
            <w:pPr>
              <w:jc w:val="left"/>
            </w:pPr>
            <w:r>
              <w:rPr>
                <w:rFonts w:ascii="Arial" w:hAnsi="Arial"/>
                <w:sz w:val="15"/>
              </w:rPr>
              <w:t>Photoshop Spliced GWA</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95.6%</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COG-07</w:t>
            </w:r>
          </w:p>
        </w:tc>
        <w:tc>
          <w:tcPr>
            <w:tcW w:type="dxa" w:w="2592"/>
            <w:tcMar>
              <w:top w:w="40" w:type="dxa"/>
              <w:bottom w:w="40" w:type="dxa"/>
              <w:left w:w="40" w:type="dxa"/>
              <w:right w:w="40" w:type="dxa"/>
            </w:tcMar>
            <w:shd w:val="clear" w:color="auto" w:fill="F9FAFB"/>
          </w:tcPr>
          <w:p>
            <w:pPr>
              <w:jc w:val="left"/>
            </w:pPr>
            <w:r>
              <w:rPr>
                <w:rFonts w:ascii="Arial" w:hAnsi="Arial"/>
                <w:sz w:val="15"/>
              </w:rPr>
              <w:t>Authentic Academic Copy (BSBio)</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14.2%</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COG-08</w:t>
            </w:r>
          </w:p>
        </w:tc>
        <w:tc>
          <w:tcPr>
            <w:tcW w:type="dxa" w:w="2592"/>
            <w:tcMar>
              <w:top w:w="40" w:type="dxa"/>
              <w:bottom w:w="40" w:type="dxa"/>
              <w:left w:w="40" w:type="dxa"/>
              <w:right w:w="40" w:type="dxa"/>
            </w:tcMar>
          </w:tcPr>
          <w:p>
            <w:pPr>
              <w:jc w:val="left"/>
            </w:pPr>
            <w:r>
              <w:rPr>
                <w:rFonts w:ascii="Arial" w:hAnsi="Arial"/>
                <w:sz w:val="15"/>
              </w:rPr>
              <w:t>Altered Units/Subjects</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78.4%</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r>
        <w:tc>
          <w:tcPr>
            <w:tcW w:type="dxa" w:w="864"/>
            <w:tcMar>
              <w:top w:w="40" w:type="dxa"/>
              <w:bottom w:w="40" w:type="dxa"/>
              <w:left w:w="40" w:type="dxa"/>
              <w:right w:w="40" w:type="dxa"/>
            </w:tcMar>
            <w:shd w:val="clear" w:color="auto" w:fill="F9FAFB"/>
          </w:tcPr>
          <w:p>
            <w:pPr>
              <w:jc w:val="left"/>
            </w:pPr>
            <w:r>
              <w:rPr>
                <w:rFonts w:ascii="Arial" w:hAnsi="Arial"/>
                <w:sz w:val="15"/>
              </w:rPr>
              <w:t>COG-09</w:t>
            </w:r>
          </w:p>
        </w:tc>
        <w:tc>
          <w:tcPr>
            <w:tcW w:type="dxa" w:w="2592"/>
            <w:tcMar>
              <w:top w:w="40" w:type="dxa"/>
              <w:bottom w:w="40" w:type="dxa"/>
              <w:left w:w="40" w:type="dxa"/>
              <w:right w:w="40" w:type="dxa"/>
            </w:tcMar>
            <w:shd w:val="clear" w:color="auto" w:fill="F9FAFB"/>
          </w:tcPr>
          <w:p>
            <w:pPr>
              <w:jc w:val="left"/>
            </w:pPr>
            <w:r>
              <w:rPr>
                <w:rFonts w:ascii="Arial" w:hAnsi="Arial"/>
                <w:sz w:val="15"/>
              </w:rPr>
              <w:t>Mobile CamScanner Auth</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864"/>
            <w:tcMar>
              <w:top w:w="40" w:type="dxa"/>
              <w:bottom w:w="40" w:type="dxa"/>
              <w:left w:w="40" w:type="dxa"/>
              <w:right w:w="40" w:type="dxa"/>
            </w:tcMar>
            <w:shd w:val="clear" w:color="auto" w:fill="F9FAFB"/>
          </w:tcPr>
          <w:p>
            <w:pPr>
              <w:jc w:val="center"/>
            </w:pPr>
            <w:r>
              <w:rPr>
                <w:rFonts w:ascii="Arial" w:hAnsi="Arial"/>
                <w:sz w:val="15"/>
              </w:rPr>
              <w:t>___ s</w:t>
            </w:r>
          </w:p>
        </w:tc>
        <w:tc>
          <w:tcPr>
            <w:tcW w:type="dxa" w:w="1008"/>
            <w:tcMar>
              <w:top w:w="40" w:type="dxa"/>
              <w:bottom w:w="40" w:type="dxa"/>
              <w:left w:w="40" w:type="dxa"/>
              <w:right w:w="40" w:type="dxa"/>
            </w:tcMar>
            <w:shd w:val="clear" w:color="auto" w:fill="F9FAFB"/>
          </w:tcPr>
          <w:p>
            <w:pPr>
              <w:jc w:val="center"/>
            </w:pPr>
            <w:r>
              <w:rPr>
                <w:rFonts w:ascii="Arial" w:hAnsi="Arial"/>
                <w:sz w:val="15"/>
              </w:rPr>
              <w:t>28.0%</w:t>
            </w:r>
          </w:p>
        </w:tc>
        <w:tc>
          <w:tcPr>
            <w:tcW w:type="dxa" w:w="1872"/>
            <w:tcMar>
              <w:top w:w="40" w:type="dxa"/>
              <w:bottom w:w="40" w:type="dxa"/>
              <w:left w:w="40" w:type="dxa"/>
              <w:right w:w="40" w:type="dxa"/>
            </w:tcMar>
            <w:shd w:val="clear" w:color="auto" w:fill="F9FAFB"/>
          </w:tcPr>
          <w:p>
            <w:pPr>
              <w:jc w:val="center"/>
            </w:pPr>
            <w:r>
              <w:rPr>
                <w:rFonts w:ascii="Arial" w:hAnsi="Arial"/>
                <w:sz w:val="15"/>
              </w:rPr>
              <w:t>☐ Auth  ☐ Tampered</w:t>
            </w:r>
          </w:p>
        </w:tc>
        <w:tc>
          <w:tcPr>
            <w:tcW w:type="dxa" w:w="1584"/>
            <w:tcMar>
              <w:top w:w="40" w:type="dxa"/>
              <w:bottom w:w="40" w:type="dxa"/>
              <w:left w:w="40" w:type="dxa"/>
              <w:right w:w="40" w:type="dxa"/>
            </w:tcMar>
            <w:shd w:val="clear" w:color="auto" w:fill="F9FAFB"/>
          </w:tcPr>
          <w:p>
            <w:pPr>
              <w:jc w:val="center"/>
            </w:pPr>
            <w:r>
              <w:rPr>
                <w:rFonts w:ascii="Arial" w:hAnsi="Arial"/>
                <w:sz w:val="15"/>
              </w:rPr>
              <w:t>☐ 1  ☐ 2  ☐ 3  ☐ 4  ☐ 5</w:t>
            </w:r>
          </w:p>
        </w:tc>
      </w:tr>
      <w:tr>
        <w:tc>
          <w:tcPr>
            <w:tcW w:type="dxa" w:w="864"/>
            <w:tcMar>
              <w:top w:w="40" w:type="dxa"/>
              <w:bottom w:w="40" w:type="dxa"/>
              <w:left w:w="40" w:type="dxa"/>
              <w:right w:w="40" w:type="dxa"/>
            </w:tcMar>
          </w:tcPr>
          <w:p>
            <w:pPr>
              <w:jc w:val="left"/>
            </w:pPr>
            <w:r>
              <w:rPr>
                <w:rFonts w:ascii="Arial" w:hAnsi="Arial"/>
                <w:sz w:val="15"/>
              </w:rPr>
              <w:t>COG-10</w:t>
            </w:r>
          </w:p>
        </w:tc>
        <w:tc>
          <w:tcPr>
            <w:tcW w:type="dxa" w:w="2592"/>
            <w:tcMar>
              <w:top w:w="40" w:type="dxa"/>
              <w:bottom w:w="40" w:type="dxa"/>
              <w:left w:w="40" w:type="dxa"/>
              <w:right w:w="40" w:type="dxa"/>
            </w:tcMar>
          </w:tcPr>
          <w:p>
            <w:pPr>
              <w:jc w:val="left"/>
            </w:pPr>
            <w:r>
              <w:rPr>
                <w:rFonts w:ascii="Arial" w:hAnsi="Arial"/>
                <w:sz w:val="15"/>
              </w:rPr>
              <w:t>Deep Tampered Header</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864"/>
            <w:tcMar>
              <w:top w:w="40" w:type="dxa"/>
              <w:bottom w:w="40" w:type="dxa"/>
              <w:left w:w="40" w:type="dxa"/>
              <w:right w:w="40" w:type="dxa"/>
            </w:tcMar>
          </w:tcPr>
          <w:p>
            <w:pPr>
              <w:jc w:val="center"/>
            </w:pPr>
            <w:r>
              <w:rPr>
                <w:rFonts w:ascii="Arial" w:hAnsi="Arial"/>
                <w:sz w:val="15"/>
              </w:rPr>
              <w:t>___ s</w:t>
            </w:r>
          </w:p>
        </w:tc>
        <w:tc>
          <w:tcPr>
            <w:tcW w:type="dxa" w:w="1008"/>
            <w:tcMar>
              <w:top w:w="40" w:type="dxa"/>
              <w:bottom w:w="40" w:type="dxa"/>
              <w:left w:w="40" w:type="dxa"/>
              <w:right w:w="40" w:type="dxa"/>
            </w:tcMar>
          </w:tcPr>
          <w:p>
            <w:pPr>
              <w:jc w:val="center"/>
            </w:pPr>
            <w:r>
              <w:rPr>
                <w:rFonts w:ascii="Arial" w:hAnsi="Arial"/>
                <w:sz w:val="15"/>
              </w:rPr>
              <w:t>84.9%</w:t>
            </w:r>
          </w:p>
        </w:tc>
        <w:tc>
          <w:tcPr>
            <w:tcW w:type="dxa" w:w="1872"/>
            <w:tcMar>
              <w:top w:w="40" w:type="dxa"/>
              <w:bottom w:w="40" w:type="dxa"/>
              <w:left w:w="40" w:type="dxa"/>
              <w:right w:w="40" w:type="dxa"/>
            </w:tcMar>
          </w:tcPr>
          <w:p>
            <w:pPr>
              <w:jc w:val="center"/>
            </w:pPr>
            <w:r>
              <w:rPr>
                <w:rFonts w:ascii="Arial" w:hAnsi="Arial"/>
                <w:sz w:val="15"/>
              </w:rPr>
              <w:t>☐ Auth  ☐ Tampered</w:t>
            </w:r>
          </w:p>
        </w:tc>
        <w:tc>
          <w:tcPr>
            <w:tcW w:type="dxa" w:w="1584"/>
            <w:tcMar>
              <w:top w:w="40" w:type="dxa"/>
              <w:bottom w:w="40" w:type="dxa"/>
              <w:left w:w="40" w:type="dxa"/>
              <w:right w:w="40" w:type="dxa"/>
            </w:tcMar>
          </w:tcPr>
          <w:p>
            <w:pPr>
              <w:jc w:val="center"/>
            </w:pPr>
            <w:r>
              <w:rPr>
                <w:rFonts w:ascii="Arial" w:hAnsi="Arial"/>
                <w:sz w:val="15"/>
              </w:rPr>
              <w:t>☐ 1  ☐ 2  ☐ 3  ☐ 4  ☐ 5</w:t>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OSA Scholarship Evaluator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OSA Scholarship Evaluator / Staff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the functions I need to triage, evaluate, and decision scholarship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correct fraud risk indicators and document evaluation outputs based on applicant submissions.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review functions help me complete document integrity audits effectively and without omitting required checks.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review queue and applicant dossier screens respond within an acceptable amount of time.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High-resolution COG documents, AI Grad-CAM heatmaps, and ELA overlays load without unnecessary delay.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performs satisfactorily during high-volume application review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evaluation canvas and review tools work properly across our office workstations and modern web browsers.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When viewing scanned documents, images, and PDF uploads from students, the formatting displays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what the evaluation interface and forensic indicators are intended to convey.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I can learn how to navigate the review queue and interpret AI fraud scores with minimal training.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buttons, canvas controls (zoom, pan, rotate, invert), labels, and triage options are clear and easy to understand.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helps prevent mistakes by enforcing confirmation dialogs and mandatory remarks on returned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review interface is well-organized, readable, and comfortable for extended evaluation sessions.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evaluation portal works consistently during normal administrative working hours.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system and AI verification pipeline are available and usable whenever applications require review.</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corrupted file uploads gracefully without crashing the evaluation queue.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If an unexpected interruption occurs, all saved evaluator remarks and decisions are preserved accurately.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allows access to applicant dossiers and internal notes only to authorized evaluation staff.</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Confidential student records and financial proofs are adequately protected against unauthorized viewing.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enforces multi-factor authentication (MFA) and trusted device access.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Evaluator decisions, status changes, and timestamps are immutably logged for administrative accountability.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can support evaluation across diverse scholarship programs with varied eligibility rules.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review canvas remains usable across different monitor resolutions and responsive workstation layouts.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system accommodates customized program questions and varied document requirements without friction.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clear warnings before irreversible actions such as rejecting or revoking a scholarship grant.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helps reduce the risk of accidental status modifications through structured confirmation modals.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