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B4D2E"/>
          <w:sz w:val="22"/>
        </w:rPr>
        <w:t>CENTRAL LUZON STATE UNIVERSITY</w:t>
        <w:br/>
      </w:r>
      <w:r>
        <w:rPr>
          <w:rFonts w:ascii="Arial" w:hAnsi="Arial"/>
          <w:b/>
          <w:color w:val="1F2937"/>
          <w:sz w:val="19"/>
        </w:rPr>
        <w:t>College of Engineering — Department of Information Technology</w:t>
        <w:br/>
      </w:r>
      <w:r>
        <w:rPr>
          <w:rFonts w:ascii="Arial" w:hAnsi="Arial"/>
          <w:color w:val="4B5563"/>
          <w:sz w:val="17"/>
        </w:rPr>
        <w:t>Science City of Muñoz, Nueva Ecija, Philippines 3120</w:t>
      </w:r>
    </w:p>
    <w:p>
      <w:pPr>
        <w:spacing w:before="80" w:after="240"/>
        <w:jc w:val="center"/>
      </w:pPr>
      <w:r>
        <w:rPr>
          <w:b/>
          <w:color w:val="B8860B"/>
        </w:rPr>
        <w:t>——————————————————————————————————————————————————————————</w:t>
      </w:r>
    </w:p>
    <w:p>
      <w:pPr>
        <w:spacing w:before="0" w:after="60"/>
        <w:jc w:val="center"/>
      </w:pPr>
      <w:r>
        <w:rPr>
          <w:rFonts w:ascii="Arial" w:hAnsi="Arial"/>
          <w:b/>
          <w:color w:val="1B4D2E"/>
          <w:sz w:val="26"/>
        </w:rPr>
        <w:t>USER ACCEPTANCE TESTING (UAT) SCRIPT &amp; SYSTEM ACCEPTANCE INSTRUMENT</w:t>
      </w:r>
    </w:p>
    <w:p>
      <w:pPr>
        <w:spacing w:before="0" w:after="40"/>
        <w:jc w:val="center"/>
      </w:pPr>
      <w:r>
        <w:rPr>
          <w:rFonts w:ascii="Arial" w:hAnsi="Arial"/>
          <w:b/>
          <w:color w:val="1F2937"/>
          <w:sz w:val="20"/>
        </w:rPr>
        <w:t>EXECUTIVE GOVERNANCE, PROGRAM MANAGEMENT &amp; COMPLIANCE VALIDATION</w:t>
      </w:r>
    </w:p>
    <w:p>
      <w:pPr>
        <w:spacing w:before="0" w:after="280"/>
        <w:jc w:val="center"/>
      </w:pPr>
      <w:r>
        <w:rPr>
          <w:rFonts w:ascii="Arial" w:hAnsi="Arial"/>
          <w:i/>
          <w:color w:val="4B5563"/>
          <w:sz w:val="17"/>
        </w:rPr>
        <w:t>Target Role: Super Administrator &amp; OSA Director Role | Capstone 2 Software Evaluation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Evaluator Name: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Administrative Title: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[  ] Director, Office of Student Affairs   [  ] System Super Administrator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Office / Institutional Unit: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Office of Student Affairs (OSA) / Management Information Systems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Official Webmail: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__________________ @clsu.edu.ph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Date &amp; Time of Testing: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________________________, 2026  | Time: ______:______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Testing Device &amp; OS: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[  ] Executive Workstation   [  ] Secure Laptop   | OS: Windows / macOS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Web Browser &amp; Version: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[  ] Google Chrome   [  ] Microsoft Edge   [  ] Mozilla Firefox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Evaluation Authority: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Final System Acceptance Sign-Off for Capstone 2 Deployment Handover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Capstone Facilitator / Researcher: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Joshua Razon / Noriel Gadiano / John Andrei Carillo II (BSIT 4-1)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1. Testing Purpose &amp; General Instructions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Log in using Super Administrator / OSA Director credentials.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Perform the 8 administrative test scenarios, covering executive analytics, scholarship creation, dynamic form configuration, RBAC, AI settings, statutory reporting, and audit logging.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Verify system scalability, quota governance, data privacy controls, and compliance export formatting against CHED/DOST requirements.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Evaluate system quality using the ISO/IEC 25010:2023 instrument.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Complete Section 5 (Formal System Acceptance Determination) to declare whether A.E.G.I.S. is accepted for institutional deployment.</w:t>
      </w:r>
    </w:p>
    <w:p>
      <w:pPr>
        <w:spacing w:before="120" w:after="80"/>
      </w:pPr>
      <w:r>
        <w:rPr>
          <w:rFonts w:ascii="Arial" w:hAnsi="Arial"/>
          <w:b/>
          <w:color w:val="1B4D2E"/>
          <w:sz w:val="19"/>
        </w:rPr>
        <w:t>Evaluation Rating Scale for Test Cases: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592"/>
        <w:gridCol w:w="1152"/>
        <w:gridCol w:w="5904"/>
      </w:tblGrid>
      <w:tr>
        <w:tc>
          <w:tcPr>
            <w:tcW w:type="dxa" w:w="3216"/>
            <w:shd w:val="clear" w:color="auto" w:fill="1B4D2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Rating</w:t>
            </w:r>
          </w:p>
        </w:tc>
        <w:tc>
          <w:tcPr>
            <w:tcW w:type="dxa" w:w="3216"/>
            <w:shd w:val="clear" w:color="auto" w:fill="1B4D2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Code</w:t>
            </w:r>
          </w:p>
        </w:tc>
        <w:tc>
          <w:tcPr>
            <w:tcW w:type="dxa" w:w="3216"/>
            <w:shd w:val="clear" w:color="auto" w:fill="1B4D2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Definition &amp; Operational Standard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Pass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4B5563"/>
                <w:sz w:val="17"/>
              </w:rPr>
              <w:t>Administrative capability executed successfully with full data integrity and correct security enforcement.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Pass with Observations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PWO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r>
              <w:rPr>
                <w:rFonts w:ascii="Arial" w:hAnsi="Arial"/>
                <w:color w:val="4B5563"/>
                <w:sz w:val="17"/>
              </w:rPr>
              <w:t>Function succeeded, but suggestions exist for executive dashboard charts, export layout, or usability.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Fail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F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4B5563"/>
                <w:sz w:val="17"/>
              </w:rPr>
              <w:t>Failure in programmatic CRUD, custom field builder collision, export failure, or privilege leak.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Blocked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B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r>
              <w:rPr>
                <w:rFonts w:ascii="Arial" w:hAnsi="Arial"/>
                <w:color w:val="4B5563"/>
                <w:sz w:val="17"/>
              </w:rPr>
              <w:t>Administrative test blocked due to underlying database, microservice, or server dependency failure.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2. User Acceptance Test Cases &amp; Execution Matrix</w:t>
      </w: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1: [TC-ADM-01] Executive KPI Analytics &amp; Strategic Intelligence Dashboard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&amp; 4 (Executive Decision Support) | User Story: US-11 (As an administrator, I want executive KPI analytics on applications, fraud rates, and quotas...)</w:t>
              <w:br/>
              <w:t>Verify the calculation and visualization of key performance indicators: Total Applications, Approval Rates, Grade Integrity Index, Fraud Detection Rates, and College Distribution.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Logged in as Super Administrator / Director.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Executive Analytics (`/superadmin/analytics` or `/admin/dashboard`).</w:t>
              <w:br/>
              <w:t>2. Inspect real-time KPI counter cards: Total Applications, Active Grants, Total Grantees, Tamper Alerts.</w:t>
              <w:br/>
              <w:t>3. Filter analytics by Academic Year and Semester.</w:t>
              <w:br/>
              <w:t>4. Inspect interactive charts: Application Volume by College, Fraud Risk Distribution, and Review Cycle Time.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KPI cards render accurate metric sums with high-contrast styling. Dynamic filtering by academic term recalculates charts seamlessly without data discrepancies.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2: [TC-ADM-02] Scholarship Program Creation, Quota, &amp; Lifecycle Governance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(Complete Scholarship Lifecycle) | User Story: US-11 (As an administrator, I want to create, configure, and manage scholarship programs and quotas...)</w:t>
              <w:br/>
              <w:t>Ensure new scholarship programs can be created, configured with eligibility rules and slot quotas, and managed across their lifecycle (Active / Inactive / Archived).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Super Administrator access.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Scholarship Management (`/superadmin/scholarships`).</w:t>
              <w:br/>
              <w:t>2. Click 'Add New Scholarship Program'.</w:t>
              <w:br/>
              <w:t>3. Input program name, funding agency, academic term, total slot quota, minimum GWA threshold, and deadline.</w:t>
              <w:br/>
              <w:t>4. Save program and toggle status between Active and Inactive.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New program persists in database. Slot quota validator prevents negative/invalid values. Active programs immediately become discoverable in student catalog; inactive programs are hidden from new applicants.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3: [TC-ADM-03] Custom Dynamic Form Field Builder &amp; Requirement Configuration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(Dynamic Application Configuration) | User Story: US-11 (As an administrator, I want to configure dynamic custom form fields for specific scholarships...)</w:t>
              <w:br/>
              <w:t>Test the custom form field configurator: adding dynamic fields (text, dropdown, file upload), reordering with arrows, setting mandatory flags, and verifying clean UI layout.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Open Scholarship Program creation or edit modal.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In program modal, navigate to 'Custom Form Fields' section.</w:t>
              <w:br/>
              <w:t>2. Add Field 1 (Text: 'Father Occupation'), Field 2 (Select: '4Ps Beneficiary [Yes/No]'), Field 3 (File: 'Barangay Indigency').</w:t>
              <w:br/>
              <w:t>3. Reorder fields using Up (↑) and Down (↓) arrows; verify field numbering badges sync.</w:t>
              <w:br/>
              <w:t>4. Toggle 'Required' switch on and off.</w:t>
              <w:br/>
              <w:t>5. Save program and preview student application form.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Sub-header bar and button cluster render cleanly without overlapping labels or toggle switches. Reordering reindexes fields smoothly. Custom fields render correctly on student submission interface.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4: [TC-ADM-04] Role-Based Access Control (RBAC) &amp; Staff User Management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(RBAC &amp; User Governance) | User Story: US-11 (As an administrator, I want to manage staff accounts and role permissions...)</w:t>
              <w:br/>
              <w:t>Confirm administrative capability to invite/register staff evaluators, assign designated scholarship programs, and enforce privilege boundaries.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Super Administrator privileges.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User Management (`/superadmin/users`).</w:t>
              <w:br/>
              <w:t>2. Create a new staff evaluator account.</w:t>
              <w:br/>
              <w:t>3. Assign specific scholarship programs to the staff member.</w:t>
              <w:br/>
              <w:t>4. Test password reset dispatch and temporary account suspension toggle.</w:t>
              <w:br/>
              <w:t>5. Log in as newly created staff member to verify restricted scope.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Staff accounts are created with encrypted temporary credentials. Evaluator can only access assigned scholarship queues. Deactivated accounts are blocked from system entry immediately.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5: [TC-ADM-05] AI Forensics Service Configuration &amp; Sensitivity Tuning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2 (AI Module Configuration) | User Story: US-11 (As an administrator, I want to configure AI detection thresholds and microservice pipelines...)</w:t>
              <w:br/>
              <w:t>Verify administrator control over AI microservice health monitoring, pipeline selection (V1 Fast, V2 Standard ELA-CNN, V3 Deep Multi-Pass), and fraud threshold calibration.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Super Administrator settings access.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AI Configuration / System Settings (`/superadmin/settings`).</w:t>
              <w:br/>
              <w:t>2. Inspect AI Microservice connection health badge.</w:t>
              <w:br/>
              <w:t>3. Configure default analysis pipeline (V2 Standard ELA-CNN).</w:t>
              <w:br/>
              <w:t>4. Adjust default high-risk fraud threshold (e.g. 70.0%) and save settings.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Microservice ping confirms live connectivity. Updated pipeline and threshold parameters save to `system_settings` table and apply to subsequent document evaluation jobs.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6: [TC-ADM-06] Statutory Compliance Reporting &amp; Multi-Format Record Export Engine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4 (Record Export for Compliance Use) | User Story: US-12 (As an administrator, I want to export compliant CSV and PDF reports for CHED/DOST...)</w:t>
              <w:br/>
              <w:t>Validate generation and export of official scholarship masterlists and compliance summaries in CSV and PDF formats.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Applications exist across multiple scholarship programs and terms.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Reporting &amp; Exports (`/admin/reports` or `/superadmin/analytics`).</w:t>
              <w:br/>
              <w:t>2. Select Report Type: 'CHED Scholarship Grantee Masterlist'.</w:t>
              <w:br/>
              <w:t>3. Filter by Academic Year and Program.</w:t>
              <w:br/>
              <w:t>4. Click 'Export to CSV'; open and inspect column formatting in spreadsheet software.</w:t>
              <w:br/>
              <w:t>5. Click 'Export to PDF'; inspect layout for official CLSU OSA letterhead, summary stats, and signature lines.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CSV exports download within 3 seconds with headers matching CHED/DOST-SEI specifications. PDF generates cleanly within 5-8 seconds, displaying institutional styling, summary tables, and authorized signatory blocks.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7: [TC-ADM-07] Tamper-Evident System Audit Trail &amp; Security Event Monitoring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&amp; 5 (Security &amp; Auditability) | User Story: US-11 (As an administrator, I want an immutable audit log of all system activities...)</w:t>
              <w:br/>
              <w:t>Verify that all administrative activities, user authentications, application status overrides, and file exports are permanently recorded in the audit trail.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System has recorded operational events.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Audit Logs (`/superadmin/audit-logs`).</w:t>
              <w:br/>
              <w:t>2. Filter logs by Action Type (Login, Status Update, Program Creation, File Export).</w:t>
              <w:br/>
              <w:t>3. Search logs by User ID or IP Address.</w:t>
              <w:br/>
              <w:t>4. Inspect detailed audit payload modal showing old vs. new values for a status override.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Audit trail captures timestamp, actor ID, action category, IP address, and payload difference. Records cannot be edited, overwritten, or cleared by staff, ensuring complete evidentiary integrity.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8: [TC-ADM-08] Soft-Deletion, Trash Recovery, &amp; System Branding Governance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(System Maintenance &amp; Data Resilience) | User Story: US-11 (As an administrator, I want soft-delete protection and system branding controls...)</w:t>
              <w:br/>
              <w:t>Confirm data resilience through soft-deletion and restoration of scholarship programs/applications, as well as institutional announcement broadcasting.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Super Administrator access.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Soft-delete a test scholarship program.</w:t>
              <w:br/>
              <w:t>2. Navigate to 'Archived / Trash' tab; verify program is listed.</w:t>
              <w:br/>
              <w:t>3. Click 'Restore Program' and confirm restoration in active table.</w:t>
              <w:br/>
              <w:t>4. Post a university-wide scholarship announcement via Announcement Manager.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Soft-deleted records are safely preserved without cascading foreign key violations. Restore brings program back to active status. Broadcasted announcement immediately appears on student dashboard.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3. ISO/IEC 25010:2023 Software Quality Evaluation</w:t>
      </w:r>
    </w:p>
    <w:p>
      <w:pPr>
        <w:spacing w:before="0" w:after="120"/>
      </w:pPr>
      <w:r>
        <w:rPr>
          <w:rFonts w:ascii="Arial" w:hAnsi="Arial"/>
          <w:color w:val="4B5563"/>
          <w:sz w:val="17"/>
        </w:rPr>
        <w:t>Please rate your agreement with each statement based on your direct interaction with the A.E.G.I.S. portal.</w:t>
        <w:br/>
        <w:t>Rating Scale: 5 = Strongly Agree (SA) | 4 = Agree (A) | 3 = Neutral (N) | 2 = Disagree (D) | 1 = Strongly Disagree (SD)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Criterion / Evaluation Item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 (5)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 (4)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 (3)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 (2)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SD (1)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Remarks</w:t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FUNCTIONAL SUITABILITY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system completely addresses the end-to-end scholarship lifecycle from program creation to grantee certification.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report generation engine produces accurate, filtered masterlists meeting CHED and DOST-SEI compliance requirements.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dynamic custom field builder successfully configures specialized scholarship requirements.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automated notification system operates reliably upon all administrative status updates.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USABILITY &amp; LEARNABILITY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administrative and analytics dashboard layout is intuitive and does not require extensive training.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Report filtering and export functions are easy to configure and execute.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custom form field builder and program configuration controls are ergonomic and well-labeled.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System warnings and confirmation dialogs prevent accidental data loss or premature status changes.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RELIABILITY &amp; SCALABILITY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system maintains stable performance even when handling concurrent application submissions.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Data entered into the system is preserved accurately without corruption, truncation, or database loss.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Background queue jobs (emails, AI scans, exports) complete reliably without silent failures.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soft-delete and recovery mechanisms protect institutional records against accidental deletion.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PERFORMANCE EFFICIENCY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Executive analytics and dashboard charts render rapidly (&lt;3 seconds) upon initial load.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PDF compliance reports and CSV masterlists generate within acceptable time limits (&lt;8 seconds).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Database queries and table filtering remain responsive as application records scale.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SECURITY &amp; COMPLIANCE (R.A. 10173)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Student academic and financial records are strictly protected with multi-layered role-based access controls.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Multi-factor authentication (MFA) and trusted device tokens provide robust perimeter security.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immutable audit log maintains comprehensive, tamper-evident records of all administrative actions.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system fully complies with the Data Privacy Act of 2012 (R.A. 10173) in processing student data.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4. Executive Feedback &amp; Strategic Recommendations</w:t>
      </w:r>
    </w:p>
    <w:p>
      <w:pPr>
        <w:keepNext/>
        <w:spacing w:before="120" w:after="40"/>
      </w:pPr>
      <w:r>
        <w:rPr>
          <w:rFonts w:ascii="Arial" w:hAnsi="Arial"/>
          <w:b/>
          <w:color w:val="1F2937"/>
          <w:sz w:val="18"/>
        </w:rPr>
        <w:t>A. Strategic Value: How effectively does A.E.G.I.S. address the manual bottlenecks, fraudulent submissions, and reporting challenges historically faced by CLSU OSA?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648"/>
      </w:tblGrid>
      <w:tr>
        <w:tc>
          <w:tcPr>
            <w:tcW w:type="dxa" w:w="9648"/>
            <w:shd w:val="clear" w:color="auto" w:fill="FAFA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br/>
              <w:br/>
              <w:br/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Arial" w:hAnsi="Arial"/>
          <w:b/>
          <w:color w:val="1F2937"/>
          <w:sz w:val="18"/>
        </w:rPr>
        <w:t>B. Operational Considerations: What workflow adjustments or institutional policy alignments are recommended prior to campus-wide deployment?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648"/>
      </w:tblGrid>
      <w:tr>
        <w:tc>
          <w:tcPr>
            <w:tcW w:type="dxa" w:w="9648"/>
            <w:shd w:val="clear" w:color="auto" w:fill="FAFA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br/>
              <w:br/>
              <w:br/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Arial" w:hAnsi="Arial"/>
          <w:b/>
          <w:color w:val="1F2937"/>
          <w:sz w:val="18"/>
        </w:rPr>
        <w:t>C. Enhancement Priorities: What future integrations (e.g. CLSU SIS GWA auto-sync, Landbank stipend API, SMS gateway) should be prioritized in subsequent project phases?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648"/>
      </w:tblGrid>
      <w:tr>
        <w:tc>
          <w:tcPr>
            <w:tcW w:type="dxa" w:w="9648"/>
            <w:shd w:val="clear" w:color="auto" w:fill="FAFA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br/>
              <w:br/>
              <w:br/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5. Formal System Acceptance Determination &amp; Institutional Sign-Off</w:t>
      </w:r>
    </w:p>
    <w:p>
      <w:pPr>
        <w:spacing w:before="40" w:after="120"/>
      </w:pPr>
      <w:r>
        <w:rPr>
          <w:rFonts w:ascii="Arial" w:hAnsi="Arial"/>
          <w:color w:val="1F2937"/>
          <w:sz w:val="17"/>
        </w:rPr>
        <w:t>Based on the results of User Acceptance Testing (UAT) and the ISO/IEC 25010 Product Quality Evaluation, the Office of Student Affairs (OSA) hereby declares the following acceptance determination for the A.E.G.I.S. software project: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432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ECFDF5"/>
          </w:tcPr>
          <w:p>
            <w:r>
              <w:rPr>
                <w:rFonts w:ascii="Arial" w:hAnsi="Arial"/>
                <w:b/>
                <w:color w:val="1B4D2E"/>
                <w:sz w:val="16"/>
              </w:rPr>
              <w:t>[  ] ACCEPTED WITHOUT RESERVATION</w:t>
            </w:r>
          </w:p>
        </w:tc>
        <w:tc>
          <w:tcPr>
            <w:tcW w:type="dxa" w:w="53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4B5563"/>
                <w:sz w:val="16"/>
              </w:rPr>
              <w:t>The software satisfies all functional, security, usability, and compliance requirements outlined in Chapters I–III of the capstone thesis. Recommended for institutional production rollout.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3F4F6"/>
          </w:tcPr>
          <w:p>
            <w:r>
              <w:rPr>
                <w:rFonts w:ascii="Arial" w:hAnsi="Arial"/>
                <w:b/>
                <w:color w:val="1F2937"/>
                <w:sz w:val="16"/>
              </w:rPr>
              <w:t>[  ] ACCEPTED WITH MINOR OBSERVATIONS</w:t>
            </w:r>
          </w:p>
        </w:tc>
        <w:tc>
          <w:tcPr>
            <w:tcW w:type="dxa" w:w="53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4B5563"/>
                <w:sz w:val="16"/>
              </w:rPr>
              <w:t>The software meets core operational requirements and is accepted for production subject to resolving non-critical UI/ergonomic observations noted in this document.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F2937"/>
                <w:sz w:val="16"/>
              </w:rPr>
              <w:t>[  ] PROVISIONAL ACCEPTANCE (RE-TESTING REQUIRED)</w:t>
            </w:r>
          </w:p>
        </w:tc>
        <w:tc>
          <w:tcPr>
            <w:tcW w:type="dxa" w:w="53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4B5563"/>
                <w:sz w:val="16"/>
              </w:rPr>
              <w:t>The software demonstrates essential capabilities but requires technical remediation of specified defects before formal deployment sign-off.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3F4F6"/>
          </w:tcPr>
          <w:p>
            <w:r>
              <w:rPr>
                <w:rFonts w:ascii="Arial" w:hAnsi="Arial"/>
                <w:b/>
                <w:color w:val="1F2937"/>
                <w:sz w:val="16"/>
              </w:rPr>
              <w:t>[  ] NOT ACCEPTED</w:t>
            </w:r>
          </w:p>
        </w:tc>
        <w:tc>
          <w:tcPr>
            <w:tcW w:type="dxa" w:w="53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4B5563"/>
                <w:sz w:val="16"/>
              </w:rPr>
              <w:t>The software fails to satisfy minimum functional, accuracy, or security thresholds specified in the project requirements.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 w:space="0" w:color="D1D5DB"/>
          <w:left w:val="none" w:sz="4" w:space="0" w:color="D1D5DB"/>
          <w:bottom w:val="none" w:sz="4" w:space="0" w:color="D1D5DB"/>
          <w:right w:val="none" w:sz="4" w:space="0" w:color="D1D5DB"/>
          <w:insideH w:val="none" w:sz="4" w:space="0" w:color="D1D5DB"/>
          <w:insideV w:val="none" w:sz="4" w:space="0" w:color="D1D5DB"/>
        </w:tblBorders>
      </w:tblPr>
      <w:tblGrid>
        <w:gridCol w:w="4824"/>
        <w:gridCol w:w="4824"/>
      </w:tblGrid>
      <w:tr>
        <w:tc>
          <w:tcPr>
            <w:tcW w:type="dxa" w:w="4752"/>
          </w:tcPr>
          <w:p>
            <w:pPr>
              <w:spacing w:before="120" w:after="40"/>
            </w:pPr>
            <w:r>
              <w:rPr>
                <w:sz w:val="17"/>
              </w:rPr>
              <w:t>Accepted &amp; Approved by:</w:t>
              <w:br/>
              <w:br/>
              <w:br/>
              <w:br/>
            </w:r>
            <w:r>
              <w:rPr>
                <w:b/>
              </w:rPr>
              <w:t>_________________________________________</w:t>
              <w:br/>
            </w:r>
            <w:r>
              <w:rPr>
                <w:sz w:val="16"/>
              </w:rPr>
              <w:t>Director / Head, Office of Student Affairs (OSA)</w:t>
              <w:br/>
              <w:t>Central Luzon State University</w:t>
              <w:br/>
              <w:t>Date: ________________________</w:t>
            </w:r>
          </w:p>
        </w:tc>
        <w:tc>
          <w:tcPr>
            <w:tcW w:type="dxa" w:w="4752"/>
          </w:tcPr>
          <w:p>
            <w:pPr>
              <w:spacing w:before="120" w:after="40"/>
            </w:pPr>
            <w:r>
              <w:rPr>
                <w:sz w:val="17"/>
              </w:rPr>
              <w:t>Concurred by Capstone Adviser:</w:t>
              <w:br/>
              <w:br/>
              <w:br/>
              <w:br/>
            </w:r>
            <w:r>
              <w:rPr>
                <w:b/>
              </w:rPr>
              <w:t>_________________________________________</w:t>
              <w:br/>
            </w:r>
            <w:r>
              <w:rPr>
                <w:sz w:val="16"/>
              </w:rPr>
              <w:t>Capstone Project Faculty Adviser</w:t>
              <w:br/>
              <w:t>Department of Information Technology, CLSU</w:t>
              <w:br/>
              <w:t>Date: ________________________</w:t>
            </w:r>
          </w:p>
        </w:tc>
      </w:tr>
      <w:tr>
        <w:tc>
          <w:tcPr>
            <w:tcW w:type="dxa" w:w="4752"/>
          </w:tcPr>
          <w:p>
            <w:pPr>
              <w:spacing w:before="320" w:after="40"/>
            </w:pPr>
            <w:r>
              <w:rPr>
                <w:sz w:val="17"/>
              </w:rPr>
              <w:t>Developed &amp; Endorsed by:</w:t>
              <w:br/>
              <w:br/>
              <w:br/>
              <w:br/>
            </w:r>
            <w:r>
              <w:rPr>
                <w:b/>
              </w:rPr>
              <w:t>_________________________________________</w:t>
              <w:br/>
            </w:r>
            <w:r>
              <w:rPr>
                <w:sz w:val="16"/>
              </w:rPr>
              <w:t>Joshua Razon / Noriel Gadiano / John Andrei Carillo II</w:t>
              <w:br/>
              <w:t>Lead Student Researchers (BSIT 4-1)</w:t>
              <w:br/>
              <w:t>Date: ________________________</w:t>
            </w:r>
          </w:p>
        </w:tc>
        <w:tc>
          <w:tcPr>
            <w:tcW w:type="dxa" w:w="4752"/>
          </w:tcPr>
          <w:p>
            <w:pPr>
              <w:spacing w:before="320" w:after="40"/>
            </w:pPr>
            <w:r>
              <w:rPr>
                <w:sz w:val="17"/>
              </w:rPr>
              <w:t>Noted by IT Department Chair:</w:t>
              <w:br/>
              <w:br/>
              <w:br/>
              <w:br/>
            </w:r>
            <w:r>
              <w:rPr>
                <w:b/>
              </w:rPr>
              <w:t>_________________________________________</w:t>
              <w:br/>
            </w:r>
            <w:r>
              <w:rPr>
                <w:sz w:val="16"/>
              </w:rPr>
              <w:t>Department Chairperson</w:t>
              <w:br/>
              <w:t>Department of Information Technology, CLSU</w:t>
              <w:br/>
              <w:t>Date: ________________________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