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CENTRAL LUZON STATE UNIVERSITY</w:t>
        <w:br/>
      </w:r>
      <w:r>
        <w:rPr>
          <w:rFonts w:ascii="Arial" w:hAnsi="Arial"/>
          <w:sz w:val="19"/>
        </w:rPr>
        <w:t>College of Engineering • Department of Information Technology</w:t>
        <w:br/>
      </w:r>
      <w:r>
        <w:rPr>
          <w:rFonts w:ascii="Arial" w:hAnsi="Arial"/>
          <w:sz w:val="18"/>
        </w:rPr>
        <w:t>Science City of Muñoz, Nueva Ecija, Philippines</w:t>
        <w:br/>
        <w:br/>
      </w:r>
      <w:r>
        <w:rPr>
          <w:rFonts w:ascii="Arial" w:hAnsi="Arial"/>
          <w:b/>
          <w:sz w:val="24"/>
        </w:rPr>
        <w:t>CLIENT SYSTEM TESTING AND ACCEPTANCE FORM</w:t>
        <w:br/>
      </w:r>
      <w:r>
        <w:rPr>
          <w:rFonts w:ascii="Arial" w:hAnsi="Arial"/>
          <w:b/>
          <w:sz w:val="21"/>
        </w:rPr>
        <w:t>[SUPER ADMINISTRATOR &amp; OSA DIRECTOR ROLE]</w:t>
        <w:br/>
      </w:r>
    </w:p>
    <w:p>
      <w:pPr>
        <w:spacing w:before="0" w:after="120"/>
        <w:jc w:val="center"/>
      </w:pPr>
      <w:r>
        <w:rPr>
          <w:rFonts w:ascii="Arial" w:hAnsi="Arial"/>
          <w:i/>
          <w:sz w:val="19"/>
        </w:rPr>
        <w:t>Executive Governance, Program Management &amp; Compliance Validation — Capstone Software Validation</w:t>
      </w:r>
    </w:p>
    <w:p>
      <w:pPr>
        <w:spacing w:before="0" w:after="80"/>
        <w:jc w:val="both"/>
      </w:pPr>
      <w:r>
        <w:rPr>
          <w:rFonts w:ascii="Arial" w:hAnsi="Arial"/>
          <w:b/>
          <w:sz w:val="18"/>
        </w:rPr>
        <w:t xml:space="preserve">Purpose. </w:t>
      </w:r>
      <w:r>
        <w:rPr>
          <w:rFonts w:ascii="Arial" w:hAnsi="Arial"/>
          <w:sz w:val="18"/>
        </w:rPr>
        <w:t>This form documents the client's actual testing of the developed system. The tester should perform representative tasks and verify whether the major functions and outputs work as expected. Issues identified during testing should be corrected and, when necessary, subjected to retesting.</w:t>
      </w:r>
    </w:p>
    <w:p>
      <w:pPr>
        <w:keepNext/>
        <w:spacing w:before="100" w:after="60"/>
      </w:pPr>
      <w:r>
        <w:rPr>
          <w:rFonts w:ascii="Arial" w:hAnsi="Arial"/>
          <w:b/>
          <w:sz w:val="20"/>
        </w:rPr>
        <w:t>A. TESTING INSTRUCTIONS</w:t>
      </w:r>
    </w:p>
    <w:p>
      <w:pPr>
        <w:pStyle w:val="ListBullet"/>
        <w:spacing w:before="0" w:after="20"/>
      </w:pPr>
      <w:r>
        <w:rPr>
          <w:rFonts w:ascii="Arial" w:hAnsi="Arial"/>
          <w:sz w:val="17"/>
        </w:rPr>
        <w:t>The development team shall briefly orient the tester, then allow the representative to perform the actual test.</w:t>
      </w:r>
    </w:p>
    <w:p>
      <w:pPr>
        <w:pStyle w:val="ListBullet"/>
        <w:spacing w:before="0" w:after="20"/>
      </w:pPr>
      <w:r>
        <w:rPr>
          <w:rFonts w:ascii="Arial" w:hAnsi="Arial"/>
          <w:sz w:val="17"/>
        </w:rPr>
        <w:t>Test the major modules, workflows, and outputs relevant to the role's intended use.</w:t>
      </w:r>
    </w:p>
    <w:p>
      <w:pPr>
        <w:pStyle w:val="ListBullet"/>
        <w:spacing w:before="0" w:after="20"/>
      </w:pPr>
      <w:r>
        <w:rPr>
          <w:rFonts w:ascii="Arial" w:hAnsi="Arial"/>
          <w:sz w:val="17"/>
        </w:rPr>
        <w:t>Mark each item as PASS, FAIL, NEEDS REVISION, or N/A.</w:t>
      </w:r>
    </w:p>
    <w:p>
      <w:pPr>
        <w:pStyle w:val="ListBullet"/>
        <w:spacing w:before="0" w:after="20"/>
      </w:pPr>
      <w:r>
        <w:rPr>
          <w:rFonts w:ascii="Arial" w:hAnsi="Arial"/>
          <w:sz w:val="17"/>
        </w:rPr>
        <w:t>Record errors, missing functions, confusing steps, inaccurate outputs, or other concerns in the Remarks column.</w:t>
      </w:r>
    </w:p>
    <w:p>
      <w:pPr>
        <w:pStyle w:val="ListBullet"/>
        <w:spacing w:before="0" w:after="20"/>
      </w:pPr>
      <w:r>
        <w:rPr>
          <w:rFonts w:ascii="Arial" w:hAnsi="Arial"/>
          <w:sz w:val="17"/>
        </w:rPr>
        <w:t>Items marked FAIL or NEEDS REVISION should be corrected and retested before final acceptance.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256"/>
        <w:gridCol w:w="5256"/>
      </w:tblGrid>
      <w:tr>
        <w:tc>
          <w:tcPr>
            <w:tcW w:type="dxa" w:w="5328"/>
            <w:tcMar>
              <w:top w:w="60" w:type="dxa"/>
              <w:bottom w:w="60" w:type="dxa"/>
              <w:left w:w="80" w:type="dxa"/>
              <w:right w:w="80" w:type="dxa"/>
            </w:tcMar>
          </w:tcPr>
          <w:p>
            <w:pPr>
              <w:spacing w:after="0"/>
            </w:pPr>
            <w:r>
              <w:rPr>
                <w:rFonts w:ascii="Arial" w:hAnsi="Arial"/>
                <w:sz w:val="17"/>
              </w:rPr>
              <w:t>Project / System Title: A.E.G.I.S. (Automated Evaluation &amp; Grade Integrity System)</w:t>
            </w:r>
          </w:p>
        </w:tc>
        <w:tc>
          <w:tcPr>
            <w:tcW w:type="dxa" w:w="5328"/>
            <w:tcMar>
              <w:top w:w="60" w:type="dxa"/>
              <w:bottom w:w="60" w:type="dxa"/>
              <w:left w:w="80" w:type="dxa"/>
              <w:right w:w="80" w:type="dxa"/>
            </w:tcMar>
          </w:tcPr>
          <w:p>
            <w:pPr>
              <w:spacing w:after="0"/>
            </w:pPr>
            <w:r>
              <w:rPr>
                <w:rFonts w:ascii="Arial" w:hAnsi="Arial"/>
                <w:sz w:val="17"/>
              </w:rPr>
              <w:t>Client / Organization: Central Luzon State University — Office of Student Affairs (CLSU OSA)</w:t>
            </w:r>
          </w:p>
        </w:tc>
      </w:tr>
      <w:tr>
        <w:tc>
          <w:tcPr>
            <w:tcW w:type="dxa" w:w="5328"/>
            <w:tcMar>
              <w:top w:w="60" w:type="dxa"/>
              <w:bottom w:w="60" w:type="dxa"/>
              <w:left w:w="80" w:type="dxa"/>
              <w:right w:w="80" w:type="dxa"/>
            </w:tcMar>
          </w:tcPr>
          <w:p>
            <w:pPr>
              <w:spacing w:after="0"/>
            </w:pPr>
            <w:r>
              <w:rPr>
                <w:rFonts w:ascii="Arial" w:hAnsi="Arial"/>
                <w:sz w:val="17"/>
              </w:rPr>
              <w:t xml:space="preserve">Tester / Client Representative: </w:t>
            </w:r>
          </w:p>
        </w:tc>
        <w:tc>
          <w:tcPr>
            <w:tcW w:type="dxa" w:w="5328"/>
            <w:tcMar>
              <w:top w:w="60" w:type="dxa"/>
              <w:bottom w:w="60" w:type="dxa"/>
              <w:left w:w="80" w:type="dxa"/>
              <w:right w:w="80" w:type="dxa"/>
            </w:tcMar>
          </w:tcPr>
          <w:p>
            <w:pPr>
              <w:spacing w:after="0"/>
            </w:pPr>
            <w:r>
              <w:rPr>
                <w:rFonts w:ascii="Arial" w:hAnsi="Arial"/>
                <w:sz w:val="17"/>
              </w:rPr>
              <w:t>Role / Designation: Director / Head, OSA &amp; System Super Administrator</w:t>
            </w:r>
          </w:p>
        </w:tc>
      </w:tr>
      <w:tr>
        <w:tc>
          <w:tcPr>
            <w:tcW w:type="dxa" w:w="5328"/>
            <w:tcMar>
              <w:top w:w="60" w:type="dxa"/>
              <w:bottom w:w="60" w:type="dxa"/>
              <w:left w:w="80" w:type="dxa"/>
              <w:right w:w="80" w:type="dxa"/>
            </w:tcMar>
          </w:tcPr>
          <w:p>
            <w:pPr>
              <w:spacing w:after="0"/>
            </w:pPr>
            <w:r>
              <w:rPr>
                <w:rFonts w:ascii="Arial" w:hAnsi="Arial"/>
                <w:sz w:val="17"/>
              </w:rPr>
              <w:t>Date of Testing: October 2026</w:t>
            </w:r>
          </w:p>
        </w:tc>
        <w:tc>
          <w:tcPr>
            <w:tcW w:type="dxa" w:w="5328"/>
            <w:tcMar>
              <w:top w:w="60" w:type="dxa"/>
              <w:bottom w:w="60" w:type="dxa"/>
              <w:left w:w="80" w:type="dxa"/>
              <w:right w:w="80" w:type="dxa"/>
            </w:tcMar>
          </w:tcPr>
          <w:p>
            <w:pPr>
              <w:spacing w:after="0"/>
            </w:pPr>
            <w:r>
              <w:rPr>
                <w:rFonts w:ascii="Arial" w:hAnsi="Arial"/>
                <w:sz w:val="17"/>
              </w:rPr>
              <w:t>Environment / Build: Cloud Staging Portal (https://clsu.osa.scholarship) v1.0.0</w:t>
            </w:r>
          </w:p>
        </w:tc>
      </w:tr>
    </w:tbl>
    <w:p>
      <w:pPr>
        <w:spacing w:after="80"/>
      </w:pPr>
    </w:p>
    <w:p>
      <w:pPr>
        <w:keepNext/>
        <w:spacing w:before="120" w:after="60"/>
      </w:pPr>
      <w:r>
        <w:rPr>
          <w:rFonts w:ascii="Arial" w:hAnsi="Arial"/>
          <w:b/>
          <w:sz w:val="20"/>
        </w:rPr>
        <w:t>B. CLIENT TEST SCENARIOS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02"/>
        <w:gridCol w:w="1502"/>
        <w:gridCol w:w="1502"/>
        <w:gridCol w:w="1502"/>
        <w:gridCol w:w="1502"/>
        <w:gridCol w:w="1502"/>
        <w:gridCol w:w="1502"/>
      </w:tblGrid>
      <w:tr>
        <w:tc>
          <w:tcPr>
            <w:tcW w:type="dxa" w:w="504"/>
            <w:shd w:val="clear" w:color="auto" w:fill="D9EAF7"/>
            <w:tcMar>
              <w:top w:w="70" w:type="dxa"/>
              <w:bottom w:w="70" w:type="dxa"/>
              <w:left w:w="60" w:type="dxa"/>
              <w:right w:w="60" w:type="dxa"/>
            </w:tcMar>
          </w:tcPr>
          <w:p>
            <w:pPr>
              <w:jc w:val="center"/>
            </w:pPr>
            <w:r>
              <w:rPr>
                <w:rFonts w:ascii="Arial" w:hAnsi="Arial"/>
                <w:b/>
                <w:sz w:val="17"/>
              </w:rPr>
              <w:t>No.</w:t>
            </w:r>
          </w:p>
        </w:tc>
        <w:tc>
          <w:tcPr>
            <w:tcW w:type="dxa" w:w="1584"/>
            <w:shd w:val="clear" w:color="auto" w:fill="D9EAF7"/>
            <w:tcMar>
              <w:top w:w="70" w:type="dxa"/>
              <w:bottom w:w="70" w:type="dxa"/>
              <w:left w:w="60" w:type="dxa"/>
              <w:right w:w="60" w:type="dxa"/>
            </w:tcMar>
          </w:tcPr>
          <w:p>
            <w:r>
              <w:rPr>
                <w:rFonts w:ascii="Arial" w:hAnsi="Arial"/>
                <w:b/>
                <w:sz w:val="17"/>
              </w:rPr>
              <w:t>Module / Feature</w:t>
            </w:r>
          </w:p>
        </w:tc>
        <w:tc>
          <w:tcPr>
            <w:tcW w:type="dxa" w:w="2160"/>
            <w:shd w:val="clear" w:color="auto" w:fill="D9EAF7"/>
            <w:tcMar>
              <w:top w:w="70" w:type="dxa"/>
              <w:bottom w:w="70" w:type="dxa"/>
              <w:left w:w="60" w:type="dxa"/>
              <w:right w:w="60" w:type="dxa"/>
            </w:tcMar>
          </w:tcPr>
          <w:p>
            <w:r>
              <w:rPr>
                <w:rFonts w:ascii="Arial" w:hAnsi="Arial"/>
                <w:b/>
                <w:sz w:val="17"/>
              </w:rPr>
              <w:t>Task / Test Scenario</w:t>
            </w:r>
          </w:p>
        </w:tc>
        <w:tc>
          <w:tcPr>
            <w:tcW w:type="dxa" w:w="2016"/>
            <w:shd w:val="clear" w:color="auto" w:fill="D9EAF7"/>
            <w:tcMar>
              <w:top w:w="70" w:type="dxa"/>
              <w:bottom w:w="70" w:type="dxa"/>
              <w:left w:w="60" w:type="dxa"/>
              <w:right w:w="60" w:type="dxa"/>
            </w:tcMar>
          </w:tcPr>
          <w:p>
            <w:r>
              <w:rPr>
                <w:rFonts w:ascii="Arial" w:hAnsi="Arial"/>
                <w:b/>
                <w:sz w:val="17"/>
              </w:rPr>
              <w:t>Expected Result</w:t>
            </w:r>
          </w:p>
        </w:tc>
        <w:tc>
          <w:tcPr>
            <w:tcW w:type="dxa" w:w="1656"/>
            <w:shd w:val="clear" w:color="auto" w:fill="D9EAF7"/>
            <w:tcMar>
              <w:top w:w="70" w:type="dxa"/>
              <w:bottom w:w="70" w:type="dxa"/>
              <w:left w:w="60" w:type="dxa"/>
              <w:right w:w="60" w:type="dxa"/>
            </w:tcMar>
          </w:tcPr>
          <w:p>
            <w:r>
              <w:rPr>
                <w:rFonts w:ascii="Arial" w:hAnsi="Arial"/>
                <w:b/>
                <w:sz w:val="17"/>
              </w:rPr>
              <w:t>Actual Result</w:t>
            </w:r>
          </w:p>
        </w:tc>
        <w:tc>
          <w:tcPr>
            <w:tcW w:type="dxa" w:w="1440"/>
            <w:shd w:val="clear" w:color="auto" w:fill="D9EAF7"/>
            <w:tcMar>
              <w:top w:w="70" w:type="dxa"/>
              <w:bottom w:w="70" w:type="dxa"/>
              <w:left w:w="60" w:type="dxa"/>
              <w:right w:w="60" w:type="dxa"/>
            </w:tcMar>
          </w:tcPr>
          <w:p>
            <w:pPr>
              <w:jc w:val="center"/>
            </w:pPr>
            <w:r>
              <w:rPr>
                <w:rFonts w:ascii="Arial" w:hAnsi="Arial"/>
                <w:b/>
                <w:sz w:val="17"/>
              </w:rPr>
              <w:t>Status</w:t>
            </w:r>
          </w:p>
        </w:tc>
        <w:tc>
          <w:tcPr>
            <w:tcW w:type="dxa" w:w="1296"/>
            <w:shd w:val="clear" w:color="auto" w:fill="D9EAF7"/>
            <w:tcMar>
              <w:top w:w="70" w:type="dxa"/>
              <w:bottom w:w="70" w:type="dxa"/>
              <w:left w:w="60" w:type="dxa"/>
              <w:right w:w="60" w:type="dxa"/>
            </w:tcMar>
          </w:tcPr>
          <w:p>
            <w:r>
              <w:rPr>
                <w:rFonts w:ascii="Arial" w:hAnsi="Arial"/>
                <w:b/>
                <w:sz w:val="17"/>
              </w:rPr>
              <w:t>Remarks</w:t>
            </w:r>
          </w:p>
        </w:tc>
      </w:tr>
      <w:tr>
        <w:tc>
          <w:tcPr>
            <w:tcW w:type="dxa" w:w="504"/>
            <w:tcMar>
              <w:top w:w="50" w:type="dxa"/>
              <w:bottom w:w="50" w:type="dxa"/>
              <w:left w:w="60" w:type="dxa"/>
              <w:right w:w="60" w:type="dxa"/>
            </w:tcMar>
            <w:shd w:val="clear" w:color="auto" w:fill="F9FAFB"/>
          </w:tcPr>
          <w:p>
            <w:pPr>
              <w:jc w:val="center"/>
            </w:pPr>
            <w:r>
              <w:rPr>
                <w:rFonts w:ascii="Arial" w:hAnsi="Arial"/>
                <w:b/>
                <w:sz w:val="16"/>
              </w:rPr>
              <w:t>1</w:t>
            </w:r>
          </w:p>
        </w:tc>
        <w:tc>
          <w:tcPr>
            <w:tcW w:type="dxa" w:w="1584"/>
            <w:tcMar>
              <w:top w:w="50" w:type="dxa"/>
              <w:bottom w:w="50" w:type="dxa"/>
              <w:left w:w="60" w:type="dxa"/>
              <w:right w:w="60" w:type="dxa"/>
            </w:tcMar>
            <w:shd w:val="clear" w:color="auto" w:fill="F9FAFB"/>
          </w:tcPr>
          <w:p>
            <w:r>
              <w:rPr>
                <w:rFonts w:ascii="Arial" w:hAnsi="Arial"/>
                <w:sz w:val="16"/>
              </w:rPr>
              <w:t>Executive KPI Analytics</w:t>
            </w:r>
          </w:p>
        </w:tc>
        <w:tc>
          <w:tcPr>
            <w:tcW w:type="dxa" w:w="2160"/>
            <w:tcMar>
              <w:top w:w="50" w:type="dxa"/>
              <w:bottom w:w="50" w:type="dxa"/>
              <w:left w:w="60" w:type="dxa"/>
              <w:right w:w="60" w:type="dxa"/>
            </w:tcMar>
            <w:shd w:val="clear" w:color="auto" w:fill="F9FAFB"/>
          </w:tcPr>
          <w:p>
            <w:r>
              <w:rPr>
                <w:rFonts w:ascii="Arial" w:hAnsi="Arial"/>
                <w:sz w:val="16"/>
              </w:rPr>
              <w:t>Director reviews dashboard metrics: Total Applications, Approval Rates, Grade Integrity Index, and Quota burn.</w:t>
            </w:r>
          </w:p>
        </w:tc>
        <w:tc>
          <w:tcPr>
            <w:tcW w:type="dxa" w:w="2016"/>
            <w:tcMar>
              <w:top w:w="50" w:type="dxa"/>
              <w:bottom w:w="50" w:type="dxa"/>
              <w:left w:w="60" w:type="dxa"/>
              <w:right w:w="60" w:type="dxa"/>
            </w:tcMar>
            <w:shd w:val="clear" w:color="auto" w:fill="F9FAFB"/>
          </w:tcPr>
          <w:p>
            <w:r>
              <w:rPr>
                <w:rFonts w:ascii="Arial" w:hAnsi="Arial"/>
                <w:sz w:val="16"/>
              </w:rPr>
              <w:t>Real-time metric counters and distribution charts render accurately; dynamic academic term filtering updates totals.</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2</w:t>
            </w:r>
          </w:p>
        </w:tc>
        <w:tc>
          <w:tcPr>
            <w:tcW w:type="dxa" w:w="1584"/>
            <w:tcMar>
              <w:top w:w="50" w:type="dxa"/>
              <w:bottom w:w="50" w:type="dxa"/>
              <w:left w:w="60" w:type="dxa"/>
              <w:right w:w="60" w:type="dxa"/>
            </w:tcMar>
          </w:tcPr>
          <w:p>
            <w:r>
              <w:rPr>
                <w:rFonts w:ascii="Arial" w:hAnsi="Arial"/>
                <w:sz w:val="16"/>
              </w:rPr>
              <w:t>Program Lifecycle Governance</w:t>
            </w:r>
          </w:p>
        </w:tc>
        <w:tc>
          <w:tcPr>
            <w:tcW w:type="dxa" w:w="2160"/>
            <w:tcMar>
              <w:top w:w="50" w:type="dxa"/>
              <w:bottom w:w="50" w:type="dxa"/>
              <w:left w:w="60" w:type="dxa"/>
              <w:right w:w="60" w:type="dxa"/>
            </w:tcMar>
          </w:tcPr>
          <w:p>
            <w:r>
              <w:rPr>
                <w:rFonts w:ascii="Arial" w:hAnsi="Arial"/>
                <w:sz w:val="16"/>
              </w:rPr>
              <w:t>Admin creates new scholarship program, sets slot quotas, GWA minimums, deadlines, and toggles Active/Archived.</w:t>
            </w:r>
          </w:p>
        </w:tc>
        <w:tc>
          <w:tcPr>
            <w:tcW w:type="dxa" w:w="2016"/>
            <w:tcMar>
              <w:top w:w="50" w:type="dxa"/>
              <w:bottom w:w="50" w:type="dxa"/>
              <w:left w:w="60" w:type="dxa"/>
              <w:right w:w="60" w:type="dxa"/>
            </w:tcMar>
          </w:tcPr>
          <w:p>
            <w:r>
              <w:rPr>
                <w:rFonts w:ascii="Arial" w:hAnsi="Arial"/>
                <w:sz w:val="16"/>
              </w:rPr>
              <w:t>Program persists in database; slot validation prevents negative integers; active grants become visible in student catalog.</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r>
        <w:tc>
          <w:tcPr>
            <w:tcW w:type="dxa" w:w="504"/>
            <w:tcMar>
              <w:top w:w="50" w:type="dxa"/>
              <w:bottom w:w="50" w:type="dxa"/>
              <w:left w:w="60" w:type="dxa"/>
              <w:right w:w="60" w:type="dxa"/>
            </w:tcMar>
            <w:shd w:val="clear" w:color="auto" w:fill="F9FAFB"/>
          </w:tcPr>
          <w:p>
            <w:pPr>
              <w:jc w:val="center"/>
            </w:pPr>
            <w:r>
              <w:rPr>
                <w:rFonts w:ascii="Arial" w:hAnsi="Arial"/>
                <w:b/>
                <w:sz w:val="16"/>
              </w:rPr>
              <w:t>3</w:t>
            </w:r>
          </w:p>
        </w:tc>
        <w:tc>
          <w:tcPr>
            <w:tcW w:type="dxa" w:w="1584"/>
            <w:tcMar>
              <w:top w:w="50" w:type="dxa"/>
              <w:bottom w:w="50" w:type="dxa"/>
              <w:left w:w="60" w:type="dxa"/>
              <w:right w:w="60" w:type="dxa"/>
            </w:tcMar>
            <w:shd w:val="clear" w:color="auto" w:fill="F9FAFB"/>
          </w:tcPr>
          <w:p>
            <w:r>
              <w:rPr>
                <w:rFonts w:ascii="Arial" w:hAnsi="Arial"/>
                <w:sz w:val="16"/>
              </w:rPr>
              <w:t>Dynamic Custom Field Builder</w:t>
            </w:r>
          </w:p>
        </w:tc>
        <w:tc>
          <w:tcPr>
            <w:tcW w:type="dxa" w:w="2160"/>
            <w:tcMar>
              <w:top w:w="50" w:type="dxa"/>
              <w:bottom w:w="50" w:type="dxa"/>
              <w:left w:w="60" w:type="dxa"/>
              <w:right w:w="60" w:type="dxa"/>
            </w:tcMar>
            <w:shd w:val="clear" w:color="auto" w:fill="F9FAFB"/>
          </w:tcPr>
          <w:p>
            <w:r>
              <w:rPr>
                <w:rFonts w:ascii="Arial" w:hAnsi="Arial"/>
                <w:sz w:val="16"/>
              </w:rPr>
              <w:t>Admin configures custom scholarship form fields (text, dropdown, file), tests reorder arrows and Required switch.</w:t>
            </w:r>
          </w:p>
        </w:tc>
        <w:tc>
          <w:tcPr>
            <w:tcW w:type="dxa" w:w="2016"/>
            <w:tcMar>
              <w:top w:w="50" w:type="dxa"/>
              <w:bottom w:w="50" w:type="dxa"/>
              <w:left w:w="60" w:type="dxa"/>
              <w:right w:w="60" w:type="dxa"/>
            </w:tcMar>
            <w:shd w:val="clear" w:color="auto" w:fill="F9FAFB"/>
          </w:tcPr>
          <w:p>
            <w:r>
              <w:rPr>
                <w:rFonts w:ascii="Arial" w:hAnsi="Arial"/>
                <w:sz w:val="16"/>
              </w:rPr>
              <w:t>Dedicated sub-header renders clean button cluster without overlapping switches; field reindexing works smoothly.</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4</w:t>
            </w:r>
          </w:p>
        </w:tc>
        <w:tc>
          <w:tcPr>
            <w:tcW w:type="dxa" w:w="1584"/>
            <w:tcMar>
              <w:top w:w="50" w:type="dxa"/>
              <w:bottom w:w="50" w:type="dxa"/>
              <w:left w:w="60" w:type="dxa"/>
              <w:right w:w="60" w:type="dxa"/>
            </w:tcMar>
          </w:tcPr>
          <w:p>
            <w:r>
              <w:rPr>
                <w:rFonts w:ascii="Arial" w:hAnsi="Arial"/>
                <w:sz w:val="16"/>
              </w:rPr>
              <w:t>RBAC &amp; Staff Governance</w:t>
            </w:r>
          </w:p>
        </w:tc>
        <w:tc>
          <w:tcPr>
            <w:tcW w:type="dxa" w:w="2160"/>
            <w:tcMar>
              <w:top w:w="50" w:type="dxa"/>
              <w:bottom w:w="50" w:type="dxa"/>
              <w:left w:w="60" w:type="dxa"/>
              <w:right w:w="60" w:type="dxa"/>
            </w:tcMar>
          </w:tcPr>
          <w:p>
            <w:r>
              <w:rPr>
                <w:rFonts w:ascii="Arial" w:hAnsi="Arial"/>
                <w:sz w:val="16"/>
              </w:rPr>
              <w:t>Admin creates staff evaluator accounts, assigns specific scholarship program queues, and manages permissions.</w:t>
            </w:r>
          </w:p>
        </w:tc>
        <w:tc>
          <w:tcPr>
            <w:tcW w:type="dxa" w:w="2016"/>
            <w:tcMar>
              <w:top w:w="50" w:type="dxa"/>
              <w:bottom w:w="50" w:type="dxa"/>
              <w:left w:w="60" w:type="dxa"/>
              <w:right w:w="60" w:type="dxa"/>
            </w:tcMar>
          </w:tcPr>
          <w:p>
            <w:r>
              <w:rPr>
                <w:rFonts w:ascii="Arial" w:hAnsi="Arial"/>
                <w:sz w:val="16"/>
              </w:rPr>
              <w:t>Strict RBAC restricts evaluators to assigned programs; suspended staff accounts are immediately blocked from entry.</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r>
        <w:tc>
          <w:tcPr>
            <w:tcW w:type="dxa" w:w="504"/>
            <w:tcMar>
              <w:top w:w="50" w:type="dxa"/>
              <w:bottom w:w="50" w:type="dxa"/>
              <w:left w:w="60" w:type="dxa"/>
              <w:right w:w="60" w:type="dxa"/>
            </w:tcMar>
            <w:shd w:val="clear" w:color="auto" w:fill="F9FAFB"/>
          </w:tcPr>
          <w:p>
            <w:pPr>
              <w:jc w:val="center"/>
            </w:pPr>
            <w:r>
              <w:rPr>
                <w:rFonts w:ascii="Arial" w:hAnsi="Arial"/>
                <w:b/>
                <w:sz w:val="16"/>
              </w:rPr>
              <w:t>5</w:t>
            </w:r>
          </w:p>
        </w:tc>
        <w:tc>
          <w:tcPr>
            <w:tcW w:type="dxa" w:w="1584"/>
            <w:tcMar>
              <w:top w:w="50" w:type="dxa"/>
              <w:bottom w:w="50" w:type="dxa"/>
              <w:left w:w="60" w:type="dxa"/>
              <w:right w:w="60" w:type="dxa"/>
            </w:tcMar>
            <w:shd w:val="clear" w:color="auto" w:fill="F9FAFB"/>
          </w:tcPr>
          <w:p>
            <w:r>
              <w:rPr>
                <w:rFonts w:ascii="Arial" w:hAnsi="Arial"/>
                <w:sz w:val="16"/>
              </w:rPr>
              <w:t>AI Pipeline &amp; Sensitivity Config</w:t>
            </w:r>
          </w:p>
        </w:tc>
        <w:tc>
          <w:tcPr>
            <w:tcW w:type="dxa" w:w="2160"/>
            <w:tcMar>
              <w:top w:w="50" w:type="dxa"/>
              <w:bottom w:w="50" w:type="dxa"/>
              <w:left w:w="60" w:type="dxa"/>
              <w:right w:w="60" w:type="dxa"/>
            </w:tcMar>
            <w:shd w:val="clear" w:color="auto" w:fill="F9FAFB"/>
          </w:tcPr>
          <w:p>
            <w:r>
              <w:rPr>
                <w:rFonts w:ascii="Arial" w:hAnsi="Arial"/>
                <w:sz w:val="16"/>
              </w:rPr>
              <w:t>Admin inspects AI microservice connectivity, sets default pipeline (V2 ELA-CNN), and calibrates fraud score threshold.</w:t>
            </w:r>
          </w:p>
        </w:tc>
        <w:tc>
          <w:tcPr>
            <w:tcW w:type="dxa" w:w="2016"/>
            <w:tcMar>
              <w:top w:w="50" w:type="dxa"/>
              <w:bottom w:w="50" w:type="dxa"/>
              <w:left w:w="60" w:type="dxa"/>
              <w:right w:w="60" w:type="dxa"/>
            </w:tcMar>
            <w:shd w:val="clear" w:color="auto" w:fill="F9FAFB"/>
          </w:tcPr>
          <w:p>
            <w:r>
              <w:rPr>
                <w:rFonts w:ascii="Arial" w:hAnsi="Arial"/>
                <w:sz w:val="16"/>
              </w:rPr>
              <w:t>Health ping confirms live service; configured threshold updates system_settings and applies to future scan jobs.</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6</w:t>
            </w:r>
          </w:p>
        </w:tc>
        <w:tc>
          <w:tcPr>
            <w:tcW w:type="dxa" w:w="1584"/>
            <w:tcMar>
              <w:top w:w="50" w:type="dxa"/>
              <w:bottom w:w="50" w:type="dxa"/>
              <w:left w:w="60" w:type="dxa"/>
              <w:right w:w="60" w:type="dxa"/>
            </w:tcMar>
          </w:tcPr>
          <w:p>
            <w:r>
              <w:rPr>
                <w:rFonts w:ascii="Arial" w:hAnsi="Arial"/>
                <w:sz w:val="16"/>
              </w:rPr>
              <w:t>Compliance Reporting &amp; Exports</w:t>
            </w:r>
          </w:p>
        </w:tc>
        <w:tc>
          <w:tcPr>
            <w:tcW w:type="dxa" w:w="2160"/>
            <w:tcMar>
              <w:top w:w="50" w:type="dxa"/>
              <w:bottom w:w="50" w:type="dxa"/>
              <w:left w:w="60" w:type="dxa"/>
              <w:right w:w="60" w:type="dxa"/>
            </w:tcMar>
          </w:tcPr>
          <w:p>
            <w:r>
              <w:rPr>
                <w:rFonts w:ascii="Arial" w:hAnsi="Arial"/>
                <w:sz w:val="16"/>
              </w:rPr>
              <w:t>Admin exports filtered scholarship masterlists and compliance summaries in CSV and official PDF formats.</w:t>
            </w:r>
          </w:p>
        </w:tc>
        <w:tc>
          <w:tcPr>
            <w:tcW w:type="dxa" w:w="2016"/>
            <w:tcMar>
              <w:top w:w="50" w:type="dxa"/>
              <w:bottom w:w="50" w:type="dxa"/>
              <w:left w:w="60" w:type="dxa"/>
              <w:right w:w="60" w:type="dxa"/>
            </w:tcMar>
          </w:tcPr>
          <w:p>
            <w:r>
              <w:rPr>
                <w:rFonts w:ascii="Arial" w:hAnsi="Arial"/>
                <w:sz w:val="16"/>
              </w:rPr>
              <w:t>CSV downloads formatted for CHED/DOST portal upload; PDF generates with CLSU OSA header, seal, and signatory lines.</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r>
        <w:tc>
          <w:tcPr>
            <w:tcW w:type="dxa" w:w="504"/>
            <w:tcMar>
              <w:top w:w="50" w:type="dxa"/>
              <w:bottom w:w="50" w:type="dxa"/>
              <w:left w:w="60" w:type="dxa"/>
              <w:right w:w="60" w:type="dxa"/>
            </w:tcMar>
            <w:shd w:val="clear" w:color="auto" w:fill="F9FAFB"/>
          </w:tcPr>
          <w:p>
            <w:pPr>
              <w:jc w:val="center"/>
            </w:pPr>
            <w:r>
              <w:rPr>
                <w:rFonts w:ascii="Arial" w:hAnsi="Arial"/>
                <w:b/>
                <w:sz w:val="16"/>
              </w:rPr>
              <w:t>7</w:t>
            </w:r>
          </w:p>
        </w:tc>
        <w:tc>
          <w:tcPr>
            <w:tcW w:type="dxa" w:w="1584"/>
            <w:tcMar>
              <w:top w:w="50" w:type="dxa"/>
              <w:bottom w:w="50" w:type="dxa"/>
              <w:left w:w="60" w:type="dxa"/>
              <w:right w:w="60" w:type="dxa"/>
            </w:tcMar>
            <w:shd w:val="clear" w:color="auto" w:fill="F9FAFB"/>
          </w:tcPr>
          <w:p>
            <w:r>
              <w:rPr>
                <w:rFonts w:ascii="Arial" w:hAnsi="Arial"/>
                <w:sz w:val="16"/>
              </w:rPr>
              <w:t>System Audit Trail Monitoring</w:t>
            </w:r>
          </w:p>
        </w:tc>
        <w:tc>
          <w:tcPr>
            <w:tcW w:type="dxa" w:w="2160"/>
            <w:tcMar>
              <w:top w:w="50" w:type="dxa"/>
              <w:bottom w:w="50" w:type="dxa"/>
              <w:left w:w="60" w:type="dxa"/>
              <w:right w:w="60" w:type="dxa"/>
            </w:tcMar>
            <w:shd w:val="clear" w:color="auto" w:fill="F9FAFB"/>
          </w:tcPr>
          <w:p>
            <w:r>
              <w:rPr>
                <w:rFonts w:ascii="Arial" w:hAnsi="Arial"/>
                <w:sz w:val="16"/>
              </w:rPr>
              <w:t>Admin inspects immutable audit logs, filtering by user, IP address, and action type (Logins, Overrides, Exports).</w:t>
            </w:r>
          </w:p>
        </w:tc>
        <w:tc>
          <w:tcPr>
            <w:tcW w:type="dxa" w:w="2016"/>
            <w:tcMar>
              <w:top w:w="50" w:type="dxa"/>
              <w:bottom w:w="50" w:type="dxa"/>
              <w:left w:w="60" w:type="dxa"/>
              <w:right w:w="60" w:type="dxa"/>
            </w:tcMar>
            <w:shd w:val="clear" w:color="auto" w:fill="F9FAFB"/>
          </w:tcPr>
          <w:p>
            <w:r>
              <w:rPr>
                <w:rFonts w:ascii="Arial" w:hAnsi="Arial"/>
                <w:sz w:val="16"/>
              </w:rPr>
              <w:t>Logs capture complete timestamp, actor IP, action category, and payload difference; entries cannot be altered.</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8</w:t>
            </w:r>
          </w:p>
        </w:tc>
        <w:tc>
          <w:tcPr>
            <w:tcW w:type="dxa" w:w="1584"/>
            <w:tcMar>
              <w:top w:w="50" w:type="dxa"/>
              <w:bottom w:w="50" w:type="dxa"/>
              <w:left w:w="60" w:type="dxa"/>
              <w:right w:w="60" w:type="dxa"/>
            </w:tcMar>
          </w:tcPr>
          <w:p>
            <w:r>
              <w:rPr>
                <w:rFonts w:ascii="Arial" w:hAnsi="Arial"/>
                <w:sz w:val="16"/>
              </w:rPr>
              <w:t>Soft-Deletion &amp; Resilience</w:t>
            </w:r>
          </w:p>
        </w:tc>
        <w:tc>
          <w:tcPr>
            <w:tcW w:type="dxa" w:w="2160"/>
            <w:tcMar>
              <w:top w:w="50" w:type="dxa"/>
              <w:bottom w:w="50" w:type="dxa"/>
              <w:left w:w="60" w:type="dxa"/>
              <w:right w:w="60" w:type="dxa"/>
            </w:tcMar>
          </w:tcPr>
          <w:p>
            <w:r>
              <w:rPr>
                <w:rFonts w:ascii="Arial" w:hAnsi="Arial"/>
                <w:sz w:val="16"/>
              </w:rPr>
              <w:t>Admin soft-deletes a scholarship program, inspects Trash recovery tab, and restores record back to active state.</w:t>
            </w:r>
          </w:p>
        </w:tc>
        <w:tc>
          <w:tcPr>
            <w:tcW w:type="dxa" w:w="2016"/>
            <w:tcMar>
              <w:top w:w="50" w:type="dxa"/>
              <w:bottom w:w="50" w:type="dxa"/>
              <w:left w:w="60" w:type="dxa"/>
              <w:right w:w="60" w:type="dxa"/>
            </w:tcMar>
          </w:tcPr>
          <w:p>
            <w:r>
              <w:rPr>
                <w:rFonts w:ascii="Arial" w:hAnsi="Arial"/>
                <w:sz w:val="16"/>
              </w:rPr>
              <w:t>Soft-delete protects relational integrity; restore brings record back cleanly; university announcement broadcasts to feed.</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bl>
    <w:p>
      <w:pPr>
        <w:spacing w:after="80"/>
      </w:pPr>
    </w:p>
    <w:p>
      <w:pPr>
        <w:keepNext/>
        <w:spacing w:before="120" w:after="60"/>
      </w:pPr>
      <w:r>
        <w:rPr>
          <w:rFonts w:ascii="Arial" w:hAnsi="Arial"/>
          <w:b/>
          <w:sz w:val="20"/>
        </w:rPr>
        <w:t>C. ISSUE / REVISION LOG</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752"/>
        <w:gridCol w:w="1752"/>
        <w:gridCol w:w="1752"/>
        <w:gridCol w:w="1752"/>
        <w:gridCol w:w="1752"/>
        <w:gridCol w:w="1752"/>
      </w:tblGrid>
      <w:tr>
        <w:tc>
          <w:tcPr>
            <w:tcW w:type="dxa" w:w="504"/>
            <w:shd w:val="clear" w:color="auto" w:fill="E2F0D9"/>
            <w:tcMar>
              <w:top w:w="60" w:type="dxa"/>
              <w:bottom w:w="60" w:type="dxa"/>
              <w:left w:w="60" w:type="dxa"/>
              <w:right w:w="60" w:type="dxa"/>
            </w:tcMar>
          </w:tcPr>
          <w:p>
            <w:pPr>
              <w:jc w:val="center"/>
            </w:pPr>
            <w:r>
              <w:rPr>
                <w:rFonts w:ascii="Arial" w:hAnsi="Arial"/>
                <w:b/>
                <w:sz w:val="17"/>
              </w:rPr>
              <w:t>No.</w:t>
            </w:r>
          </w:p>
        </w:tc>
        <w:tc>
          <w:tcPr>
            <w:tcW w:type="dxa" w:w="2880"/>
            <w:shd w:val="clear" w:color="auto" w:fill="E2F0D9"/>
            <w:tcMar>
              <w:top w:w="60" w:type="dxa"/>
              <w:bottom w:w="60" w:type="dxa"/>
              <w:left w:w="60" w:type="dxa"/>
              <w:right w:w="60" w:type="dxa"/>
            </w:tcMar>
          </w:tcPr>
          <w:p>
            <w:r>
              <w:rPr>
                <w:rFonts w:ascii="Arial" w:hAnsi="Arial"/>
                <w:b/>
                <w:sz w:val="17"/>
              </w:rPr>
              <w:t>Issue / Observation</w:t>
            </w:r>
          </w:p>
        </w:tc>
        <w:tc>
          <w:tcPr>
            <w:tcW w:type="dxa" w:w="2880"/>
            <w:shd w:val="clear" w:color="auto" w:fill="E2F0D9"/>
            <w:tcMar>
              <w:top w:w="60" w:type="dxa"/>
              <w:bottom w:w="60" w:type="dxa"/>
              <w:left w:w="60" w:type="dxa"/>
              <w:right w:w="60" w:type="dxa"/>
            </w:tcMar>
          </w:tcPr>
          <w:p>
            <w:r>
              <w:rPr>
                <w:rFonts w:ascii="Arial" w:hAnsi="Arial"/>
                <w:b/>
                <w:sz w:val="17"/>
              </w:rPr>
              <w:t>Required Revision / Action</w:t>
            </w:r>
          </w:p>
        </w:tc>
        <w:tc>
          <w:tcPr>
            <w:tcW w:type="dxa" w:w="1584"/>
            <w:shd w:val="clear" w:color="auto" w:fill="E2F0D9"/>
            <w:tcMar>
              <w:top w:w="60" w:type="dxa"/>
              <w:bottom w:w="60" w:type="dxa"/>
              <w:left w:w="60" w:type="dxa"/>
              <w:right w:w="60" w:type="dxa"/>
            </w:tcMar>
          </w:tcPr>
          <w:p>
            <w:pPr>
              <w:jc w:val="center"/>
            </w:pPr>
            <w:r>
              <w:rPr>
                <w:rFonts w:ascii="Arial" w:hAnsi="Arial"/>
                <w:b/>
                <w:sz w:val="17"/>
              </w:rPr>
              <w:t>Priority</w:t>
            </w:r>
          </w:p>
        </w:tc>
        <w:tc>
          <w:tcPr>
            <w:tcW w:type="dxa" w:w="1440"/>
            <w:shd w:val="clear" w:color="auto" w:fill="E2F0D9"/>
            <w:tcMar>
              <w:top w:w="60" w:type="dxa"/>
              <w:bottom w:w="60" w:type="dxa"/>
              <w:left w:w="60" w:type="dxa"/>
              <w:right w:w="60" w:type="dxa"/>
            </w:tcMar>
          </w:tcPr>
          <w:p>
            <w:pPr>
              <w:jc w:val="center"/>
            </w:pPr>
            <w:r>
              <w:rPr>
                <w:rFonts w:ascii="Arial" w:hAnsi="Arial"/>
                <w:b/>
                <w:sz w:val="17"/>
              </w:rPr>
              <w:t>Retest Result</w:t>
            </w:r>
          </w:p>
        </w:tc>
        <w:tc>
          <w:tcPr>
            <w:tcW w:type="dxa" w:w="1368"/>
            <w:shd w:val="clear" w:color="auto" w:fill="E2F0D9"/>
            <w:tcMar>
              <w:top w:w="60" w:type="dxa"/>
              <w:bottom w:w="60" w:type="dxa"/>
              <w:left w:w="60" w:type="dxa"/>
              <w:right w:w="60" w:type="dxa"/>
            </w:tcMar>
          </w:tcPr>
          <w:p>
            <w:r>
              <w:rPr>
                <w:rFonts w:ascii="Arial" w:hAnsi="Arial"/>
                <w:b/>
                <w:sz w:val="17"/>
              </w:rPr>
              <w:t>Remarks</w:t>
            </w:r>
          </w:p>
        </w:tc>
      </w:tr>
      <w:tr>
        <w:tc>
          <w:tcPr>
            <w:tcW w:type="dxa" w:w="504"/>
            <w:tcMar>
              <w:top w:w="50" w:type="dxa"/>
              <w:bottom w:w="50" w:type="dxa"/>
              <w:left w:w="60" w:type="dxa"/>
              <w:right w:w="60" w:type="dxa"/>
            </w:tcMar>
          </w:tcPr>
          <w:p>
            <w:pPr>
              <w:jc w:val="center"/>
            </w:pPr>
            <w:r>
              <w:rPr>
                <w:rFonts w:ascii="Arial" w:hAnsi="Arial"/>
                <w:b/>
                <w:sz w:val="16"/>
              </w:rPr>
              <w:t>1</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r>
        <w:tc>
          <w:tcPr>
            <w:tcW w:type="dxa" w:w="504"/>
            <w:tcMar>
              <w:top w:w="50" w:type="dxa"/>
              <w:bottom w:w="50" w:type="dxa"/>
              <w:left w:w="60" w:type="dxa"/>
              <w:right w:w="60" w:type="dxa"/>
            </w:tcMar>
          </w:tcPr>
          <w:p>
            <w:pPr>
              <w:jc w:val="center"/>
            </w:pPr>
            <w:r>
              <w:rPr>
                <w:rFonts w:ascii="Arial" w:hAnsi="Arial"/>
                <w:b/>
                <w:sz w:val="16"/>
              </w:rPr>
              <w:t>2</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r>
        <w:tc>
          <w:tcPr>
            <w:tcW w:type="dxa" w:w="504"/>
            <w:tcMar>
              <w:top w:w="50" w:type="dxa"/>
              <w:bottom w:w="50" w:type="dxa"/>
              <w:left w:w="60" w:type="dxa"/>
              <w:right w:w="60" w:type="dxa"/>
            </w:tcMar>
          </w:tcPr>
          <w:p>
            <w:pPr>
              <w:jc w:val="center"/>
            </w:pPr>
            <w:r>
              <w:rPr>
                <w:rFonts w:ascii="Arial" w:hAnsi="Arial"/>
                <w:b/>
                <w:sz w:val="16"/>
              </w:rPr>
              <w:t>3</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r>
        <w:tc>
          <w:tcPr>
            <w:tcW w:type="dxa" w:w="504"/>
            <w:tcMar>
              <w:top w:w="50" w:type="dxa"/>
              <w:bottom w:w="50" w:type="dxa"/>
              <w:left w:w="60" w:type="dxa"/>
              <w:right w:w="60" w:type="dxa"/>
            </w:tcMar>
          </w:tcPr>
          <w:p>
            <w:pPr>
              <w:jc w:val="center"/>
            </w:pPr>
            <w:r>
              <w:rPr>
                <w:rFonts w:ascii="Arial" w:hAnsi="Arial"/>
                <w:b/>
                <w:sz w:val="16"/>
              </w:rPr>
              <w:t>4</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bl>
    <w:p>
      <w:pPr>
        <w:spacing w:after="80"/>
      </w:pPr>
    </w:p>
    <w:p>
      <w:pPr>
        <w:keepNext/>
        <w:spacing w:before="120" w:after="40"/>
      </w:pPr>
      <w:r>
        <w:rPr>
          <w:rFonts w:ascii="Arial" w:hAnsi="Arial"/>
          <w:b/>
          <w:sz w:val="20"/>
        </w:rPr>
        <w:t>D. CLIENT TESTING RESULT</w:t>
      </w:r>
    </w:p>
    <w:p>
      <w:pPr>
        <w:spacing w:before="0" w:after="40"/>
      </w:pPr>
      <w:r>
        <w:rPr>
          <w:rFonts w:ascii="Arial" w:hAnsi="Arial"/>
          <w:sz w:val="17"/>
        </w:rPr>
        <w:t>Based on the testing performed, the system is:</w:t>
      </w:r>
    </w:p>
    <w:p>
      <w:pPr>
        <w:spacing w:before="20" w:after="20"/>
      </w:pPr>
      <w:r>
        <w:rPr>
          <w:rFonts w:ascii="Arial" w:hAnsi="Arial"/>
          <w:sz w:val="17"/>
        </w:rPr>
        <w:t>☐ ACCEPTED — major required functions operated satisfactorily and no critical issue prevents intended use.</w:t>
      </w:r>
    </w:p>
    <w:p>
      <w:pPr>
        <w:spacing w:before="20" w:after="20"/>
      </w:pPr>
      <w:r>
        <w:rPr>
          <w:rFonts w:ascii="Arial" w:hAnsi="Arial"/>
          <w:sz w:val="17"/>
        </w:rPr>
        <w:t>☐ ACCEPTED WITH MINOR REVISIONS — the system is generally usable, subject to the corrections listed above.</w:t>
      </w:r>
    </w:p>
    <w:p>
      <w:pPr>
        <w:spacing w:before="20" w:after="20"/>
      </w:pPr>
      <w:r>
        <w:rPr>
          <w:rFonts w:ascii="Arial" w:hAnsi="Arial"/>
          <w:sz w:val="17"/>
        </w:rPr>
        <w:t>☐ FOR REVISION AND RETESTING — one or more significant issues must be corrected before acceptance.</w:t>
      </w:r>
    </w:p>
    <w:p>
      <w:pPr>
        <w:spacing w:before="80" w:after="200"/>
      </w:pPr>
      <w:r>
        <w:rPr>
          <w:sz w:val="17"/>
        </w:rPr>
        <w:t>Client Comments / Recommendations:</w:t>
        <w:br/>
        <w:t>_______________________________________________________________________________________________</w:t>
        <w:br/>
        <w:t>_______________________________________________________________________________________________</w:t>
      </w:r>
    </w:p>
    <w:tbl>
      <w:tblPr>
        <w:tblW w:type="auto" w:w="0"/>
        <w:jc w:val="center"/>
        <w:tblLook w:firstColumn="1" w:firstRow="1" w:lastColumn="0" w:lastRow="0" w:noHBand="0" w:noVBand="1" w:val="04A0"/>
        <w:tblBorders>
          <w:top w:val="none" w:sz="4" w:space="0" w:color="B0C4DE"/>
          <w:left w:val="none" w:sz="4" w:space="0" w:color="B0C4DE"/>
          <w:bottom w:val="none" w:sz="4" w:space="0" w:color="B0C4DE"/>
          <w:right w:val="none" w:sz="4" w:space="0" w:color="B0C4DE"/>
          <w:insideH w:val="none" w:sz="4" w:space="0" w:color="B0C4DE"/>
          <w:insideV w:val="none" w:sz="4" w:space="0" w:color="B0C4DE"/>
        </w:tblBorders>
      </w:tblPr>
      <w:tblGrid>
        <w:gridCol w:w="5256"/>
        <w:gridCol w:w="5256"/>
      </w:tblGrid>
      <w:tr>
        <w:tc>
          <w:tcPr>
            <w:tcW w:type="dxa" w:w="5328"/>
          </w:tcPr>
          <w:p>
            <w:pPr>
              <w:spacing w:before="120"/>
            </w:pPr>
            <w:r>
              <w:rPr>
                <w:b/>
              </w:rPr>
              <w:t>_________________________________________</w:t>
              <w:br/>
            </w:r>
            <w:r>
              <w:rPr>
                <w:sz w:val="17"/>
              </w:rPr>
              <w:t>OSA Director / Super Administrator Signature over Printed Name</w:t>
              <w:br/>
              <w:t>Date: ________________________</w:t>
            </w:r>
          </w:p>
        </w:tc>
        <w:tc>
          <w:tcPr>
            <w:tcW w:type="dxa" w:w="5328"/>
          </w:tcPr>
          <w:p>
            <w:pPr>
              <w:spacing w:before="120"/>
            </w:pPr>
            <w:r>
              <w:rPr>
                <w:b/>
              </w:rPr>
              <w:t>_________________________________________</w:t>
              <w:br/>
            </w:r>
            <w:r>
              <w:rPr>
                <w:sz w:val="17"/>
              </w:rPr>
              <w:t>JOSHUA RAZON / NORIEL GADIANO / JOHN ANDREI CARILLO II</w:t>
              <w:br/>
              <w:t>Student Researchers / Project Leaders</w:t>
              <w:br/>
              <w:t>Date: ________________________</w:t>
            </w:r>
          </w:p>
        </w:tc>
      </w:tr>
    </w:tbl>
    <w:p>
      <w:r>
        <w:br w:type="page"/>
      </w:r>
    </w:p>
    <w:p>
      <w:pPr>
        <w:spacing w:before="0" w:after="40"/>
        <w:jc w:val="center"/>
      </w:pPr>
      <w:r>
        <w:rPr>
          <w:rFonts w:ascii="Arial" w:hAnsi="Arial"/>
          <w:b/>
          <w:sz w:val="23"/>
        </w:rPr>
        <w:t>END-USER SYSTEM EVALUATION FORM</w:t>
        <w:br/>
      </w:r>
      <w:r>
        <w:rPr>
          <w:rFonts w:ascii="Arial" w:hAnsi="Arial"/>
          <w:sz w:val="19"/>
        </w:rPr>
        <w:t>ISO/IEC 25010:2023-Aligned Product Quality Evaluation</w:t>
        <w:br/>
      </w:r>
      <w:r>
        <w:rPr>
          <w:rFonts w:ascii="Arial" w:hAnsi="Arial"/>
          <w:b/>
          <w:i/>
          <w:sz w:val="18"/>
        </w:rPr>
        <w:t>Evaluation Instrument — Super Administrator &amp; OSA Director Role</w:t>
      </w:r>
    </w:p>
    <w:p>
      <w:pPr>
        <w:spacing w:before="80" w:after="60"/>
        <w:jc w:val="both"/>
      </w:pPr>
      <w:r>
        <w:rPr>
          <w:b/>
        </w:rPr>
        <w:t xml:space="preserve">Purpose. </w:t>
      </w:r>
      <w:r>
        <w:rPr>
          <w:sz w:val="17"/>
        </w:rPr>
        <w:t>This questionnaire gathers end-user feedback on system quality after actual use or guided testing. The statements are written in end-user language and aligned with relevant ISO/IEC 25010:2023 product quality characteristics. Use N/A when a statement is not applicable or cannot reasonably be evaluated.</w:t>
      </w:r>
    </w:p>
    <w:p>
      <w:pPr>
        <w:keepNext/>
        <w:spacing w:before="60" w:after="40"/>
      </w:pPr>
      <w:r>
        <w:rPr>
          <w:b/>
          <w:sz w:val="18"/>
        </w:rPr>
        <w:t>PRIVACY AND VOLUNTARY PARTICIPATION NOTICE</w:t>
      </w:r>
    </w:p>
    <w:p>
      <w:pPr>
        <w:spacing w:before="0" w:after="80"/>
        <w:jc w:val="both"/>
      </w:pPr>
      <w:r>
        <w:rPr>
          <w:sz w:val="17"/>
        </w:rPr>
        <w:t>Participation is voluntary. Responses will be used only for system evaluation, academic documentation, and project improvement. Personal information, if collected, should be limited to what is necessary and should not be disclosed to unauthorized persons in accordance with R.A. 10173 (Data Privacy Act of 2012). Optional profile fields may be left blank.</w:t>
      </w:r>
    </w:p>
    <w:p>
      <w:pPr>
        <w:keepNext/>
        <w:spacing w:before="60" w:after="40"/>
      </w:pPr>
      <w:r>
        <w:rPr>
          <w:b/>
          <w:sz w:val="18"/>
        </w:rPr>
        <w:t>RATING SCALE</w:t>
      </w:r>
    </w:p>
    <w:p>
      <w:pPr>
        <w:spacing w:before="0" w:after="40"/>
      </w:pPr>
      <w:r>
        <w:rPr>
          <w:sz w:val="16"/>
        </w:rPr>
        <w:t>5 - Strongly Agree     4 - Agree     3 - Neither Agree nor Disagree     2 - Disagree     1 - Strongly Disagree     N/A - Not Applicable / Cannot Evaluate</w:t>
      </w:r>
    </w:p>
    <w:p>
      <w:pPr>
        <w:spacing w:before="0" w:after="80"/>
      </w:pPr>
      <w:r>
        <w:rPr>
          <w:b/>
          <w:sz w:val="17"/>
        </w:rPr>
        <w:t>Direction: After using the system, check one rating for each statement.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628"/>
        <w:gridCol w:w="2628"/>
        <w:gridCol w:w="2628"/>
        <w:gridCol w:w="2628"/>
      </w:tblGrid>
      <w:tr>
        <w:tc>
          <w:tcPr>
            <w:tcW w:type="dxa" w:w="2592"/>
            <w:tcMar>
              <w:top w:w="50" w:type="dxa"/>
              <w:bottom w:w="50" w:type="dxa"/>
              <w:left w:w="60" w:type="dxa"/>
              <w:right w:w="60" w:type="dxa"/>
            </w:tcMar>
            <w:shd w:val="clear" w:color="auto" w:fill="F3F4F6"/>
          </w:tcPr>
          <w:p>
            <w:pPr>
              <w:spacing w:after="0"/>
            </w:pPr>
            <w:r>
              <w:rPr>
                <w:rFonts w:ascii="Arial" w:hAnsi="Arial"/>
                <w:b/>
                <w:sz w:val="16"/>
              </w:rPr>
              <w:t>Project / System Title</w:t>
            </w:r>
          </w:p>
        </w:tc>
        <w:tc>
          <w:tcPr>
            <w:tcW w:type="dxa" w:w="3168"/>
            <w:tcMar>
              <w:top w:w="50" w:type="dxa"/>
              <w:bottom w:w="50" w:type="dxa"/>
              <w:left w:w="60" w:type="dxa"/>
              <w:right w:w="60" w:type="dxa"/>
            </w:tcMar>
          </w:tcPr>
          <w:p>
            <w:pPr>
              <w:spacing w:after="0"/>
            </w:pPr>
            <w:r>
              <w:rPr>
                <w:rFonts w:ascii="Arial" w:hAnsi="Arial"/>
                <w:sz w:val="16"/>
              </w:rPr>
              <w:t>A.E.G.I.S. (Automated Evaluation &amp; Grade Integrity System)</w:t>
            </w:r>
          </w:p>
        </w:tc>
        <w:tc>
          <w:tcPr>
            <w:tcW w:type="dxa" w:w="2160"/>
            <w:tcMar>
              <w:top w:w="50" w:type="dxa"/>
              <w:bottom w:w="50" w:type="dxa"/>
              <w:left w:w="60" w:type="dxa"/>
              <w:right w:w="60" w:type="dxa"/>
            </w:tcMar>
            <w:shd w:val="clear" w:color="auto" w:fill="F3F4F6"/>
          </w:tcPr>
          <w:p>
            <w:pPr>
              <w:spacing w:after="0"/>
            </w:pPr>
            <w:r>
              <w:rPr>
                <w:rFonts w:ascii="Arial" w:hAnsi="Arial"/>
                <w:b/>
                <w:sz w:val="16"/>
              </w:rPr>
              <w:t>Date of Evaluation</w:t>
            </w:r>
          </w:p>
        </w:tc>
        <w:tc>
          <w:tcPr>
            <w:tcW w:type="dxa" w:w="2736"/>
            <w:tcMar>
              <w:top w:w="50" w:type="dxa"/>
              <w:bottom w:w="50" w:type="dxa"/>
              <w:left w:w="60" w:type="dxa"/>
              <w:right w:w="60" w:type="dxa"/>
            </w:tcMar>
          </w:tcPr>
          <w:p>
            <w:pPr>
              <w:spacing w:after="0"/>
            </w:pPr>
            <w:r>
              <w:rPr>
                <w:rFonts w:ascii="Arial" w:hAnsi="Arial"/>
                <w:sz w:val="16"/>
              </w:rPr>
              <w:t>October 2026</w:t>
            </w:r>
          </w:p>
        </w:tc>
      </w:tr>
      <w:tr>
        <w:tc>
          <w:tcPr>
            <w:tcW w:type="dxa" w:w="2592"/>
            <w:tcMar>
              <w:top w:w="50" w:type="dxa"/>
              <w:bottom w:w="50" w:type="dxa"/>
              <w:left w:w="60" w:type="dxa"/>
              <w:right w:w="60" w:type="dxa"/>
            </w:tcMar>
            <w:shd w:val="clear" w:color="auto" w:fill="F3F4F6"/>
          </w:tcPr>
          <w:p>
            <w:pPr>
              <w:spacing w:after="0"/>
            </w:pPr>
            <w:r>
              <w:rPr>
                <w:rFonts w:ascii="Arial" w:hAnsi="Arial"/>
                <w:b/>
                <w:sz w:val="16"/>
              </w:rPr>
              <w:t>Respondent Role / User Type</w:t>
            </w:r>
          </w:p>
        </w:tc>
        <w:tc>
          <w:tcPr>
            <w:tcW w:type="dxa" w:w="3168"/>
            <w:tcMar>
              <w:top w:w="50" w:type="dxa"/>
              <w:bottom w:w="50" w:type="dxa"/>
              <w:left w:w="60" w:type="dxa"/>
              <w:right w:w="60" w:type="dxa"/>
            </w:tcMar>
          </w:tcPr>
          <w:p>
            <w:pPr>
              <w:spacing w:after="0"/>
            </w:pPr>
            <w:r>
              <w:rPr>
                <w:rFonts w:ascii="Arial" w:hAnsi="Arial"/>
                <w:sz w:val="16"/>
              </w:rPr>
              <w:t>☐ Student Applicant   ☒ OSA Evaluator / Administrator   ☐ IT Expert / Faculty Evaluator</w:t>
            </w:r>
          </w:p>
        </w:tc>
        <w:tc>
          <w:tcPr>
            <w:tcW w:type="dxa" w:w="2160"/>
            <w:tcMar>
              <w:top w:w="50" w:type="dxa"/>
              <w:bottom w:w="50" w:type="dxa"/>
              <w:left w:w="60" w:type="dxa"/>
              <w:right w:w="60" w:type="dxa"/>
            </w:tcMar>
            <w:shd w:val="clear" w:color="auto" w:fill="F3F4F6"/>
          </w:tcPr>
          <w:p>
            <w:pPr>
              <w:spacing w:after="0"/>
            </w:pPr>
            <w:r>
              <w:rPr>
                <w:rFonts w:ascii="Arial" w:hAnsi="Arial"/>
                <w:b/>
                <w:sz w:val="16"/>
              </w:rPr>
              <w:t>Organization / Office</w:t>
            </w:r>
          </w:p>
        </w:tc>
        <w:tc>
          <w:tcPr>
            <w:tcW w:type="dxa" w:w="2736"/>
            <w:tcMar>
              <w:top w:w="50" w:type="dxa"/>
              <w:bottom w:w="50" w:type="dxa"/>
              <w:left w:w="60" w:type="dxa"/>
              <w:right w:w="60" w:type="dxa"/>
            </w:tcMar>
          </w:tcPr>
          <w:p>
            <w:pPr>
              <w:spacing w:after="0"/>
            </w:pPr>
            <w:r>
              <w:rPr>
                <w:rFonts w:ascii="Arial" w:hAnsi="Arial"/>
                <w:sz w:val="16"/>
              </w:rPr>
              <w:t>Central Luzon State University — Office of Student Affairs (CLSU OSA)</w:t>
            </w:r>
          </w:p>
        </w:tc>
      </w:tr>
    </w:tbl>
    <w:p>
      <w:pPr>
        <w:spacing w:after="8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504"/>
        <w:gridCol w:w="3504"/>
        <w:gridCol w:w="3504"/>
      </w:tblGrid>
      <w:tr>
        <w:tc>
          <w:tcPr>
            <w:tcW w:type="dxa" w:w="648"/>
            <w:shd w:val="clear" w:color="auto" w:fill="D9EAF7"/>
            <w:tcMar>
              <w:top w:w="60" w:type="dxa"/>
              <w:bottom w:w="60" w:type="dxa"/>
              <w:left w:w="60" w:type="dxa"/>
              <w:right w:w="60" w:type="dxa"/>
            </w:tcMar>
          </w:tcPr>
          <w:p>
            <w:pPr>
              <w:jc w:val="center"/>
            </w:pPr>
            <w:r>
              <w:rPr>
                <w:rFonts w:ascii="Arial" w:hAnsi="Arial"/>
                <w:b/>
                <w:sz w:val="17"/>
              </w:rPr>
              <w:t>No.</w:t>
            </w:r>
          </w:p>
        </w:tc>
        <w:tc>
          <w:tcPr>
            <w:tcW w:type="dxa" w:w="6768"/>
            <w:shd w:val="clear" w:color="auto" w:fill="D9EAF7"/>
            <w:tcMar>
              <w:top w:w="60" w:type="dxa"/>
              <w:bottom w:w="60" w:type="dxa"/>
              <w:left w:w="60" w:type="dxa"/>
              <w:right w:w="60" w:type="dxa"/>
            </w:tcMar>
          </w:tcPr>
          <w:p>
            <w:r>
              <w:rPr>
                <w:rFonts w:ascii="Arial" w:hAnsi="Arial"/>
                <w:b/>
                <w:sz w:val="17"/>
              </w:rPr>
              <w:t>Evaluation Statement</w:t>
            </w:r>
          </w:p>
        </w:tc>
        <w:tc>
          <w:tcPr>
            <w:tcW w:type="dxa" w:w="3240"/>
            <w:shd w:val="clear" w:color="auto" w:fill="D9EAF7"/>
            <w:tcMar>
              <w:top w:w="60" w:type="dxa"/>
              <w:bottom w:w="60" w:type="dxa"/>
              <w:left w:w="60" w:type="dxa"/>
              <w:right w:w="60" w:type="dxa"/>
            </w:tcMar>
          </w:tcPr>
          <w:p>
            <w:pPr>
              <w:jc w:val="center"/>
            </w:pPr>
            <w:r>
              <w:rPr>
                <w:rFonts w:ascii="Arial" w:hAnsi="Arial"/>
                <w:b/>
                <w:sz w:val="17"/>
              </w:rPr>
              <w:t>Rating</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1. FUNCTIONAL SUITABILITY</w:t>
            </w:r>
          </w:p>
        </w:tc>
      </w:tr>
      <w:tr>
        <w:tc>
          <w:tcPr>
            <w:tcW w:type="dxa" w:w="648"/>
            <w:tcMar>
              <w:top w:w="40" w:type="dxa"/>
              <w:bottom w:w="40" w:type="dxa"/>
              <w:left w:w="50" w:type="dxa"/>
              <w:right w:w="50" w:type="dxa"/>
            </w:tcMar>
          </w:tcPr>
          <w:p>
            <w:pPr>
              <w:spacing w:after="0"/>
              <w:jc w:val="center"/>
            </w:pPr>
            <w:r>
              <w:rPr>
                <w:rFonts w:ascii="Arial" w:hAnsi="Arial"/>
                <w:b/>
                <w:sz w:val="16"/>
              </w:rPr>
              <w:t>1</w:t>
            </w:r>
          </w:p>
        </w:tc>
        <w:tc>
          <w:tcPr>
            <w:tcW w:type="dxa" w:w="6768"/>
            <w:tcMar>
              <w:top w:w="40" w:type="dxa"/>
              <w:bottom w:w="40" w:type="dxa"/>
              <w:left w:w="60" w:type="dxa"/>
              <w:right w:w="60" w:type="dxa"/>
            </w:tcMar>
          </w:tcPr>
          <w:p>
            <w:pPr>
              <w:spacing w:after="0"/>
            </w:pPr>
            <w:r>
              <w:rPr>
                <w:rFonts w:ascii="Arial" w:hAnsi="Arial"/>
                <w:sz w:val="16"/>
              </w:rPr>
              <w:t>The system provides complete executive functions to govern scholarship programs, quotas, and compliance reporting.</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w:t>
            </w:r>
          </w:p>
        </w:tc>
        <w:tc>
          <w:tcPr>
            <w:tcW w:type="dxa" w:w="6768"/>
            <w:tcMar>
              <w:top w:w="40" w:type="dxa"/>
              <w:bottom w:w="40" w:type="dxa"/>
              <w:left w:w="60" w:type="dxa"/>
              <w:right w:w="60" w:type="dxa"/>
            </w:tcMar>
          </w:tcPr>
          <w:p>
            <w:pPr>
              <w:spacing w:after="0"/>
            </w:pPr>
            <w:r>
              <w:rPr>
                <w:rFonts w:ascii="Arial" w:hAnsi="Arial"/>
                <w:sz w:val="16"/>
              </w:rPr>
              <w:t>The system produces accurate statistical aggregates, compliance masterlists, and tamper-evident audit logs.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3</w:t>
            </w:r>
          </w:p>
        </w:tc>
        <w:tc>
          <w:tcPr>
            <w:tcW w:type="dxa" w:w="6768"/>
            <w:tcMar>
              <w:top w:w="40" w:type="dxa"/>
              <w:bottom w:w="40" w:type="dxa"/>
              <w:left w:w="60" w:type="dxa"/>
              <w:right w:w="60" w:type="dxa"/>
            </w:tcMar>
          </w:tcPr>
          <w:p>
            <w:pPr>
              <w:spacing w:after="0"/>
            </w:pPr>
            <w:r>
              <w:rPr>
                <w:rFonts w:ascii="Arial" w:hAnsi="Arial"/>
                <w:sz w:val="16"/>
              </w:rPr>
              <w:t>The available administrative features help the Office of Student Affairs manage the full scholarship lifecycle effectively.</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2. PERFORMANCE EFFICIENCY</w:t>
            </w:r>
          </w:p>
        </w:tc>
      </w:tr>
      <w:tr>
        <w:tc>
          <w:tcPr>
            <w:tcW w:type="dxa" w:w="648"/>
            <w:tcMar>
              <w:top w:w="40" w:type="dxa"/>
              <w:bottom w:w="40" w:type="dxa"/>
              <w:left w:w="50" w:type="dxa"/>
              <w:right w:w="50" w:type="dxa"/>
            </w:tcMar>
          </w:tcPr>
          <w:p>
            <w:pPr>
              <w:spacing w:after="0"/>
              <w:jc w:val="center"/>
            </w:pPr>
            <w:r>
              <w:rPr>
                <w:rFonts w:ascii="Arial" w:hAnsi="Arial"/>
                <w:b/>
                <w:sz w:val="16"/>
              </w:rPr>
              <w:t>4</w:t>
            </w:r>
          </w:p>
        </w:tc>
        <w:tc>
          <w:tcPr>
            <w:tcW w:type="dxa" w:w="6768"/>
            <w:tcMar>
              <w:top w:w="40" w:type="dxa"/>
              <w:bottom w:w="40" w:type="dxa"/>
              <w:left w:w="60" w:type="dxa"/>
              <w:right w:w="60" w:type="dxa"/>
            </w:tcMar>
          </w:tcPr>
          <w:p>
            <w:pPr>
              <w:spacing w:after="0"/>
            </w:pPr>
            <w:r>
              <w:rPr>
                <w:rFonts w:ascii="Arial" w:hAnsi="Arial"/>
                <w:sz w:val="16"/>
              </w:rPr>
              <w:t>The executive analytics dashboard and administrative management screens load within acceptable timeframes.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5</w:t>
            </w:r>
          </w:p>
        </w:tc>
        <w:tc>
          <w:tcPr>
            <w:tcW w:type="dxa" w:w="6768"/>
            <w:tcMar>
              <w:top w:w="40" w:type="dxa"/>
              <w:bottom w:w="40" w:type="dxa"/>
              <w:left w:w="60" w:type="dxa"/>
              <w:right w:w="60" w:type="dxa"/>
            </w:tcMar>
          </w:tcPr>
          <w:p>
            <w:pPr>
              <w:spacing w:after="0"/>
            </w:pPr>
            <w:r>
              <w:rPr>
                <w:rFonts w:ascii="Arial" w:hAnsi="Arial"/>
                <w:sz w:val="16"/>
              </w:rPr>
              <w:t>Exportable CSV reports and authenticated PDF compliance summaries generate rapidly without server timeouts.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6</w:t>
            </w:r>
          </w:p>
        </w:tc>
        <w:tc>
          <w:tcPr>
            <w:tcW w:type="dxa" w:w="6768"/>
            <w:tcMar>
              <w:top w:w="40" w:type="dxa"/>
              <w:bottom w:w="40" w:type="dxa"/>
              <w:left w:w="60" w:type="dxa"/>
              <w:right w:w="60" w:type="dxa"/>
            </w:tcMar>
          </w:tcPr>
          <w:p>
            <w:pPr>
              <w:spacing w:after="0"/>
            </w:pPr>
            <w:r>
              <w:rPr>
                <w:rFonts w:ascii="Arial" w:hAnsi="Arial"/>
                <w:sz w:val="16"/>
              </w:rPr>
              <w:t>The system maintains high performance efficiency during concurrent administrative and evaluation operations.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3. COMPATIBILITY</w:t>
            </w:r>
          </w:p>
        </w:tc>
      </w:tr>
      <w:tr>
        <w:tc>
          <w:tcPr>
            <w:tcW w:type="dxa" w:w="648"/>
            <w:tcMar>
              <w:top w:w="40" w:type="dxa"/>
              <w:bottom w:w="40" w:type="dxa"/>
              <w:left w:w="50" w:type="dxa"/>
              <w:right w:w="50" w:type="dxa"/>
            </w:tcMar>
          </w:tcPr>
          <w:p>
            <w:pPr>
              <w:spacing w:after="0"/>
              <w:jc w:val="center"/>
            </w:pPr>
            <w:r>
              <w:rPr>
                <w:rFonts w:ascii="Arial" w:hAnsi="Arial"/>
                <w:b/>
                <w:sz w:val="16"/>
              </w:rPr>
              <w:t>7</w:t>
            </w:r>
          </w:p>
        </w:tc>
        <w:tc>
          <w:tcPr>
            <w:tcW w:type="dxa" w:w="6768"/>
            <w:tcMar>
              <w:top w:w="40" w:type="dxa"/>
              <w:bottom w:w="40" w:type="dxa"/>
              <w:left w:w="60" w:type="dxa"/>
              <w:right w:w="60" w:type="dxa"/>
            </w:tcMar>
          </w:tcPr>
          <w:p>
            <w:pPr>
              <w:spacing w:after="0"/>
            </w:pPr>
            <w:r>
              <w:rPr>
                <w:rFonts w:ascii="Arial" w:hAnsi="Arial"/>
                <w:sz w:val="16"/>
              </w:rPr>
              <w:t>The administrative portal operates reliably across executive workstations, office PCs, and modern browsers.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8</w:t>
            </w:r>
          </w:p>
        </w:tc>
        <w:tc>
          <w:tcPr>
            <w:tcW w:type="dxa" w:w="6768"/>
            <w:tcMar>
              <w:top w:w="40" w:type="dxa"/>
              <w:bottom w:w="40" w:type="dxa"/>
              <w:left w:w="60" w:type="dxa"/>
              <w:right w:w="60" w:type="dxa"/>
            </w:tcMar>
          </w:tcPr>
          <w:p>
            <w:pPr>
              <w:spacing w:after="0"/>
            </w:pPr>
            <w:r>
              <w:rPr>
                <w:rFonts w:ascii="Arial" w:hAnsi="Arial"/>
                <w:sz w:val="16"/>
              </w:rPr>
              <w:t>Exported CSV and PDF compliance files integrate cleanly with institutional spreadsheets and CHED/DOST reporting portals.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4. INTERACTION CAPABILITY</w:t>
            </w:r>
          </w:p>
        </w:tc>
      </w:tr>
      <w:tr>
        <w:tc>
          <w:tcPr>
            <w:tcW w:type="dxa" w:w="648"/>
            <w:tcMar>
              <w:top w:w="40" w:type="dxa"/>
              <w:bottom w:w="40" w:type="dxa"/>
              <w:left w:w="50" w:type="dxa"/>
              <w:right w:w="50" w:type="dxa"/>
            </w:tcMar>
          </w:tcPr>
          <w:p>
            <w:pPr>
              <w:spacing w:after="0"/>
              <w:jc w:val="center"/>
            </w:pPr>
            <w:r>
              <w:rPr>
                <w:rFonts w:ascii="Arial" w:hAnsi="Arial"/>
                <w:b/>
                <w:sz w:val="16"/>
              </w:rPr>
              <w:t>9</w:t>
            </w:r>
          </w:p>
        </w:tc>
        <w:tc>
          <w:tcPr>
            <w:tcW w:type="dxa" w:w="6768"/>
            <w:tcMar>
              <w:top w:w="40" w:type="dxa"/>
              <w:bottom w:w="40" w:type="dxa"/>
              <w:left w:w="60" w:type="dxa"/>
              <w:right w:w="60" w:type="dxa"/>
            </w:tcMar>
          </w:tcPr>
          <w:p>
            <w:pPr>
              <w:spacing w:after="0"/>
            </w:pPr>
            <w:r>
              <w:rPr>
                <w:rFonts w:ascii="Arial" w:hAnsi="Arial"/>
                <w:sz w:val="16"/>
              </w:rPr>
              <w:t>It is easy to understand the high-level metrics, grade integrity indices, and administrative settings of the system.</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10</w:t>
            </w:r>
          </w:p>
        </w:tc>
        <w:tc>
          <w:tcPr>
            <w:tcW w:type="dxa" w:w="6768"/>
            <w:tcMar>
              <w:top w:w="40" w:type="dxa"/>
              <w:bottom w:w="40" w:type="dxa"/>
              <w:left w:w="60" w:type="dxa"/>
              <w:right w:w="60" w:type="dxa"/>
            </w:tcMar>
          </w:tcPr>
          <w:p>
            <w:pPr>
              <w:spacing w:after="0"/>
            </w:pPr>
            <w:r>
              <w:rPr>
                <w:rFonts w:ascii="Arial" w:hAnsi="Arial"/>
                <w:sz w:val="16"/>
              </w:rPr>
              <w:t>Administrative personnel can learn to configure new scholarship programs and custom fields with minimal guidance.</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11</w:t>
            </w:r>
          </w:p>
        </w:tc>
        <w:tc>
          <w:tcPr>
            <w:tcW w:type="dxa" w:w="6768"/>
            <w:tcMar>
              <w:top w:w="40" w:type="dxa"/>
              <w:bottom w:w="40" w:type="dxa"/>
              <w:left w:w="60" w:type="dxa"/>
              <w:right w:w="60" w:type="dxa"/>
            </w:tcMar>
          </w:tcPr>
          <w:p>
            <w:pPr>
              <w:spacing w:after="0"/>
            </w:pPr>
            <w:r>
              <w:rPr>
                <w:rFonts w:ascii="Arial" w:hAnsi="Arial"/>
                <w:sz w:val="16"/>
              </w:rPr>
              <w:t>The navigation bars, buttons, custom field reorder controls, and program toggles are clear and intuitive.</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12</w:t>
            </w:r>
          </w:p>
        </w:tc>
        <w:tc>
          <w:tcPr>
            <w:tcW w:type="dxa" w:w="6768"/>
            <w:tcMar>
              <w:top w:w="40" w:type="dxa"/>
              <w:bottom w:w="40" w:type="dxa"/>
              <w:left w:w="60" w:type="dxa"/>
              <w:right w:w="60" w:type="dxa"/>
            </w:tcMar>
          </w:tcPr>
          <w:p>
            <w:pPr>
              <w:spacing w:after="0"/>
            </w:pPr>
            <w:r>
              <w:rPr>
                <w:rFonts w:ascii="Arial" w:hAnsi="Arial"/>
                <w:sz w:val="16"/>
              </w:rPr>
              <w:t>The system prevents catastrophic administrative mistakes by requiring confirmation before destructive actions.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13</w:t>
            </w:r>
          </w:p>
        </w:tc>
        <w:tc>
          <w:tcPr>
            <w:tcW w:type="dxa" w:w="6768"/>
            <w:tcMar>
              <w:top w:w="40" w:type="dxa"/>
              <w:bottom w:w="40" w:type="dxa"/>
              <w:left w:w="60" w:type="dxa"/>
              <w:right w:w="60" w:type="dxa"/>
            </w:tcMar>
          </w:tcPr>
          <w:p>
            <w:pPr>
              <w:spacing w:after="0"/>
            </w:pPr>
            <w:r>
              <w:rPr>
                <w:rFonts w:ascii="Arial" w:hAnsi="Arial"/>
                <w:sz w:val="16"/>
              </w:rPr>
              <w:t>The administrative dashboard is visually balanced, professional, and well-structured for strategic oversight.</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5. RELIABILITY</w:t>
            </w:r>
          </w:p>
        </w:tc>
      </w:tr>
      <w:tr>
        <w:tc>
          <w:tcPr>
            <w:tcW w:type="dxa" w:w="648"/>
            <w:tcMar>
              <w:top w:w="40" w:type="dxa"/>
              <w:bottom w:w="40" w:type="dxa"/>
              <w:left w:w="50" w:type="dxa"/>
              <w:right w:w="50" w:type="dxa"/>
            </w:tcMar>
          </w:tcPr>
          <w:p>
            <w:pPr>
              <w:spacing w:after="0"/>
              <w:jc w:val="center"/>
            </w:pPr>
            <w:r>
              <w:rPr>
                <w:rFonts w:ascii="Arial" w:hAnsi="Arial"/>
                <w:b/>
                <w:sz w:val="16"/>
              </w:rPr>
              <w:t>14</w:t>
            </w:r>
          </w:p>
        </w:tc>
        <w:tc>
          <w:tcPr>
            <w:tcW w:type="dxa" w:w="6768"/>
            <w:tcMar>
              <w:top w:w="40" w:type="dxa"/>
              <w:bottom w:w="40" w:type="dxa"/>
              <w:left w:w="60" w:type="dxa"/>
              <w:right w:w="60" w:type="dxa"/>
            </w:tcMar>
          </w:tcPr>
          <w:p>
            <w:pPr>
              <w:spacing w:after="0"/>
            </w:pPr>
            <w:r>
              <w:rPr>
                <w:rFonts w:ascii="Arial" w:hAnsi="Arial"/>
                <w:sz w:val="16"/>
              </w:rPr>
              <w:t>The administrative platform operates continuously and reliably without unexpected service interruptions.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15</w:t>
            </w:r>
          </w:p>
        </w:tc>
        <w:tc>
          <w:tcPr>
            <w:tcW w:type="dxa" w:w="6768"/>
            <w:tcMar>
              <w:top w:w="40" w:type="dxa"/>
              <w:bottom w:w="40" w:type="dxa"/>
              <w:left w:w="60" w:type="dxa"/>
              <w:right w:w="60" w:type="dxa"/>
            </w:tcMar>
          </w:tcPr>
          <w:p>
            <w:pPr>
              <w:spacing w:after="0"/>
            </w:pPr>
            <w:r>
              <w:rPr>
                <w:rFonts w:ascii="Arial" w:hAnsi="Arial"/>
                <w:sz w:val="16"/>
              </w:rPr>
              <w:t>The system is available and accessible whenever executive reviews or statutory compliance reports are required.</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16</w:t>
            </w:r>
          </w:p>
        </w:tc>
        <w:tc>
          <w:tcPr>
            <w:tcW w:type="dxa" w:w="6768"/>
            <w:tcMar>
              <w:top w:w="40" w:type="dxa"/>
              <w:bottom w:w="40" w:type="dxa"/>
              <w:left w:w="60" w:type="dxa"/>
              <w:right w:w="60" w:type="dxa"/>
            </w:tcMar>
          </w:tcPr>
          <w:p>
            <w:pPr>
              <w:spacing w:after="0"/>
            </w:pPr>
            <w:r>
              <w:rPr>
                <w:rFonts w:ascii="Arial" w:hAnsi="Arial"/>
                <w:sz w:val="16"/>
              </w:rPr>
              <w:t>The system handles heavy transaction volumes without data corruption or database deadlocks.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17</w:t>
            </w:r>
          </w:p>
        </w:tc>
        <w:tc>
          <w:tcPr>
            <w:tcW w:type="dxa" w:w="6768"/>
            <w:tcMar>
              <w:top w:w="40" w:type="dxa"/>
              <w:bottom w:w="40" w:type="dxa"/>
              <w:left w:w="60" w:type="dxa"/>
              <w:right w:w="60" w:type="dxa"/>
            </w:tcMar>
          </w:tcPr>
          <w:p>
            <w:pPr>
              <w:spacing w:after="0"/>
            </w:pPr>
            <w:r>
              <w:rPr>
                <w:rFonts w:ascii="Arial" w:hAnsi="Arial"/>
                <w:sz w:val="16"/>
              </w:rPr>
              <w:t>The soft-deletion and trash recovery mechanisms protect institutional records against accidental permanent data loss.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6. SECURITY</w:t>
            </w:r>
          </w:p>
        </w:tc>
      </w:tr>
      <w:tr>
        <w:tc>
          <w:tcPr>
            <w:tcW w:type="dxa" w:w="648"/>
            <w:tcMar>
              <w:top w:w="40" w:type="dxa"/>
              <w:bottom w:w="40" w:type="dxa"/>
              <w:left w:w="50" w:type="dxa"/>
              <w:right w:w="50" w:type="dxa"/>
            </w:tcMar>
          </w:tcPr>
          <w:p>
            <w:pPr>
              <w:spacing w:after="0"/>
              <w:jc w:val="center"/>
            </w:pPr>
            <w:r>
              <w:rPr>
                <w:rFonts w:ascii="Arial" w:hAnsi="Arial"/>
                <w:b/>
                <w:sz w:val="16"/>
              </w:rPr>
              <w:t>18</w:t>
            </w:r>
          </w:p>
        </w:tc>
        <w:tc>
          <w:tcPr>
            <w:tcW w:type="dxa" w:w="6768"/>
            <w:tcMar>
              <w:top w:w="40" w:type="dxa"/>
              <w:bottom w:w="40" w:type="dxa"/>
              <w:left w:w="60" w:type="dxa"/>
              <w:right w:w="60" w:type="dxa"/>
            </w:tcMar>
          </w:tcPr>
          <w:p>
            <w:pPr>
              <w:spacing w:after="0"/>
            </w:pPr>
            <w:r>
              <w:rPr>
                <w:rFonts w:ascii="Arial" w:hAnsi="Arial"/>
                <w:sz w:val="16"/>
              </w:rPr>
              <w:t>The system strictly enforces role-based access control (RBAC), restricting administrative tools to authorized personnel.</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19</w:t>
            </w:r>
          </w:p>
        </w:tc>
        <w:tc>
          <w:tcPr>
            <w:tcW w:type="dxa" w:w="6768"/>
            <w:tcMar>
              <w:top w:w="40" w:type="dxa"/>
              <w:bottom w:w="40" w:type="dxa"/>
              <w:left w:w="60" w:type="dxa"/>
              <w:right w:w="60" w:type="dxa"/>
            </w:tcMar>
          </w:tcPr>
          <w:p>
            <w:pPr>
              <w:spacing w:after="0"/>
            </w:pPr>
            <w:r>
              <w:rPr>
                <w:rFonts w:ascii="Arial" w:hAnsi="Arial"/>
                <w:sz w:val="16"/>
              </w:rPr>
              <w:t>Sensitive student PII, financial background data, and staff notes are encrypted at rest and in transit under R.A. 10173.</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20</w:t>
            </w:r>
          </w:p>
        </w:tc>
        <w:tc>
          <w:tcPr>
            <w:tcW w:type="dxa" w:w="6768"/>
            <w:tcMar>
              <w:top w:w="40" w:type="dxa"/>
              <w:bottom w:w="40" w:type="dxa"/>
              <w:left w:w="60" w:type="dxa"/>
              <w:right w:w="60" w:type="dxa"/>
            </w:tcMar>
          </w:tcPr>
          <w:p>
            <w:pPr>
              <w:spacing w:after="0"/>
            </w:pPr>
            <w:r>
              <w:rPr>
                <w:rFonts w:ascii="Arial" w:hAnsi="Arial"/>
                <w:sz w:val="16"/>
              </w:rPr>
              <w:t>The system appropriately enforces multi-factor authentication (MFA) and monitors active sessions system-wide.</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21</w:t>
            </w:r>
          </w:p>
        </w:tc>
        <w:tc>
          <w:tcPr>
            <w:tcW w:type="dxa" w:w="6768"/>
            <w:tcMar>
              <w:top w:w="40" w:type="dxa"/>
              <w:bottom w:w="40" w:type="dxa"/>
              <w:left w:w="60" w:type="dxa"/>
              <w:right w:w="60" w:type="dxa"/>
            </w:tcMar>
          </w:tcPr>
          <w:p>
            <w:pPr>
              <w:spacing w:after="0"/>
            </w:pPr>
            <w:r>
              <w:rPr>
                <w:rFonts w:ascii="Arial" w:hAnsi="Arial"/>
                <w:sz w:val="16"/>
              </w:rPr>
              <w:t>All administrative actions, data exports, and status overrides are permanently recorded in an immutable audit trail.</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7. FLEXIBILITY</w:t>
            </w:r>
          </w:p>
        </w:tc>
      </w:tr>
      <w:tr>
        <w:tc>
          <w:tcPr>
            <w:tcW w:type="dxa" w:w="648"/>
            <w:tcMar>
              <w:top w:w="40" w:type="dxa"/>
              <w:bottom w:w="40" w:type="dxa"/>
              <w:left w:w="50" w:type="dxa"/>
              <w:right w:w="50" w:type="dxa"/>
            </w:tcMar>
          </w:tcPr>
          <w:p>
            <w:pPr>
              <w:spacing w:after="0"/>
              <w:jc w:val="center"/>
            </w:pPr>
            <w:r>
              <w:rPr>
                <w:rFonts w:ascii="Arial" w:hAnsi="Arial"/>
                <w:b/>
                <w:sz w:val="16"/>
              </w:rPr>
              <w:t>22</w:t>
            </w:r>
          </w:p>
        </w:tc>
        <w:tc>
          <w:tcPr>
            <w:tcW w:type="dxa" w:w="6768"/>
            <w:tcMar>
              <w:top w:w="40" w:type="dxa"/>
              <w:bottom w:w="40" w:type="dxa"/>
              <w:left w:w="60" w:type="dxa"/>
              <w:right w:w="60" w:type="dxa"/>
            </w:tcMar>
          </w:tcPr>
          <w:p>
            <w:pPr>
              <w:spacing w:after="0"/>
            </w:pPr>
            <w:r>
              <w:rPr>
                <w:rFonts w:ascii="Arial" w:hAnsi="Arial"/>
                <w:sz w:val="16"/>
              </w:rPr>
              <w:t>The system accommodates diverse scholarship structures, funding models, and academic eligibility requirements.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23</w:t>
            </w:r>
          </w:p>
        </w:tc>
        <w:tc>
          <w:tcPr>
            <w:tcW w:type="dxa" w:w="6768"/>
            <w:tcMar>
              <w:top w:w="40" w:type="dxa"/>
              <w:bottom w:w="40" w:type="dxa"/>
              <w:left w:w="60" w:type="dxa"/>
              <w:right w:w="60" w:type="dxa"/>
            </w:tcMar>
          </w:tcPr>
          <w:p>
            <w:pPr>
              <w:spacing w:after="0"/>
            </w:pPr>
            <w:r>
              <w:rPr>
                <w:rFonts w:ascii="Arial" w:hAnsi="Arial"/>
                <w:sz w:val="16"/>
              </w:rPr>
              <w:t>The system scales seamlessly to support institutional growth and increased scholarship applicant volumes.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24</w:t>
            </w:r>
          </w:p>
        </w:tc>
        <w:tc>
          <w:tcPr>
            <w:tcW w:type="dxa" w:w="6768"/>
            <w:tcMar>
              <w:top w:w="40" w:type="dxa"/>
              <w:bottom w:w="40" w:type="dxa"/>
              <w:left w:w="60" w:type="dxa"/>
              <w:right w:w="60" w:type="dxa"/>
            </w:tcMar>
          </w:tcPr>
          <w:p>
            <w:pPr>
              <w:spacing w:after="0"/>
            </w:pPr>
            <w:r>
              <w:rPr>
                <w:rFonts w:ascii="Arial" w:hAnsi="Arial"/>
                <w:sz w:val="16"/>
              </w:rPr>
              <w:t>The dynamic custom form field builder provides complete flexibility to collect unique program requirements as needs change.</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8. SAFETY</w:t>
            </w:r>
          </w:p>
        </w:tc>
      </w:tr>
      <w:tr>
        <w:tc>
          <w:tcPr>
            <w:tcW w:type="dxa" w:w="648"/>
            <w:tcMar>
              <w:top w:w="40" w:type="dxa"/>
              <w:bottom w:w="40" w:type="dxa"/>
              <w:left w:w="50" w:type="dxa"/>
              <w:right w:w="50" w:type="dxa"/>
            </w:tcMar>
          </w:tcPr>
          <w:p>
            <w:pPr>
              <w:spacing w:after="0"/>
              <w:jc w:val="center"/>
            </w:pPr>
            <w:r>
              <w:rPr>
                <w:rFonts w:ascii="Arial" w:hAnsi="Arial"/>
                <w:b/>
                <w:sz w:val="16"/>
              </w:rPr>
              <w:t>25</w:t>
            </w:r>
          </w:p>
        </w:tc>
        <w:tc>
          <w:tcPr>
            <w:tcW w:type="dxa" w:w="6768"/>
            <w:tcMar>
              <w:top w:w="40" w:type="dxa"/>
              <w:bottom w:w="40" w:type="dxa"/>
              <w:left w:w="60" w:type="dxa"/>
              <w:right w:w="60" w:type="dxa"/>
            </w:tcMar>
          </w:tcPr>
          <w:p>
            <w:pPr>
              <w:spacing w:after="0"/>
            </w:pPr>
            <w:r>
              <w:rPr>
                <w:rFonts w:ascii="Arial" w:hAnsi="Arial"/>
                <w:sz w:val="16"/>
              </w:rPr>
              <w:t>The system provides explicit safety confirmation modals before critical actions such as deleting programs or resetting data.</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26</w:t>
            </w:r>
          </w:p>
        </w:tc>
        <w:tc>
          <w:tcPr>
            <w:tcW w:type="dxa" w:w="6768"/>
            <w:tcMar>
              <w:top w:w="40" w:type="dxa"/>
              <w:bottom w:w="40" w:type="dxa"/>
              <w:left w:w="60" w:type="dxa"/>
              <w:right w:w="60" w:type="dxa"/>
            </w:tcMar>
          </w:tcPr>
          <w:p>
            <w:pPr>
              <w:spacing w:after="0"/>
            </w:pPr>
            <w:r>
              <w:rPr>
                <w:rFonts w:ascii="Arial" w:hAnsi="Arial"/>
                <w:sz w:val="16"/>
              </w:rPr>
              <w:t>The system architecture incorporates safeguards that eliminate single points of failure and prevent catastrophic data corruption.</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bl>
    <w:p>
      <w:pPr>
        <w:spacing w:after="80"/>
      </w:pPr>
    </w:p>
    <w:p>
      <w:pPr>
        <w:keepNext/>
        <w:spacing w:before="120" w:after="40"/>
      </w:pPr>
      <w:r>
        <w:rPr>
          <w:rFonts w:ascii="Arial" w:hAnsi="Arial"/>
          <w:b/>
          <w:sz w:val="19"/>
        </w:rPr>
        <w:t>OVERALL ASSESSMENT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256"/>
        <w:gridCol w:w="5256"/>
      </w:tblGrid>
      <w:tr>
        <w:tc>
          <w:tcPr>
            <w:tcW w:type="dxa" w:w="7416"/>
            <w:tcMar>
              <w:top w:w="40" w:type="dxa"/>
              <w:bottom w:w="40" w:type="dxa"/>
              <w:left w:w="60" w:type="dxa"/>
              <w:right w:w="60" w:type="dxa"/>
            </w:tcMar>
          </w:tcPr>
          <w:p>
            <w:pPr>
              <w:spacing w:after="0"/>
            </w:pPr>
            <w:r>
              <w:rPr>
                <w:rFonts w:ascii="Arial" w:hAnsi="Arial"/>
                <w:sz w:val="16"/>
              </w:rPr>
              <w:t>Overall, I am satisfied with the system.</w:t>
            </w:r>
          </w:p>
        </w:tc>
        <w:tc>
          <w:tcPr>
            <w:tcW w:type="dxa" w:w="3240"/>
            <w:tcMar>
              <w:top w:w="40" w:type="dxa"/>
              <w:bottom w:w="40" w:type="dxa"/>
              <w:left w:w="50" w:type="dxa"/>
              <w:right w:w="50" w:type="dxa"/>
            </w:tcMar>
          </w:tcPr>
          <w:p>
            <w:pPr>
              <w:spacing w:after="0"/>
              <w:jc w:val="center"/>
            </w:pPr>
            <w:r>
              <w:rPr>
                <w:rFonts w:ascii="Arial" w:hAnsi="Arial"/>
                <w:sz w:val="15"/>
              </w:rPr>
              <w:t>☐ 5   ☐ 4   ☐ 3   ☐ 2   ☐ 1</w:t>
            </w:r>
          </w:p>
        </w:tc>
      </w:tr>
      <w:tr>
        <w:tc>
          <w:tcPr>
            <w:tcW w:type="dxa" w:w="7416"/>
            <w:tcMar>
              <w:top w:w="40" w:type="dxa"/>
              <w:bottom w:w="40" w:type="dxa"/>
              <w:left w:w="60" w:type="dxa"/>
              <w:right w:w="60" w:type="dxa"/>
            </w:tcMar>
          </w:tcPr>
          <w:p>
            <w:pPr>
              <w:spacing w:after="0"/>
            </w:pPr>
            <w:r>
              <w:rPr>
                <w:rFonts w:ascii="Arial" w:hAnsi="Arial"/>
                <w:sz w:val="16"/>
              </w:rPr>
              <w:t>I would be comfortable using this system for its intended purpose.</w:t>
            </w:r>
          </w:p>
        </w:tc>
        <w:tc>
          <w:tcPr>
            <w:tcW w:type="dxa" w:w="3240"/>
            <w:tcMar>
              <w:top w:w="40" w:type="dxa"/>
              <w:bottom w:w="40" w:type="dxa"/>
              <w:left w:w="50" w:type="dxa"/>
              <w:right w:w="50" w:type="dxa"/>
            </w:tcMar>
          </w:tcPr>
          <w:p>
            <w:pPr>
              <w:spacing w:after="0"/>
              <w:jc w:val="center"/>
            </w:pPr>
            <w:r>
              <w:rPr>
                <w:rFonts w:ascii="Arial" w:hAnsi="Arial"/>
                <w:sz w:val="15"/>
              </w:rPr>
              <w:t>☐ 5   ☐ 4   ☐ 3   ☐ 2   ☐ 1</w:t>
            </w:r>
          </w:p>
        </w:tc>
      </w:tr>
      <w:tr>
        <w:tc>
          <w:tcPr>
            <w:tcW w:type="dxa" w:w="7416"/>
            <w:tcMar>
              <w:top w:w="40" w:type="dxa"/>
              <w:bottom w:w="40" w:type="dxa"/>
              <w:left w:w="60" w:type="dxa"/>
              <w:right w:w="60" w:type="dxa"/>
            </w:tcMar>
          </w:tcPr>
          <w:p>
            <w:pPr>
              <w:spacing w:after="0"/>
            </w:pPr>
            <w:r>
              <w:rPr>
                <w:rFonts w:ascii="Arial" w:hAnsi="Arial"/>
                <w:sz w:val="16"/>
              </w:rPr>
              <w:t>The system is ready for actual use, subject to necessary revisions.</w:t>
            </w:r>
          </w:p>
        </w:tc>
        <w:tc>
          <w:tcPr>
            <w:tcW w:type="dxa" w:w="3240"/>
            <w:tcMar>
              <w:top w:w="40" w:type="dxa"/>
              <w:bottom w:w="40" w:type="dxa"/>
              <w:left w:w="50" w:type="dxa"/>
              <w:right w:w="50" w:type="dxa"/>
            </w:tcMar>
          </w:tcPr>
          <w:p>
            <w:pPr>
              <w:spacing w:after="0"/>
              <w:jc w:val="center"/>
            </w:pPr>
            <w:r>
              <w:rPr>
                <w:rFonts w:ascii="Arial" w:hAnsi="Arial"/>
                <w:sz w:val="15"/>
              </w:rPr>
              <w:t>☐ 5   ☐ 4   ☐ 3   ☐ 2   ☐ 1</w:t>
            </w:r>
          </w:p>
        </w:tc>
      </w:tr>
    </w:tbl>
    <w:p>
      <w:pPr>
        <w:spacing w:after="80"/>
      </w:pPr>
    </w:p>
    <w:p>
      <w:pPr>
        <w:keepNext/>
        <w:spacing w:before="120" w:after="40"/>
      </w:pPr>
      <w:r>
        <w:rPr>
          <w:rFonts w:ascii="Arial" w:hAnsi="Arial"/>
          <w:b/>
          <w:sz w:val="19"/>
        </w:rPr>
        <w:t>COMMENTS AND RECOMMENDATIONS (Respondent)</w:t>
      </w:r>
    </w:p>
    <w:p>
      <w:pPr>
        <w:spacing w:before="40" w:after="40"/>
      </w:pPr>
      <w:r>
        <w:rPr>
          <w:rFonts w:ascii="Arial" w:hAnsi="Arial"/>
          <w:sz w:val="16"/>
        </w:rPr>
        <w:t>Features or aspects I liked:  _____________________________________________________________________________________</w:t>
      </w:r>
    </w:p>
    <w:p>
      <w:pPr>
        <w:spacing w:before="40" w:after="40"/>
      </w:pPr>
      <w:r>
        <w:rPr>
          <w:rFonts w:ascii="Arial" w:hAnsi="Arial"/>
          <w:sz w:val="16"/>
        </w:rPr>
        <w:t>Problems or difficulties I encountered:  ______________________________________________________________________________</w:t>
      </w:r>
    </w:p>
    <w:p>
      <w:pPr>
        <w:spacing w:before="40" w:after="40"/>
      </w:pPr>
      <w:r>
        <w:rPr>
          <w:rFonts w:ascii="Arial" w:hAnsi="Arial"/>
          <w:sz w:val="16"/>
        </w:rPr>
        <w:t>Suggested improvements:  ____________________________________________________________________________________</w:t>
      </w:r>
    </w:p>
    <w:p>
      <w:pPr>
        <w:keepNext/>
        <w:spacing w:before="120" w:after="40"/>
      </w:pPr>
      <w:r>
        <w:rPr>
          <w:rFonts w:ascii="Arial" w:hAnsi="Arial"/>
          <w:b/>
          <w:sz w:val="19"/>
        </w:rPr>
        <w:t>RESEARCHER / INSTRUCTOR SCORING GUIDE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256"/>
        <w:gridCol w:w="5256"/>
      </w:tblGrid>
      <w:tr>
        <w:tc>
          <w:tcPr>
            <w:tcW w:type="dxa" w:w="3168"/>
            <w:tcMar>
              <w:top w:w="40" w:type="dxa"/>
              <w:bottom w:w="40" w:type="dxa"/>
              <w:left w:w="60" w:type="dxa"/>
              <w:right w:w="60" w:type="dxa"/>
            </w:tcMar>
            <w:shd w:val="clear" w:color="auto" w:fill="D9EAD3"/>
          </w:tcPr>
          <w:p>
            <w:pPr>
              <w:spacing w:after="0"/>
              <w:jc w:val="center"/>
            </w:pPr>
            <w:r>
              <w:rPr>
                <w:rFonts w:ascii="Arial" w:hAnsi="Arial"/>
                <w:b/>
                <w:sz w:val="16"/>
              </w:rPr>
              <w:t>Mean Range</w:t>
            </w:r>
          </w:p>
        </w:tc>
        <w:tc>
          <w:tcPr>
            <w:tcW w:type="dxa" w:w="7488"/>
            <w:tcMar>
              <w:top w:w="40" w:type="dxa"/>
              <w:bottom w:w="40" w:type="dxa"/>
              <w:left w:w="60" w:type="dxa"/>
              <w:right w:w="60" w:type="dxa"/>
            </w:tcMar>
            <w:shd w:val="clear" w:color="auto" w:fill="D9EAD3"/>
          </w:tcPr>
          <w:p>
            <w:pPr>
              <w:spacing w:after="0"/>
            </w:pPr>
            <w:r>
              <w:rPr>
                <w:rFonts w:ascii="Arial" w:hAnsi="Arial"/>
                <w:b/>
                <w:sz w:val="16"/>
              </w:rPr>
              <w:t>Interpretation</w:t>
            </w:r>
          </w:p>
        </w:tc>
      </w:tr>
      <w:tr>
        <w:tc>
          <w:tcPr>
            <w:tcW w:type="dxa" w:w="3168"/>
            <w:tcMar>
              <w:top w:w="40" w:type="dxa"/>
              <w:bottom w:w="40" w:type="dxa"/>
              <w:left w:w="60" w:type="dxa"/>
              <w:right w:w="60" w:type="dxa"/>
            </w:tcMar>
          </w:tcPr>
          <w:p>
            <w:pPr>
              <w:spacing w:after="0"/>
              <w:jc w:val="center"/>
            </w:pPr>
            <w:r>
              <w:rPr>
                <w:rFonts w:ascii="Arial" w:hAnsi="Arial"/>
                <w:sz w:val="16"/>
              </w:rPr>
              <w:t>4.21–5.00</w:t>
            </w:r>
          </w:p>
        </w:tc>
        <w:tc>
          <w:tcPr>
            <w:tcW w:type="dxa" w:w="7488"/>
            <w:tcMar>
              <w:top w:w="40" w:type="dxa"/>
              <w:bottom w:w="40" w:type="dxa"/>
              <w:left w:w="60" w:type="dxa"/>
              <w:right w:w="60" w:type="dxa"/>
            </w:tcMar>
          </w:tcPr>
          <w:p>
            <w:pPr>
              <w:spacing w:after="0"/>
            </w:pPr>
            <w:r>
              <w:rPr>
                <w:rFonts w:ascii="Arial" w:hAnsi="Arial"/>
                <w:sz w:val="16"/>
              </w:rPr>
              <w:t>Strongly Agree / Very High Acceptability</w:t>
            </w:r>
          </w:p>
        </w:tc>
      </w:tr>
      <w:tr>
        <w:tc>
          <w:tcPr>
            <w:tcW w:type="dxa" w:w="3168"/>
            <w:tcMar>
              <w:top w:w="40" w:type="dxa"/>
              <w:bottom w:w="40" w:type="dxa"/>
              <w:left w:w="60" w:type="dxa"/>
              <w:right w:w="60" w:type="dxa"/>
            </w:tcMar>
          </w:tcPr>
          <w:p>
            <w:pPr>
              <w:spacing w:after="0"/>
              <w:jc w:val="center"/>
            </w:pPr>
            <w:r>
              <w:rPr>
                <w:rFonts w:ascii="Arial" w:hAnsi="Arial"/>
                <w:sz w:val="16"/>
              </w:rPr>
              <w:t>3.41–4.20</w:t>
            </w:r>
          </w:p>
        </w:tc>
        <w:tc>
          <w:tcPr>
            <w:tcW w:type="dxa" w:w="7488"/>
            <w:tcMar>
              <w:top w:w="40" w:type="dxa"/>
              <w:bottom w:w="40" w:type="dxa"/>
              <w:left w:w="60" w:type="dxa"/>
              <w:right w:w="60" w:type="dxa"/>
            </w:tcMar>
          </w:tcPr>
          <w:p>
            <w:pPr>
              <w:spacing w:after="0"/>
            </w:pPr>
            <w:r>
              <w:rPr>
                <w:rFonts w:ascii="Arial" w:hAnsi="Arial"/>
                <w:sz w:val="16"/>
              </w:rPr>
              <w:t>Agree / High Acceptability</w:t>
            </w:r>
          </w:p>
        </w:tc>
      </w:tr>
      <w:tr>
        <w:tc>
          <w:tcPr>
            <w:tcW w:type="dxa" w:w="3168"/>
            <w:tcMar>
              <w:top w:w="40" w:type="dxa"/>
              <w:bottom w:w="40" w:type="dxa"/>
              <w:left w:w="60" w:type="dxa"/>
              <w:right w:w="60" w:type="dxa"/>
            </w:tcMar>
          </w:tcPr>
          <w:p>
            <w:pPr>
              <w:spacing w:after="0"/>
              <w:jc w:val="center"/>
            </w:pPr>
            <w:r>
              <w:rPr>
                <w:rFonts w:ascii="Arial" w:hAnsi="Arial"/>
                <w:sz w:val="16"/>
              </w:rPr>
              <w:t>2.61–3.40</w:t>
            </w:r>
          </w:p>
        </w:tc>
        <w:tc>
          <w:tcPr>
            <w:tcW w:type="dxa" w:w="7488"/>
            <w:tcMar>
              <w:top w:w="40" w:type="dxa"/>
              <w:bottom w:w="40" w:type="dxa"/>
              <w:left w:w="60" w:type="dxa"/>
              <w:right w:w="60" w:type="dxa"/>
            </w:tcMar>
          </w:tcPr>
          <w:p>
            <w:pPr>
              <w:spacing w:after="0"/>
            </w:pPr>
            <w:r>
              <w:rPr>
                <w:rFonts w:ascii="Arial" w:hAnsi="Arial"/>
                <w:sz w:val="16"/>
              </w:rPr>
              <w:t>Neither Agree nor Disagree / Moderate Acceptability</w:t>
            </w:r>
          </w:p>
        </w:tc>
      </w:tr>
      <w:tr>
        <w:tc>
          <w:tcPr>
            <w:tcW w:type="dxa" w:w="3168"/>
            <w:tcMar>
              <w:top w:w="40" w:type="dxa"/>
              <w:bottom w:w="40" w:type="dxa"/>
              <w:left w:w="60" w:type="dxa"/>
              <w:right w:w="60" w:type="dxa"/>
            </w:tcMar>
          </w:tcPr>
          <w:p>
            <w:pPr>
              <w:spacing w:after="0"/>
              <w:jc w:val="center"/>
            </w:pPr>
            <w:r>
              <w:rPr>
                <w:rFonts w:ascii="Arial" w:hAnsi="Arial"/>
                <w:sz w:val="16"/>
              </w:rPr>
              <w:t>1.81–2.60</w:t>
            </w:r>
          </w:p>
        </w:tc>
        <w:tc>
          <w:tcPr>
            <w:tcW w:type="dxa" w:w="7488"/>
            <w:tcMar>
              <w:top w:w="40" w:type="dxa"/>
              <w:bottom w:w="40" w:type="dxa"/>
              <w:left w:w="60" w:type="dxa"/>
              <w:right w:w="60" w:type="dxa"/>
            </w:tcMar>
          </w:tcPr>
          <w:p>
            <w:pPr>
              <w:spacing w:after="0"/>
            </w:pPr>
            <w:r>
              <w:rPr>
                <w:rFonts w:ascii="Arial" w:hAnsi="Arial"/>
                <w:sz w:val="16"/>
              </w:rPr>
              <w:t>Disagree / Low Acceptability</w:t>
            </w:r>
          </w:p>
        </w:tc>
      </w:tr>
      <w:tr>
        <w:tc>
          <w:tcPr>
            <w:tcW w:type="dxa" w:w="3168"/>
            <w:tcMar>
              <w:top w:w="40" w:type="dxa"/>
              <w:bottom w:w="40" w:type="dxa"/>
              <w:left w:w="60" w:type="dxa"/>
              <w:right w:w="60" w:type="dxa"/>
            </w:tcMar>
          </w:tcPr>
          <w:p>
            <w:pPr>
              <w:spacing w:after="0"/>
              <w:jc w:val="center"/>
            </w:pPr>
            <w:r>
              <w:rPr>
                <w:rFonts w:ascii="Arial" w:hAnsi="Arial"/>
                <w:sz w:val="16"/>
              </w:rPr>
              <w:t>1.00–1.80</w:t>
            </w:r>
          </w:p>
        </w:tc>
        <w:tc>
          <w:tcPr>
            <w:tcW w:type="dxa" w:w="7488"/>
            <w:tcMar>
              <w:top w:w="40" w:type="dxa"/>
              <w:bottom w:w="40" w:type="dxa"/>
              <w:left w:w="60" w:type="dxa"/>
              <w:right w:w="60" w:type="dxa"/>
            </w:tcMar>
          </w:tcPr>
          <w:p>
            <w:pPr>
              <w:spacing w:after="0"/>
            </w:pPr>
            <w:r>
              <w:rPr>
                <w:rFonts w:ascii="Arial" w:hAnsi="Arial"/>
                <w:sz w:val="16"/>
              </w:rPr>
              <w:t>Strongly Disagree / Very Low Acceptability</w:t>
            </w:r>
          </w:p>
        </w:tc>
      </w:tr>
    </w:tbl>
    <w:p>
      <w:pPr>
        <w:spacing w:before="80" w:after="0"/>
      </w:pPr>
      <w:r>
        <w:rPr>
          <w:rFonts w:ascii="Arial" w:hAnsi="Arial"/>
          <w:i/>
          <w:sz w:val="15"/>
        </w:rPr>
        <w:t>Reference note: ISO/IEC 25010:2023, Systems and software engineering — Systems and software Quality Requirements and Evaluation (SQuaRE) — Product quality model.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