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8.png" ContentType="image/png"/>
  <Override PartName="/word/media/rId24.png" ContentType="image/png"/>
  <Override PartName="/word/media/rId77.png" ContentType="image/png"/>
  <Override PartName="/word/media/rId73.png" ContentType="image/png"/>
  <Override PartName="/word/media/rId64.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UEFA vs FIFA Tie Break: Which Creates More Suspense?</w:t>
      </w:r>
    </w:p>
    <w:p>
      <w:pPr>
        <w:pStyle w:val="Author"/>
      </w:pPr>
      <w:r>
        <w:t xml:space="preserve">Alessandro Di Mattia and Alex Krumer</w:t>
      </w:r>
    </w:p>
    <w:p>
      <w:pPr>
        <w:pStyle w:val="AbstractTitle"/>
      </w:pPr>
      <w:r>
        <w:t xml:space="preserve">Abstract</w:t>
      </w:r>
    </w:p>
    <w:p>
      <w:pPr>
        <w:pStyle w:val="Abstract"/>
      </w:pPr>
      <w:r>
        <w:t xml:space="preserve">This study provides empirical evidence on how tie-breaking rules shape group-level suspense in international football tournaments. By comparing the goal-difference criterion used by FIFA in the World Cup with the head-to-head criterion used by UEFA in the European Championship, we construct a binary suspense indicator that captures whether a single goal could alter the composition of teams qualifying for the knockout stage. Within-group paired tests show that FIFA rules generate significantly higher group-level suspense in the World Cup (</w:t>
      </w:r>
      <m:oMath>
        <m:r>
          <m:t>p</m:t>
        </m:r>
        <m:r>
          <m:rPr>
            <m:sty m:val="p"/>
          </m:rPr>
          <m:t>&lt;</m:t>
        </m:r>
        <m:r>
          <m:t>0.01</m:t>
        </m:r>
      </m:oMath>
      <w:r>
        <w:t xml:space="preserve">), while the difference is insignificant in the European Championship. A cross-tournament logit regression controlling for competitive balance finds that World Cup goals are individually less likely to change the qualifying composition — consistent with the FIFA criterion distributing uncertainty more evenly over the group stage rather than concentrating it in a few decisive goals. We further show that suspense under FIFA rules is more stable and persistent over the 90 minutes of play. Together, the evidence points to FIFA’s goal-difference criterion as generating more sustained group-level uncertainty in the World Cup.</w:t>
      </w:r>
    </w:p>
    <w:bookmarkStart w:id="9" w:name="introduction"/>
    <w:p>
      <w:pPr>
        <w:pStyle w:val="Heading1"/>
      </w:pPr>
      <w:r>
        <w:t xml:space="preserve">Introduction</w:t>
      </w:r>
    </w:p>
    <w:p>
      <w:pPr>
        <w:pStyle w:val="FirstParagraph"/>
      </w:pPr>
      <w:r>
        <w:t xml:space="preserve">In the modern era of sports, and football in particular, retaining audience attention has become both more difficult and more crucial than ever before. Spectators today are exposed to a multitude of entertainment alternatives, making the task of sustaining engagement a key factor for the success and profitability of sport organizations. Beyond loyalty to a specific team, fans gain significant enjoyment from</w:t>
      </w:r>
      <w:r>
        <w:t xml:space="preserve"> </w:t>
      </w:r>
      <w:r>
        <w:rPr>
          <w:i/>
          <w:iCs/>
        </w:rPr>
        <w:t xml:space="preserve">non-instrumental information</w:t>
      </w:r>
      <w:r>
        <w:t xml:space="preserve">—such as the suspense and uncertainty inherent in a match—which fulfills fundamental psychological needs</w:t>
      </w:r>
      <w:r>
        <w:t xml:space="preserve"> </w:t>
      </w:r>
      <w:r>
        <w:t xml:space="preserve">(Ely et al., 2015; Zillmann, 2013)</w:t>
      </w:r>
      <w:r>
        <w:t xml:space="preserve">. This value often drives consumer interest independently of the game’s final result, being rooted instead in the developments that lead to that outcome</w:t>
      </w:r>
      <w:r>
        <w:t xml:space="preserve"> </w:t>
      </w:r>
      <w:r>
        <w:t xml:space="preserve">(Vorderer et al., 2004)</w:t>
      </w:r>
      <w:r>
        <w:t xml:space="preserve">.</w:t>
      </w:r>
    </w:p>
    <w:p>
      <w:pPr>
        <w:pStyle w:val="BodyText"/>
      </w:pPr>
      <w:r>
        <w:t xml:space="preserve">The economic importance of fan engagement is underscored by the astonishing viewership and revenue generated by major tournaments. For instance, the 2022 FIFA World Cup in Qatar attracted approximately 2.87 billion viewers who watched at least one minute of coverage, while over 5 billion people engaged across broadcast, digital, and social media platforms, including 2.9 billion via linear TV and 2.7 billion through digital streaming</w:t>
      </w:r>
      <w:r>
        <w:t xml:space="preserve"> </w:t>
      </w:r>
      <w:r>
        <w:t xml:space="preserve">(FIFA, 2023a, 2023b)</w:t>
      </w:r>
      <w:r>
        <w:t xml:space="preserve">. Broadcasting and commercial rights from this World Cup cycle generated over USD 6.3 billion for FIFA, representing 83% of the organization’s revenue</w:t>
      </w:r>
      <w:r>
        <w:t xml:space="preserve"> </w:t>
      </w:r>
      <w:r>
        <w:t xml:space="preserve">(FIFA, 2022)</w:t>
      </w:r>
      <w:r>
        <w:t xml:space="preserve">.</w:t>
      </w:r>
    </w:p>
    <w:p>
      <w:pPr>
        <w:pStyle w:val="BodyText"/>
      </w:pPr>
      <w:r>
        <w:t xml:space="preserve">Similarly, the UEFA European Championship continues to attract massive audiences, with Euro 2024 welcoming a cumulative stadium attendance of 2.67 million across its 51 matches and 5.7 billion viewers worldwide through television</w:t>
      </w:r>
      <w:r>
        <w:t xml:space="preserve"> </w:t>
      </w:r>
      <w:r>
        <w:t xml:space="preserve">(SportsPro Media, 2024; UEFA, 2024)</w:t>
      </w:r>
      <w:r>
        <w:t xml:space="preserve">. These figures confirm that maintaining audience attention translates directly into financial success.</w:t>
      </w:r>
    </w:p>
    <w:p>
      <w:pPr>
        <w:pStyle w:val="BodyText"/>
      </w:pPr>
      <w:r>
        <w:t xml:space="preserve">Given these stakes, the challenge for sports institutions is not only to increase the number of matches, but to design competitions that maximise suspense and engagement. Low-stakes games may decrease overall interest, while mechanisms that preserve uncertainty — such as tie-breaking rules — can extend fan attention across the tournament. Understanding how tie-breaking procedures influence suspense is therefore not only a matter of sporting fairness, but also of monetary relevance, as it directly affects consumer demand, broadcaster revenues, and sponsor value.</w:t>
      </w:r>
    </w:p>
    <w:p>
      <w:pPr>
        <w:pStyle w:val="BodyText"/>
      </w:pPr>
      <w:r>
        <w:t xml:space="preserve">In this paper, we investigate how alternative tie-breaking rules influence the level of suspense in international football tournaments. In particular, we compare the two main approaches adopted by governing bodies: FIFA’s adoption of overall goal difference and goals scored, and UEFA’s use of head-to-head results. We introduce a binary suspense indicator at the group level that captures whether a single goal could alter the composition of teams qualifying for the knockout stage — a concept that is, to the best of our knowledge, new in the sports economics literature. Our main result is that FIFA’s goal-difference criterion generates significantly more group-level suspense in the World Cup, and that this advantage is uniform across groups of varying competitive balance. We further document that suspense under FIFA rules is more stable and persistent over the 90 minutes of play. Interestingly, the same advantage does not materialise in the European Championship, where the choice of rule does not significantly affect suspense — a pattern we interpret as a placebo-style robustness check.</w:t>
      </w:r>
    </w:p>
    <w:p>
      <w:pPr>
        <w:pStyle w:val="BodyText"/>
      </w:pPr>
      <w:r>
        <w:t xml:space="preserve">The structure of the paper is as follows. Section </w:t>
      </w:r>
      <w:hyperlink w:anchor="sec:literature">
        <w:r>
          <w:rPr>
            <w:rStyle w:val="Hyperlink"/>
          </w:rPr>
          <w:t xml:space="preserve">2</w:t>
        </w:r>
      </w:hyperlink>
      <w:r>
        <w:t xml:space="preserve"> </w:t>
      </w:r>
      <w:r>
        <w:t xml:space="preserve">reviews the relevant literature. Section </w:t>
      </w:r>
      <w:hyperlink w:anchor="sec:data">
        <w:r>
          <w:rPr>
            <w:rStyle w:val="Hyperlink"/>
          </w:rPr>
          <w:t xml:space="preserve">3</w:t>
        </w:r>
      </w:hyperlink>
      <w:r>
        <w:t xml:space="preserve"> </w:t>
      </w:r>
      <w:r>
        <w:t xml:space="preserve">presents the data, while Section </w:t>
      </w:r>
      <w:hyperlink w:anchor="sec:estimation">
        <w:r>
          <w:rPr>
            <w:rStyle w:val="Hyperlink"/>
          </w:rPr>
          <w:t xml:space="preserve">4</w:t>
        </w:r>
      </w:hyperlink>
      <w:r>
        <w:t xml:space="preserve"> </w:t>
      </w:r>
      <w:r>
        <w:t xml:space="preserve">outlines the methodological framework. Section </w:t>
      </w:r>
      <w:hyperlink w:anchor="sec:results">
        <w:r>
          <w:rPr>
            <w:rStyle w:val="Hyperlink"/>
          </w:rPr>
          <w:t xml:space="preserve">5</w:t>
        </w:r>
      </w:hyperlink>
      <w:r>
        <w:t xml:space="preserve"> </w:t>
      </w:r>
      <w:r>
        <w:t xml:space="preserve">reports the results, and Section </w:t>
      </w:r>
      <w:hyperlink w:anchor="sec:conclusion">
        <w:r>
          <w:rPr>
            <w:rStyle w:val="Hyperlink"/>
          </w:rPr>
          <w:t xml:space="preserve">6</w:t>
        </w:r>
      </w:hyperlink>
      <w:r>
        <w:t xml:space="preserve"> </w:t>
      </w:r>
      <w:r>
        <w:t xml:space="preserve">concludes. Additional analyses — including correlation tables, suspense trajectories by group type, and match-level suspense measures — can be found in the Appendix.</w:t>
      </w:r>
    </w:p>
    <w:bookmarkEnd w:id="9"/>
    <w:bookmarkStart w:id="10" w:name="sec:literature"/>
    <w:p>
      <w:pPr>
        <w:pStyle w:val="Heading1"/>
      </w:pPr>
      <w:r>
        <w:t xml:space="preserve">Literature Review</w:t>
      </w:r>
    </w:p>
    <w:p>
      <w:pPr>
        <w:pStyle w:val="FirstParagraph"/>
      </w:pPr>
      <w:r>
        <w:t xml:space="preserve">Our paper lies at the intersection of tournament design and the drivers of sport consumption. Recent contributions in sports economics have highlighted critical flaws in the rules and formats of international football competitions, showing how these deficiencies affect both the fairness of outcomes and the demand for the game. For instance,</w:t>
      </w:r>
      <w:r>
        <w:t xml:space="preserve"> </w:t>
      </w:r>
      <w:r>
        <w:t xml:space="preserve">Csató &amp; Gyimesi (2025)</w:t>
      </w:r>
      <w:r>
        <w:t xml:space="preserve"> </w:t>
      </w:r>
      <w:r>
        <w:t xml:space="preserve">propose a novel framework to evaluate the cost of stake-less games in which the result no longer influences qualification — for the newly approved 2026 FIFA World Cup format. Similarly,</w:t>
      </w:r>
      <w:r>
        <w:t xml:space="preserve"> </w:t>
      </w:r>
      <w:r>
        <w:t xml:space="preserve">(Lapré &amp; Palazzolo, 2022, 2023; Lapré &amp; Palazzolo)</w:t>
      </w:r>
      <w:r>
        <w:t xml:space="preserve"> </w:t>
      </w:r>
      <w:r>
        <w:t xml:space="preserve">demonstrate how FIFA’s seeding system has consistently failed to reduce competitive imbalance, thereby significantly lowering some teams’ chances of advancing in the competition. As concerns UEFA regulations,</w:t>
      </w:r>
      <w:r>
        <w:t xml:space="preserve"> </w:t>
      </w:r>
      <w:r>
        <w:t xml:space="preserve">Csató (2020)</w:t>
      </w:r>
      <w:r>
        <w:t xml:space="preserve"> </w:t>
      </w:r>
      <w:r>
        <w:t xml:space="preserve">show how flaws in the qualification rules can create scenarios where teams are incentivized not to win, revealing incentive-compatibility issues in current tournament designs.</w:t>
      </w:r>
    </w:p>
    <w:p>
      <w:pPr>
        <w:pStyle w:val="BodyText"/>
      </w:pPr>
      <w:r>
        <w:t xml:space="preserve">To address such structural weaknesses, researchers have advanced a range of solutions, from probabilistic models that improve the predictive accuracy of ranking algorithms</w:t>
      </w:r>
      <w:r>
        <w:t xml:space="preserve"> </w:t>
      </w:r>
      <w:r>
        <w:t xml:space="preserve">(Szczecinski &amp; Roatis, 2022)</w:t>
      </w:r>
      <w:r>
        <w:t xml:space="preserve">, to deterministic optimal scheduling that reduces collusion and stake-less games</w:t>
      </w:r>
      <w:r>
        <w:t xml:space="preserve"> </w:t>
      </w:r>
      <w:r>
        <w:t xml:space="preserve">(Chater et al., 2021)</w:t>
      </w:r>
      <w:r>
        <w:t xml:space="preserve">. Other studies focus on redesigning tournament formats and rules to eliminate misaligned incentives: this includes alternative qualification systems</w:t>
      </w:r>
      <w:r>
        <w:t xml:space="preserve"> </w:t>
      </w:r>
      <w:r>
        <w:t xml:space="preserve">(Guajardo &amp; Krumer, 2024)</w:t>
      </w:r>
      <w:r>
        <w:t xml:space="preserve">, dynamic three-team formats</w:t>
      </w:r>
      <w:r>
        <w:t xml:space="preserve"> </w:t>
      </w:r>
      <w:r>
        <w:t xml:space="preserve">(Troyano, 2023)</w:t>
      </w:r>
      <w:r>
        <w:t xml:space="preserve">, and double-elimination structures</w:t>
      </w:r>
      <w:r>
        <w:t xml:space="preserve"> </w:t>
      </w:r>
      <w:r>
        <w:t xml:space="preserve">(Rennó-Costa, 2023)</w:t>
      </w:r>
      <w:r>
        <w:t xml:space="preserve">.</w:t>
      </w:r>
    </w:p>
    <w:p>
      <w:pPr>
        <w:pStyle w:val="BodyText"/>
      </w:pPr>
      <w:r>
        <w:t xml:space="preserve">A related concern arises with the choice of tie-breaking rules, which directly shapes the fairness and stakes of group-stage matches. For example,</w:t>
      </w:r>
      <w:r>
        <w:t xml:space="preserve"> </w:t>
      </w:r>
      <w:r>
        <w:t xml:space="preserve">Berker (2014)</w:t>
      </w:r>
      <w:r>
        <w:t xml:space="preserve"> </w:t>
      </w:r>
      <w:r>
        <w:t xml:space="preserve">shows that under certain rules, a team’s ranking can depend on the outcome of a match in which it does not participate. Similarly,</w:t>
      </w:r>
      <w:r>
        <w:t xml:space="preserve"> </w:t>
      </w:r>
      <w:r>
        <w:t xml:space="preserve">Csató (2023)</w:t>
      </w:r>
      <w:r>
        <w:t xml:space="preserve"> </w:t>
      </w:r>
      <w:r>
        <w:t xml:space="preserve">demonstrates that the likelihood of uncompetitive matches — where teams lack incentives to exert full effort — depends strongly on the tie-breaking criteria adopted. Building on this,</w:t>
      </w:r>
      <w:r>
        <w:t xml:space="preserve"> </w:t>
      </w:r>
      <w:r>
        <w:t xml:space="preserve">Csató &amp; Gyimesi (2026)</w:t>
      </w:r>
      <w:r>
        <w:t xml:space="preserve"> </w:t>
      </w:r>
      <w:r>
        <w:t xml:space="preserve">show that the shift from goal difference to head-to-head results as the primary tie-breaking criterion in the 2026 FIFA World Cup increases the share of unimportant last-round matches by approximately 5.6 percentage points, as head-to-head rules restrict the set of possible group rankings after the first two rounds and convert offensive-asymmetric matches — where one team must attack to survive — into unimportant ones where teams have little incentive to exert full effort. These findings highlight that poorly designed tie-breakers not only influence match outcomes but also affect the integrity and attractiveness of competitions.</w:t>
      </w:r>
    </w:p>
    <w:p>
      <w:pPr>
        <w:pStyle w:val="BodyText"/>
      </w:pPr>
      <w:r>
        <w:t xml:space="preserve">The consequences of these design flaws are not limited to sporting fairness but extend to the economics of sport consumption. Formats and rules that generate collusion opportunities or reduce competitiveness undermine fan interest, diminishing both the entertainment value and commercial revenues of tournaments. Understanding the drivers of demand for both live attendance and broadcast audiences is therefore essential. Several studies identify in-game dynamics as key factors:</w:t>
      </w:r>
      <w:r>
        <w:t xml:space="preserve"> </w:t>
      </w:r>
      <w:r>
        <w:t xml:space="preserve">Buraimo et al. (2020)</w:t>
      </w:r>
      <w:r>
        <w:t xml:space="preserve"> </w:t>
      </w:r>
      <w:r>
        <w:t xml:space="preserve">show that suspense, surprise, and shock — capturing the tension and emotional intensity of matches — contribute to higher demand, particularly at specific moments of play. Likewise,</w:t>
      </w:r>
      <w:r>
        <w:t xml:space="preserve"> </w:t>
      </w:r>
      <w:r>
        <w:t xml:space="preserve">Alavy et al. (2010)</w:t>
      </w:r>
      <w:r>
        <w:t xml:space="preserve"> </w:t>
      </w:r>
      <w:r>
        <w:t xml:space="preserve">argue that the progression of the game, rather than its final outcome alone, is crucial, with greater uncertainty about results increasing spectator engagement. Similarly,</w:t>
      </w:r>
      <w:r>
        <w:t xml:space="preserve"> </w:t>
      </w:r>
      <w:r>
        <w:t xml:space="preserve">Bizzozero et al. (2016)</w:t>
      </w:r>
      <w:r>
        <w:t xml:space="preserve"> </w:t>
      </w:r>
      <w:r>
        <w:t xml:space="preserve">find a strong link between suspense and surprise on the one hand, and the demand for entertainment on the other.</w:t>
      </w:r>
      <w:r>
        <w:t xml:space="preserve"> </w:t>
      </w:r>
      <w:r>
        <w:t xml:space="preserve">Flepp et al. (2026)</w:t>
      </w:r>
      <w:r>
        <w:t xml:space="preserve"> </w:t>
      </w:r>
      <w:r>
        <w:t xml:space="preserve">further show that the relative importance of suspense and surprise depends on the scoring rate of the match: in high-scoring games, surprise dominates as goals frequently overturn expectations, whereas in low-scoring games sustained suspense becomes the primary driver of engagement. Finally,</w:t>
      </w:r>
      <w:r>
        <w:t xml:space="preserve"> </w:t>
      </w:r>
      <w:r>
        <w:t xml:space="preserve">Buraimo et al. (2022)</w:t>
      </w:r>
      <w:r>
        <w:t xml:space="preserve"> </w:t>
      </w:r>
      <w:r>
        <w:t xml:space="preserve">extend this perspective to television audiences, showing that demand cannot be explained solely by uncertainty of outcome but also depends on players’ quality and the significance of the match.</w:t>
      </w:r>
    </w:p>
    <w:p>
      <w:pPr>
        <w:pStyle w:val="BodyText"/>
      </w:pPr>
      <w:r>
        <w:t xml:space="preserve">Taken together, this domain of research shows that flawed formats and rules do not merely raise ethical and fairness concerns but also undermine the economic value of competitions by reducing engagement and the attractiveness of matches. Our contribution builds on this insight by examining how institutional features — in particular, tie-breaking rules — shape the stakes of a match and, ultimately, its perceived importance in the qualification race. In doing so, we introduce a group-level dimension of suspense that complements the match-level definitions of suspense, surprise, and shock established in the literature: while existing work captures how in-game events shift beliefs about a single match outcome, our measure captures how those same events reshape the broader qualification picture across the group, adding a layer of uncertainty that match-level metrics alone cannot capture.</w:t>
      </w:r>
    </w:p>
    <w:bookmarkEnd w:id="10"/>
    <w:bookmarkStart w:id="13" w:name="sec:data"/>
    <w:p>
      <w:pPr>
        <w:pStyle w:val="Heading1"/>
      </w:pPr>
      <w:r>
        <w:t xml:space="preserve">Data</w:t>
      </w:r>
    </w:p>
    <w:p>
      <w:pPr>
        <w:pStyle w:val="FirstParagraph"/>
      </w:pPr>
      <w:r>
        <w:t xml:space="preserve">This study is based on a detailed dataset of all group stage matches from the FIFA World Cup and UEFA European Championship, focusing on goal-level and minute-by-minute match events. The data were scraped from Wikipedia and cross-checked with official sources from FIFA and UEFA. This allowed us to reconstruct how group standings evolved during matches under each tournament’s tie-breaking criteria, enabling a direct comparison of the suspense created by the two systems.</w:t>
      </w:r>
    </w:p>
    <w:p>
      <w:pPr>
        <w:pStyle w:val="BodyText"/>
      </w:pPr>
      <w:r>
        <w:t xml:space="preserve">For the FIFA World Cup, we collected data from the 1986 to 2022 editions. From 1986 to 1994, there were 6 groups (Groups A to F), while from 1998 onwards the tournament expanded to 8 groups, each consisting of four teams. In the 6-group format, the top two teams from each group and the four best third-placed teams advanced to the knockout stage, whereas in the 8-group format only the top two teams in each group qualified for the elimination phase. Our dataset includes 455 goals, expanding to 6,789 entries when considering events recorded minute by minute.</w:t>
      </w:r>
    </w:p>
    <w:p>
      <w:pPr>
        <w:pStyle w:val="BodyText"/>
      </w:pPr>
      <w:r>
        <w:t xml:space="preserve">For the European Championship, we collected data from 1984 to 2024. The first three editions had two groups (Group 1 and Group 2), then from 1996 to 2012 there were four groups (Groups A to D), and from 2016 onwards six groups (Groups A to F). As in the World Cup, the format with six groups allows the top two teams and the four best third-placed teams to qualify for the next round. In total, we recorded 270 goals and 4,044 minute-by-minute observations.</w:t>
      </w:r>
    </w:p>
    <w:p>
      <w:pPr>
        <w:pStyle w:val="BodyText"/>
      </w:pPr>
      <w:r>
        <w:t xml:space="preserve">In both competitions, teams received two points for a win until 1992, and three points from 1994 onwards. One point was awarded for a draw, and zero for a loss throughout all editions.</w:t>
      </w:r>
    </w:p>
    <w:bookmarkStart w:id="12" w:name="data-collection"/>
    <w:p>
      <w:pPr>
        <w:pStyle w:val="Heading2"/>
      </w:pPr>
      <w:r>
        <w:t xml:space="preserve">Data Collection</w:t>
      </w:r>
    </w:p>
    <w:p>
      <w:pPr>
        <w:pStyle w:val="FirstParagraph"/>
      </w:pPr>
      <w:r>
        <w:t xml:space="preserve">For every match in both competitions, we collected the following information:</w:t>
      </w:r>
    </w:p>
    <w:p>
      <w:pPr>
        <w:numPr>
          <w:ilvl w:val="0"/>
          <w:numId w:val="1001"/>
        </w:numPr>
      </w:pPr>
      <w:r>
        <w:rPr>
          <w:b/>
          <w:bCs/>
        </w:rPr>
        <w:t xml:space="preserve">Goals scored</w:t>
      </w:r>
      <w:r>
        <w:t xml:space="preserve">: including the scoring team, exact minute, and the evolving scoreline.</w:t>
      </w:r>
    </w:p>
    <w:p>
      <w:pPr>
        <w:numPr>
          <w:ilvl w:val="0"/>
          <w:numId w:val="1001"/>
        </w:numPr>
      </w:pPr>
      <w:r>
        <w:rPr>
          <w:b/>
          <w:bCs/>
        </w:rPr>
        <w:t xml:space="preserve">Team Elo ratings</w:t>
      </w:r>
      <w:r>
        <w:t xml:space="preserve">: Elo ratings as of the day before each tournament began, retrieved from</w:t>
      </w:r>
      <w:r>
        <w:t xml:space="preserve"> </w:t>
      </w:r>
      <w:hyperlink r:id="rId11">
        <w:r>
          <w:rPr>
            <w:rStyle w:val="Hyperlink"/>
          </w:rPr>
          <w:t xml:space="preserve">https://www.international-football.net/</w:t>
        </w:r>
      </w:hyperlink>
      <w:r>
        <w:t xml:space="preserve">.</w:t>
      </w:r>
    </w:p>
    <w:p>
      <w:pPr>
        <w:pStyle w:val="FirstParagraph"/>
      </w:pPr>
      <w:r>
        <w:t xml:space="preserve">Goal data were used to reconstruct real-time group standings after each event, under both FIFA and UEFA tie-breaking criteria. Elo ratings are used to measure competitive balance at both the group level and the match level, as described in Section </w:t>
      </w:r>
      <w:hyperlink w:anchor="sec:results">
        <w:r>
          <w:rPr>
            <w:rStyle w:val="Hyperlink"/>
          </w:rPr>
          <w:t xml:space="preserve">5</w:t>
        </w:r>
      </w:hyperlink>
      <w:r>
        <w:t xml:space="preserve">. The minute-by-minute dataset spans from minute 1 to minute 90 for each match, with the exception of matches in which at least one goal was scored in extra time, where observations extend beyond minute 90.</w:t>
      </w:r>
    </w:p>
    <w:bookmarkEnd w:id="12"/>
    <w:bookmarkEnd w:id="13"/>
    <w:bookmarkStart w:id="14" w:name="sec:estimation"/>
    <w:p>
      <w:pPr>
        <w:pStyle w:val="Heading1"/>
      </w:pPr>
      <w:r>
        <w:t xml:space="preserve">Methodological Framework</w:t>
      </w:r>
    </w:p>
    <w:p>
      <w:pPr>
        <w:pStyle w:val="FirstParagraph"/>
      </w:pPr>
      <w:r>
        <w:t xml:space="preserve">Our main contribution is a</w:t>
      </w:r>
      <w:r>
        <w:t xml:space="preserve"> </w:t>
      </w:r>
      <w:r>
        <w:rPr>
          <w:i/>
          <w:iCs/>
        </w:rPr>
        <w:t xml:space="preserve">binary suspense indicator</w:t>
      </w:r>
      <w:r>
        <w:t xml:space="preserve"> </w:t>
      </w:r>
      <w:r>
        <w:t xml:space="preserve">defined at the group level that captures whether a single goal could alter the composition of teams qualifying for the knockout stage. More precisely: a suspenseful moment occurs when one additional goal in any ongoing group match would change which teams advance. The indicator is evaluated using two tracking procedures:</w:t>
      </w:r>
    </w:p>
    <w:p>
      <w:pPr>
        <w:numPr>
          <w:ilvl w:val="0"/>
          <w:numId w:val="1002"/>
        </w:numPr>
      </w:pPr>
      <w:r>
        <w:rPr>
          <w:b/>
          <w:bCs/>
        </w:rPr>
        <w:t xml:space="preserve">After each goal scored</w:t>
      </w:r>
      <w:r>
        <w:t xml:space="preserve">, by updating the group standings with the current match results.</w:t>
      </w:r>
    </w:p>
    <w:p>
      <w:pPr>
        <w:numPr>
          <w:ilvl w:val="0"/>
          <w:numId w:val="1002"/>
        </w:numPr>
      </w:pPr>
      <w:r>
        <w:rPr>
          <w:b/>
          <w:bCs/>
        </w:rPr>
        <w:t xml:space="preserve">Minute by minute</w:t>
      </w:r>
      <w:r>
        <w:t xml:space="preserve">, to track the evolution of suspense on a 90-minute scale.</w:t>
      </w:r>
    </w:p>
    <w:p>
      <w:pPr>
        <w:pStyle w:val="FirstParagraph"/>
      </w:pPr>
      <w:r>
        <w:t xml:space="preserve">This allows us to examine how long a group remains undecided, and how often suspense arises, under the two tie-breaking rules.</w:t>
      </w:r>
    </w:p>
    <w:p>
      <w:pPr>
        <w:pStyle w:val="BodyText"/>
      </w:pPr>
      <w:r>
        <w:t xml:space="preserve">For example, in Group F of Euro 2024, entering the third and final matchday, Portugal and Turkey were in qualifying positions for the knockout stage. However, Turkey was playing against Czech Republic, and the match started 0–0. In that situation, a single goal by Czech Republic would have allowed them to overtake Turkey on points and qualify instead. Since the qualification status could change dramatically with just one goal, this scenario is marked as having maximum suspense (suspense </w:t>
      </w:r>
      <m:oMath>
        <m:r>
          <m:rPr>
            <m:sty m:val="p"/>
          </m:rPr>
          <m:t>=</m:t>
        </m:r>
        <m:r>
          <m:t>1</m:t>
        </m:r>
      </m:oMath>
      <w:r>
        <w:t xml:space="preserve">).</w:t>
      </w:r>
    </w:p>
    <w:p>
      <w:pPr>
        <w:pStyle w:val="BodyText"/>
      </w:pPr>
      <w:r>
        <w:t xml:space="preserve">Another example can be drawn from Group A of Euro 2024. In the final matchday, Hungary scored in the 100th minute against Scotland, winning the match 1–0. At that point, this late goal put Hungary at 3 points with a goal difference of</w:t>
      </w:r>
      <w:r>
        <w:t xml:space="preserve"> </w:t>
      </w:r>
      <m:oMath>
        <m:r>
          <m:rPr>
            <m:sty m:val="p"/>
          </m:rPr>
          <m:t>−</m:t>
        </m:r>
        <m:r>
          <m:t>3</m:t>
        </m:r>
      </m:oMath>
      <w:r>
        <w:t xml:space="preserve">, making them temporarily one of the best third-placed teams and therefore potentially qualifying for the knockout stage. Suspense is evaluated based on the uncertainty during the match, not on outcomes from matches that are played in later groups, so this goal qualifies as a suspenseful moment at the time it occurs.</w:t>
      </w:r>
    </w:p>
    <w:p>
      <w:pPr>
        <w:pStyle w:val="BodyText"/>
      </w:pPr>
      <w:r>
        <w:t xml:space="preserve">A particularly vivid illustration of the</w:t>
      </w:r>
      <w:r>
        <w:t xml:space="preserve"> </w:t>
      </w:r>
      <w:r>
        <w:rPr>
          <w:i/>
          <w:iCs/>
        </w:rPr>
        <w:t xml:space="preserve">qual_count</w:t>
      </w:r>
      <w:r>
        <w:t xml:space="preserve"> </w:t>
      </w:r>
      <w:r>
        <w:t xml:space="preserve">variable is provided by Group E of the 2022 FIFA World Cup, which included Spain, Germany, Japan, and Costa Rica. Entering the final matchday, Spain and Japan occupied the two qualifying positions; Germany and Costa Rica were eliminated. As both matches — Spain vs. Japan and Costa Rica vs. Germany — were played simultaneously, the qualifying composition changed four times. Germany’s goal at minute 10 moved them above Japan into second place. Japan’s equaliser against Spain at minute 48 reclaimed their qualifying spot and sent Germany back out. A Costa Rica goal at minute 70 dramatically reshuffled the standings once more, briefly making Costa Rica and Japan the two qualifiers. A further Costa Rica goal at minute 73 changed the set yet again. By the final whistle, Japan and Spain had qualified, but not before</w:t>
      </w:r>
      <w:r>
        <w:t xml:space="preserve"> </w:t>
      </w:r>
      <w:r>
        <w:rPr>
          <w:i/>
          <w:iCs/>
        </w:rPr>
        <w:t xml:space="preserve">qual_count</w:t>
      </w:r>
      <w:r>
        <w:t xml:space="preserve"> </w:t>
      </w:r>
      <w:r>
        <w:t xml:space="preserve">had reached four — illustrating how the FIFA goal-difference criterion can create repeated and rapid swings in the qualifying composition over the course of simultaneous play.</w:t>
      </w:r>
    </w:p>
    <w:p>
      <w:pPr>
        <w:pStyle w:val="BodyText"/>
      </w:pPr>
      <w:r>
        <w:t xml:space="preserve">A full explanation of the logic behind the suspense indicator - covering all specific cases under both FIFA and UEFA rules - is provided in Appendix </w:t>
      </w:r>
      <w:hyperlink w:anchor="sec:suspense-criteria">
        <w:r>
          <w:rPr>
            <w:rStyle w:val="Hyperlink"/>
          </w:rPr>
          <w:t xml:space="preserve">6.1</w:t>
        </w:r>
      </w:hyperlink>
      <w:r>
        <w:t xml:space="preserve">.</w:t>
      </w:r>
    </w:p>
    <w:bookmarkEnd w:id="14"/>
    <w:bookmarkStart w:id="42" w:name="sec:results"/>
    <w:p>
      <w:pPr>
        <w:pStyle w:val="Heading1"/>
      </w:pPr>
      <w:r>
        <w:t xml:space="preserve">Results</w:t>
      </w:r>
    </w:p>
    <w:bookmarkStart w:id="17" w:name="descriptive-statistics"/>
    <w:p>
      <w:pPr>
        <w:pStyle w:val="Heading2"/>
      </w:pPr>
      <w:r>
        <w:t xml:space="preserve">Descriptive Statistics</w:t>
      </w:r>
    </w:p>
    <w:p>
      <w:pPr>
        <w:pStyle w:val="FirstParagraph"/>
      </w:pPr>
      <w:r>
        <w:t xml:space="preserve">Table </w:t>
      </w:r>
      <w:hyperlink w:anchor="tab:desc_stats_goals">
        <w:r>
          <w:rPr>
            <w:rStyle w:val="Hyperlink"/>
          </w:rPr>
          <w:t xml:space="preserve">1</w:t>
        </w:r>
      </w:hyperlink>
      <w:r>
        <w:t xml:space="preserve"> </w:t>
      </w:r>
      <w:r>
        <w:t xml:space="preserve">reports descriptive statistics for the goal-level dataset, comparing World Cup groups (which operate under FIFA tie-breaking rules) with European Championship groups (which operate under UEFA rules). The World Cup sample counts 381 goal events across 74 groups; the European Championship sample counts 226 goal events across 44 groups. Across the key outcome variables, the raw means reveal a consistent pattern:</w:t>
      </w:r>
      <w:r>
        <w:t xml:space="preserve"> </w:t>
      </w:r>
      <w:r>
        <w:rPr>
          <w:i/>
          <w:iCs/>
        </w:rPr>
        <w:t xml:space="preserve">qual. changed</w:t>
      </w:r>
      <w:r>
        <w:t xml:space="preserve"> </w:t>
      </w:r>
      <w:r>
        <w:t xml:space="preserve">averages 0.19 for the World Cup versus 0.29 for the European Championship,</w:t>
      </w:r>
      <w:r>
        <w:t xml:space="preserve"> </w:t>
      </w:r>
      <w:r>
        <w:rPr>
          <w:i/>
          <w:iCs/>
        </w:rPr>
        <w:t xml:space="preserve">qual. count</w:t>
      </w:r>
      <w:r>
        <w:t xml:space="preserve"> </w:t>
      </w:r>
      <w:r>
        <w:t xml:space="preserve">averages 0.72 versus 1.12, and</w:t>
      </w:r>
      <w:r>
        <w:t xml:space="preserve"> </w:t>
      </w:r>
      <w:r>
        <w:rPr>
          <w:i/>
          <w:iCs/>
        </w:rPr>
        <w:t xml:space="preserve">suspense</w:t>
      </w:r>
      <w:r>
        <w:t xml:space="preserve"> </w:t>
      </w:r>
      <w:r>
        <w:t xml:space="preserve">averages 0.44 versus 0.49. In all three cases, European Championship groups exhibit higher average values than World Cup groups. European Championship teams also tend to be slightly stronger on average: mean Elo ratings for the top-ranked team in each group are 1998 (EU) versus 1988 (WC).</w:t>
      </w:r>
    </w:p>
    <w:p>
      <w:pPr>
        <w:pStyle w:val="BodyText"/>
      </w:pPr>
      <w:r>
        <w:t xml:space="preserve">Table </w:t>
      </w:r>
      <w:hyperlink w:anchor="tab:desc_stats_mbm">
        <w:r>
          <w:rPr>
            <w:rStyle w:val="Hyperlink"/>
          </w:rPr>
          <w:t xml:space="preserve">2</w:t>
        </w:r>
      </w:hyperlink>
      <w:r>
        <w:t xml:space="preserve"> </w:t>
      </w:r>
      <w:r>
        <w:t xml:space="preserve">reports the same comparison for the minute-by-minute dataset (6</w:t>
      </w:r>
      <w:r>
        <w:t xml:space="preserve">,</w:t>
      </w:r>
      <w:r>
        <w:t xml:space="preserve">789 World Cup and 4</w:t>
      </w:r>
      <w:r>
        <w:t xml:space="preserve">,</w:t>
      </w:r>
      <w:r>
        <w:t xml:space="preserve">044 European Championship match minutes). The pattern is consistent:</w:t>
      </w:r>
      <w:r>
        <w:t xml:space="preserve"> </w:t>
      </w:r>
      <w:r>
        <w:rPr>
          <w:i/>
          <w:iCs/>
        </w:rPr>
        <w:t xml:space="preserve">qual. changed</w:t>
      </w:r>
      <w:r>
        <w:t xml:space="preserve"> </w:t>
      </w:r>
      <w:r>
        <w:t xml:space="preserve">averages 0.15 (WC) versus 0.24 (EU),</w:t>
      </w:r>
      <w:r>
        <w:t xml:space="preserve"> </w:t>
      </w:r>
      <w:r>
        <w:rPr>
          <w:i/>
          <w:iCs/>
        </w:rPr>
        <w:t xml:space="preserve">qual. count</w:t>
      </w:r>
      <w:r>
        <w:t xml:space="preserve"> </w:t>
      </w:r>
      <w:r>
        <w:t xml:space="preserve">0.48 versus 0.69, and</w:t>
      </w:r>
      <w:r>
        <w:t xml:space="preserve"> </w:t>
      </w:r>
      <w:r>
        <w:rPr>
          <w:i/>
          <w:iCs/>
        </w:rPr>
        <w:t xml:space="preserve">suspense</w:t>
      </w:r>
      <w:r>
        <w:t xml:space="preserve"> </w:t>
      </w:r>
      <w:r>
        <w:t xml:space="preserve">0.50 versus 0.57.</w:t>
      </w:r>
    </w:p>
    <w:bookmarkStart w:id="15" w:name="tab:desc_stats_goals"/>
    <w:p>
      <w:pPr>
        <w:pStyle w:val="TableCaption"/>
      </w:pPr>
      <w:r>
        <w:t xml:space="preserve">Descriptive statistics – Goal-level dataset</w:t>
      </w:r>
    </w:p>
    <w:tbl>
      <w:tblPr>
        <w:tblStyle w:val="Table"/>
        <w:tblW w:type="auto" w:w="0"/>
        <w:tblLook w:firstRow="1" w:lastRow="0" w:firstColumn="0" w:lastColumn="0" w:noHBand="0" w:noVBand="0" w:val="0020"/>
        <w:tblCaption w:val="Descriptive statistics – Goal-level dataset"/>
      </w:tblPr>
      <w:tblGrid>
        <w:gridCol w:w="880"/>
        <w:gridCol w:w="880"/>
        <w:gridCol w:w="880"/>
        <w:gridCol w:w="880"/>
        <w:gridCol w:w="880"/>
        <w:gridCol w:w="880"/>
        <w:gridCol w:w="880"/>
        <w:gridCol w:w="880"/>
        <w:gridCol w:w="880"/>
      </w:tblGrid>
      <w:tr>
        <w:trPr>
          <w:tblHeader w:val="on"/>
        </w:trPr>
        <w:tc>
          <w:tcPr/>
          <w:p>
            <w:pPr>
              <w:pStyle w:val="Compact"/>
            </w:pPr>
          </w:p>
        </w:tc>
        <w:tc>
          <w:tcPr>
            <w:gridSpan w:val="4"/>
          </w:tcPr>
          <w:p>
            <w:pPr>
              <w:pStyle w:val="Compact"/>
              <w:jc w:val="center"/>
            </w:pPr>
            <w:r>
              <w:t xml:space="preserve">World Cup (FIFA rules)</w:t>
            </w:r>
          </w:p>
        </w:tc>
        <w:tc>
          <w:tcPr>
            <w:gridSpan w:val="4"/>
          </w:tcPr>
          <w:p>
            <w:pPr>
              <w:pStyle w:val="Compact"/>
              <w:jc w:val="center"/>
            </w:pPr>
            <w:r>
              <w:t xml:space="preserve">Euro (UEFA rules)</w:t>
            </w:r>
          </w:p>
        </w:tc>
      </w:tr>
      <w:tr>
        <w:tc>
          <w:tcPr/>
          <w:p>
            <w:pPr>
              <w:pStyle w:val="Compact"/>
              <w:jc w:val="left"/>
            </w:pPr>
            <w:r>
              <w:t xml:space="preserve">2-5</w:t>
            </w:r>
            <w:r>
              <w:t xml:space="preserve">(lr)</w:t>
            </w:r>
            <w:r>
              <w:t xml:space="preserve">6-9</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Min</w:t>
            </w:r>
          </w:p>
        </w:tc>
        <w:tc>
          <w:tcPr/>
          <w:p>
            <w:pPr>
              <w:pStyle w:val="Compact"/>
              <w:jc w:val="right"/>
            </w:pPr>
            <w:r>
              <w:t xml:space="preserve">Max</w:t>
            </w:r>
          </w:p>
        </w:tc>
      </w:tr>
      <w:tr>
        <w:tc>
          <w:tcPr/>
          <w:p>
            <w:pPr>
              <w:pStyle w:val="Compact"/>
              <w:jc w:val="left"/>
            </w:pPr>
            <w:r>
              <w:t xml:space="preserve">Goal minute</w:t>
            </w:r>
          </w:p>
        </w:tc>
        <w:tc>
          <w:tcPr/>
          <w:p>
            <w:pPr>
              <w:pStyle w:val="Compact"/>
              <w:jc w:val="right"/>
            </w:pPr>
            <w:r>
              <w:t xml:space="preserve">51.99</w:t>
            </w:r>
          </w:p>
        </w:tc>
        <w:tc>
          <w:tcPr/>
          <w:p>
            <w:pPr>
              <w:pStyle w:val="Compact"/>
              <w:jc w:val="right"/>
            </w:pPr>
            <w:r>
              <w:t xml:space="preserve">26.89</w:t>
            </w:r>
          </w:p>
        </w:tc>
        <w:tc>
          <w:tcPr/>
          <w:p>
            <w:pPr>
              <w:pStyle w:val="Compact"/>
              <w:jc w:val="right"/>
            </w:pPr>
            <w:r>
              <w:t xml:space="preserve">1</w:t>
            </w:r>
          </w:p>
        </w:tc>
        <w:tc>
          <w:tcPr/>
          <w:p>
            <w:pPr>
              <w:pStyle w:val="Compact"/>
              <w:jc w:val="right"/>
            </w:pPr>
            <w:r>
              <w:t xml:space="preserve">96</w:t>
            </w:r>
          </w:p>
        </w:tc>
        <w:tc>
          <w:tcPr/>
          <w:p>
            <w:pPr>
              <w:pStyle w:val="Compact"/>
              <w:jc w:val="right"/>
            </w:pPr>
            <w:r>
              <w:t xml:space="preserve">52.41</w:t>
            </w:r>
          </w:p>
        </w:tc>
        <w:tc>
          <w:tcPr/>
          <w:p>
            <w:pPr>
              <w:pStyle w:val="Compact"/>
              <w:jc w:val="right"/>
            </w:pPr>
            <w:r>
              <w:t xml:space="preserve">26.30</w:t>
            </w:r>
          </w:p>
        </w:tc>
        <w:tc>
          <w:tcPr/>
          <w:p>
            <w:pPr>
              <w:pStyle w:val="Compact"/>
              <w:jc w:val="right"/>
            </w:pPr>
            <w:r>
              <w:t xml:space="preserve">2</w:t>
            </w:r>
          </w:p>
        </w:tc>
        <w:tc>
          <w:tcPr/>
          <w:p>
            <w:pPr>
              <w:pStyle w:val="Compact"/>
              <w:jc w:val="right"/>
            </w:pPr>
            <w:r>
              <w:t xml:space="preserve">100</w:t>
            </w:r>
          </w:p>
        </w:tc>
      </w:tr>
      <w:tr>
        <w:tc>
          <w:tcPr/>
          <w:p>
            <w:pPr>
              <w:pStyle w:val="Compact"/>
              <w:jc w:val="left"/>
            </w:pPr>
            <w:r>
              <w:t xml:space="preserve">Half time</w:t>
            </w:r>
          </w:p>
        </w:tc>
        <w:tc>
          <w:tcPr/>
          <w:p>
            <w:pPr>
              <w:pStyle w:val="Compact"/>
              <w:jc w:val="right"/>
            </w:pPr>
            <w:r>
              <w:t xml:space="preserve">1.60</w:t>
            </w:r>
          </w:p>
        </w:tc>
        <w:tc>
          <w:tcPr/>
          <w:p>
            <w:pPr>
              <w:pStyle w:val="Compact"/>
              <w:jc w:val="right"/>
            </w:pPr>
            <w:r>
              <w:t xml:space="preserve">0.49</w:t>
            </w:r>
          </w:p>
        </w:tc>
        <w:tc>
          <w:tcPr/>
          <w:p>
            <w:pPr>
              <w:pStyle w:val="Compact"/>
              <w:jc w:val="right"/>
            </w:pPr>
            <w:r>
              <w:t xml:space="preserve">1</w:t>
            </w:r>
          </w:p>
        </w:tc>
        <w:tc>
          <w:tcPr/>
          <w:p>
            <w:pPr>
              <w:pStyle w:val="Compact"/>
              <w:jc w:val="right"/>
            </w:pPr>
            <w:r>
              <w:t xml:space="preserve">2</w:t>
            </w:r>
          </w:p>
        </w:tc>
        <w:tc>
          <w:tcPr/>
          <w:p>
            <w:pPr>
              <w:pStyle w:val="Compact"/>
              <w:jc w:val="right"/>
            </w:pPr>
            <w:r>
              <w:t xml:space="preserve">1.61</w:t>
            </w:r>
          </w:p>
        </w:tc>
        <w:tc>
          <w:tcPr/>
          <w:p>
            <w:pPr>
              <w:pStyle w:val="Compact"/>
              <w:jc w:val="right"/>
            </w:pPr>
            <w:r>
              <w:t xml:space="preserve">0.49</w:t>
            </w:r>
          </w:p>
        </w:tc>
        <w:tc>
          <w:tcPr/>
          <w:p>
            <w:pPr>
              <w:pStyle w:val="Compact"/>
              <w:jc w:val="right"/>
            </w:pPr>
            <w:r>
              <w:t xml:space="preserve">1</w:t>
            </w:r>
          </w:p>
        </w:tc>
        <w:tc>
          <w:tcPr/>
          <w:p>
            <w:pPr>
              <w:pStyle w:val="Compact"/>
              <w:jc w:val="right"/>
            </w:pPr>
            <w:r>
              <w:t xml:space="preserve">2</w:t>
            </w:r>
          </w:p>
        </w:tc>
      </w:tr>
      <w:tr>
        <w:tc>
          <w:tcPr/>
          <w:p>
            <w:pPr>
              <w:pStyle w:val="Compact"/>
              <w:jc w:val="left"/>
            </w:pPr>
            <w:r>
              <w:t xml:space="preserve">Qual. changed</w:t>
            </w:r>
          </w:p>
        </w:tc>
        <w:tc>
          <w:tcPr/>
          <w:p>
            <w:pPr>
              <w:pStyle w:val="Compact"/>
              <w:jc w:val="right"/>
            </w:pPr>
            <w:r>
              <w:t xml:space="preserve">0.19</w:t>
            </w:r>
          </w:p>
        </w:tc>
        <w:tc>
          <w:tcPr/>
          <w:p>
            <w:pPr>
              <w:pStyle w:val="Compact"/>
              <w:jc w:val="right"/>
            </w:pPr>
            <w:r>
              <w:t xml:space="preserve">0.39</w:t>
            </w:r>
          </w:p>
        </w:tc>
        <w:tc>
          <w:tcPr/>
          <w:p>
            <w:pPr>
              <w:pStyle w:val="Compact"/>
              <w:jc w:val="right"/>
            </w:pPr>
            <w:r>
              <w:t xml:space="preserve">0</w:t>
            </w:r>
          </w:p>
        </w:tc>
        <w:tc>
          <w:tcPr/>
          <w:p>
            <w:pPr>
              <w:pStyle w:val="Compact"/>
              <w:jc w:val="right"/>
            </w:pPr>
            <w:r>
              <w:t xml:space="preserve">1</w:t>
            </w:r>
          </w:p>
        </w:tc>
        <w:tc>
          <w:tcPr/>
          <w:p>
            <w:pPr>
              <w:pStyle w:val="Compact"/>
              <w:jc w:val="right"/>
            </w:pPr>
            <w:r>
              <w:t xml:space="preserve">0.29</w:t>
            </w:r>
          </w:p>
        </w:tc>
        <w:tc>
          <w:tcPr/>
          <w:p>
            <w:pPr>
              <w:pStyle w:val="Compact"/>
              <w:jc w:val="right"/>
            </w:pPr>
            <w:r>
              <w:t xml:space="preserve">0.46</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Qual. count</w:t>
            </w:r>
          </w:p>
        </w:tc>
        <w:tc>
          <w:tcPr/>
          <w:p>
            <w:pPr>
              <w:pStyle w:val="Compact"/>
              <w:jc w:val="right"/>
            </w:pPr>
            <w:r>
              <w:t xml:space="preserve">0.72</w:t>
            </w:r>
          </w:p>
        </w:tc>
        <w:tc>
          <w:tcPr/>
          <w:p>
            <w:pPr>
              <w:pStyle w:val="Compact"/>
              <w:jc w:val="right"/>
            </w:pPr>
            <w:r>
              <w:t xml:space="preserve">0.99</w:t>
            </w:r>
          </w:p>
        </w:tc>
        <w:tc>
          <w:tcPr/>
          <w:p>
            <w:pPr>
              <w:pStyle w:val="Compact"/>
              <w:jc w:val="right"/>
            </w:pPr>
            <w:r>
              <w:t xml:space="preserve">0</w:t>
            </w:r>
          </w:p>
        </w:tc>
        <w:tc>
          <w:tcPr/>
          <w:p>
            <w:pPr>
              <w:pStyle w:val="Compact"/>
              <w:jc w:val="right"/>
            </w:pPr>
            <w:r>
              <w:t xml:space="preserve">4</w:t>
            </w:r>
          </w:p>
        </w:tc>
        <w:tc>
          <w:tcPr/>
          <w:p>
            <w:pPr>
              <w:pStyle w:val="Compact"/>
              <w:jc w:val="right"/>
            </w:pPr>
            <w:r>
              <w:t xml:space="preserve">1.12</w:t>
            </w:r>
          </w:p>
        </w:tc>
        <w:tc>
          <w:tcPr/>
          <w:p>
            <w:pPr>
              <w:pStyle w:val="Compact"/>
              <w:jc w:val="right"/>
            </w:pPr>
            <w:r>
              <w:t xml:space="preserve">1.31</w:t>
            </w:r>
          </w:p>
        </w:tc>
        <w:tc>
          <w:tcPr/>
          <w:p>
            <w:pPr>
              <w:pStyle w:val="Compact"/>
              <w:jc w:val="right"/>
            </w:pPr>
            <w:r>
              <w:t xml:space="preserve">0</w:t>
            </w:r>
          </w:p>
        </w:tc>
        <w:tc>
          <w:tcPr/>
          <w:p>
            <w:pPr>
              <w:pStyle w:val="Compact"/>
              <w:jc w:val="right"/>
            </w:pPr>
            <w:r>
              <w:t xml:space="preserve">6</w:t>
            </w:r>
          </w:p>
        </w:tc>
      </w:tr>
      <w:tr>
        <w:tc>
          <w:tcPr/>
          <w:p>
            <w:pPr>
              <w:pStyle w:val="Compact"/>
              <w:jc w:val="left"/>
            </w:pPr>
            <w:r>
              <w:t xml:space="preserve">Suspense</w:t>
            </w:r>
          </w:p>
        </w:tc>
        <w:tc>
          <w:tcPr/>
          <w:p>
            <w:pPr>
              <w:pStyle w:val="Compact"/>
              <w:jc w:val="right"/>
            </w:pPr>
            <w:r>
              <w:t xml:space="preserve">0.44</w:t>
            </w:r>
          </w:p>
        </w:tc>
        <w:tc>
          <w:tcPr/>
          <w:p>
            <w:pPr>
              <w:pStyle w:val="Compact"/>
              <w:jc w:val="right"/>
            </w:pPr>
            <w:r>
              <w:t xml:space="preserve">0.50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0.49</w:t>
            </w:r>
          </w:p>
        </w:tc>
        <w:tc>
          <w:tcPr/>
          <w:p>
            <w:pPr>
              <w:pStyle w:val="Compact"/>
              <w:jc w:val="right"/>
            </w:pPr>
            <w:r>
              <w:t xml:space="preserve">0.50</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Elo (favourite)</w:t>
            </w:r>
          </w:p>
        </w:tc>
        <w:tc>
          <w:tcPr/>
          <w:p>
            <w:pPr>
              <w:pStyle w:val="Compact"/>
              <w:jc w:val="right"/>
            </w:pPr>
            <w:r>
              <w:t xml:space="preserve">1904.6</w:t>
            </w:r>
          </w:p>
        </w:tc>
        <w:tc>
          <w:tcPr/>
          <w:p>
            <w:pPr>
              <w:pStyle w:val="Compact"/>
              <w:jc w:val="right"/>
            </w:pPr>
            <w:r>
              <w:t xml:space="preserve">106.8</w:t>
            </w:r>
          </w:p>
        </w:tc>
        <w:tc>
          <w:tcPr/>
          <w:p>
            <w:pPr>
              <w:pStyle w:val="Compact"/>
              <w:jc w:val="right"/>
            </w:pPr>
            <w:r>
              <w:t xml:space="preserve">1644</w:t>
            </w:r>
          </w:p>
        </w:tc>
        <w:tc>
          <w:tcPr/>
          <w:p>
            <w:pPr>
              <w:pStyle w:val="Compact"/>
              <w:jc w:val="right"/>
            </w:pPr>
            <w:r>
              <w:t xml:space="preserve">2169</w:t>
            </w:r>
          </w:p>
        </w:tc>
        <w:tc>
          <w:tcPr/>
          <w:p>
            <w:pPr>
              <w:pStyle w:val="Compact"/>
              <w:jc w:val="right"/>
            </w:pPr>
            <w:r>
              <w:t xml:space="preserve">1940.8</w:t>
            </w:r>
          </w:p>
        </w:tc>
        <w:tc>
          <w:tcPr/>
          <w:p>
            <w:pPr>
              <w:pStyle w:val="Compact"/>
              <w:jc w:val="right"/>
            </w:pPr>
            <w:r>
              <w:t xml:space="preserve">84.5</w:t>
            </w:r>
          </w:p>
        </w:tc>
        <w:tc>
          <w:tcPr/>
          <w:p>
            <w:pPr>
              <w:pStyle w:val="Compact"/>
              <w:jc w:val="right"/>
            </w:pPr>
            <w:r>
              <w:t xml:space="preserve">1671</w:t>
            </w:r>
          </w:p>
        </w:tc>
        <w:tc>
          <w:tcPr/>
          <w:p>
            <w:pPr>
              <w:pStyle w:val="Compact"/>
              <w:jc w:val="right"/>
            </w:pPr>
            <w:r>
              <w:t xml:space="preserve">2127</w:t>
            </w:r>
          </w:p>
        </w:tc>
      </w:tr>
      <w:tr>
        <w:tc>
          <w:tcPr/>
          <w:p>
            <w:pPr>
              <w:pStyle w:val="Compact"/>
              <w:jc w:val="left"/>
            </w:pPr>
            <w:r>
              <w:t xml:space="preserve">Elo (underdog)</w:t>
            </w:r>
          </w:p>
        </w:tc>
        <w:tc>
          <w:tcPr/>
          <w:p>
            <w:pPr>
              <w:pStyle w:val="Compact"/>
              <w:jc w:val="right"/>
            </w:pPr>
            <w:r>
              <w:t xml:space="preserve">1730.4</w:t>
            </w:r>
          </w:p>
        </w:tc>
        <w:tc>
          <w:tcPr/>
          <w:p>
            <w:pPr>
              <w:pStyle w:val="Compact"/>
              <w:jc w:val="right"/>
            </w:pPr>
            <w:r>
              <w:t xml:space="preserve">95.3</w:t>
            </w:r>
          </w:p>
        </w:tc>
        <w:tc>
          <w:tcPr/>
          <w:p>
            <w:pPr>
              <w:pStyle w:val="Compact"/>
              <w:jc w:val="right"/>
            </w:pPr>
            <w:r>
              <w:t xml:space="preserve">1460</w:t>
            </w:r>
          </w:p>
        </w:tc>
        <w:tc>
          <w:tcPr/>
          <w:p>
            <w:pPr>
              <w:pStyle w:val="Compact"/>
              <w:jc w:val="right"/>
            </w:pPr>
            <w:r>
              <w:t xml:space="preserve">1944</w:t>
            </w:r>
          </w:p>
        </w:tc>
        <w:tc>
          <w:tcPr/>
          <w:p>
            <w:pPr>
              <w:pStyle w:val="Compact"/>
              <w:jc w:val="right"/>
            </w:pPr>
            <w:r>
              <w:t xml:space="preserve">1812.0</w:t>
            </w:r>
          </w:p>
        </w:tc>
        <w:tc>
          <w:tcPr/>
          <w:p>
            <w:pPr>
              <w:pStyle w:val="Compact"/>
              <w:jc w:val="right"/>
            </w:pPr>
            <w:r>
              <w:t xml:space="preserve">102.1</w:t>
            </w:r>
          </w:p>
        </w:tc>
        <w:tc>
          <w:tcPr/>
          <w:p>
            <w:pPr>
              <w:pStyle w:val="Compact"/>
              <w:jc w:val="right"/>
            </w:pPr>
            <w:r>
              <w:t xml:space="preserve">1523</w:t>
            </w:r>
          </w:p>
        </w:tc>
        <w:tc>
          <w:tcPr/>
          <w:p>
            <w:pPr>
              <w:pStyle w:val="Compact"/>
              <w:jc w:val="right"/>
            </w:pPr>
            <w:r>
              <w:t xml:space="preserve">2040</w:t>
            </w:r>
          </w:p>
        </w:tc>
      </w:tr>
      <w:tr>
        <w:tc>
          <w:tcPr/>
          <w:p>
            <w:pPr>
              <w:pStyle w:val="Compact"/>
              <w:jc w:val="left"/>
            </w:pPr>
            <w:r>
              <w:t xml:space="preserve">Elo 1st</w:t>
            </w:r>
          </w:p>
        </w:tc>
        <w:tc>
          <w:tcPr/>
          <w:p>
            <w:pPr>
              <w:pStyle w:val="Compact"/>
              <w:jc w:val="right"/>
            </w:pPr>
            <w:r>
              <w:t xml:space="preserve">1987.9</w:t>
            </w:r>
          </w:p>
        </w:tc>
        <w:tc>
          <w:tcPr/>
          <w:p>
            <w:pPr>
              <w:pStyle w:val="Compact"/>
              <w:jc w:val="right"/>
            </w:pPr>
            <w:r>
              <w:t xml:space="preserve">77.1</w:t>
            </w:r>
          </w:p>
        </w:tc>
        <w:tc>
          <w:tcPr/>
          <w:p>
            <w:pPr>
              <w:pStyle w:val="Compact"/>
              <w:jc w:val="right"/>
            </w:pPr>
            <w:r>
              <w:t xml:space="preserve">1845</w:t>
            </w:r>
          </w:p>
        </w:tc>
        <w:tc>
          <w:tcPr/>
          <w:p>
            <w:pPr>
              <w:pStyle w:val="Compact"/>
              <w:jc w:val="right"/>
            </w:pPr>
            <w:r>
              <w:t xml:space="preserve">2169</w:t>
            </w:r>
          </w:p>
        </w:tc>
        <w:tc>
          <w:tcPr/>
          <w:p>
            <w:pPr>
              <w:pStyle w:val="Compact"/>
              <w:jc w:val="right"/>
            </w:pPr>
            <w:r>
              <w:t xml:space="preserve">1998.4</w:t>
            </w:r>
          </w:p>
        </w:tc>
        <w:tc>
          <w:tcPr/>
          <w:p>
            <w:pPr>
              <w:pStyle w:val="Compact"/>
              <w:jc w:val="right"/>
            </w:pPr>
            <w:r>
              <w:t xml:space="preserve">58.3</w:t>
            </w:r>
          </w:p>
        </w:tc>
        <w:tc>
          <w:tcPr/>
          <w:p>
            <w:pPr>
              <w:pStyle w:val="Compact"/>
              <w:jc w:val="right"/>
            </w:pPr>
            <w:r>
              <w:t xml:space="preserve">1850</w:t>
            </w:r>
          </w:p>
        </w:tc>
        <w:tc>
          <w:tcPr/>
          <w:p>
            <w:pPr>
              <w:pStyle w:val="Compact"/>
              <w:jc w:val="right"/>
            </w:pPr>
            <w:r>
              <w:t xml:space="preserve">2127</w:t>
            </w:r>
          </w:p>
        </w:tc>
      </w:tr>
      <w:tr>
        <w:tc>
          <w:tcPr/>
          <w:p>
            <w:pPr>
              <w:pStyle w:val="Compact"/>
              <w:jc w:val="left"/>
            </w:pPr>
            <w:r>
              <w:t xml:space="preserve">Elo 2nd</w:t>
            </w:r>
          </w:p>
        </w:tc>
        <w:tc>
          <w:tcPr/>
          <w:p>
            <w:pPr>
              <w:pStyle w:val="Compact"/>
              <w:jc w:val="right"/>
            </w:pPr>
            <w:r>
              <w:t xml:space="preserve">1855.7</w:t>
            </w:r>
          </w:p>
        </w:tc>
        <w:tc>
          <w:tcPr/>
          <w:p>
            <w:pPr>
              <w:pStyle w:val="Compact"/>
              <w:jc w:val="right"/>
            </w:pPr>
            <w:r>
              <w:t xml:space="preserve">63.6</w:t>
            </w:r>
          </w:p>
        </w:tc>
        <w:tc>
          <w:tcPr/>
          <w:p>
            <w:pPr>
              <w:pStyle w:val="Compact"/>
              <w:jc w:val="right"/>
            </w:pPr>
            <w:r>
              <w:t xml:space="preserve">1678</w:t>
            </w:r>
          </w:p>
        </w:tc>
        <w:tc>
          <w:tcPr/>
          <w:p>
            <w:pPr>
              <w:pStyle w:val="Compact"/>
              <w:jc w:val="right"/>
            </w:pPr>
            <w:r>
              <w:t xml:space="preserve">1986</w:t>
            </w:r>
          </w:p>
        </w:tc>
        <w:tc>
          <w:tcPr/>
          <w:p>
            <w:pPr>
              <w:pStyle w:val="Compact"/>
              <w:jc w:val="right"/>
            </w:pPr>
            <w:r>
              <w:t xml:space="preserve">1909.6</w:t>
            </w:r>
          </w:p>
        </w:tc>
        <w:tc>
          <w:tcPr/>
          <w:p>
            <w:pPr>
              <w:pStyle w:val="Compact"/>
              <w:jc w:val="right"/>
            </w:pPr>
            <w:r>
              <w:t xml:space="preserve">71.9</w:t>
            </w:r>
          </w:p>
        </w:tc>
        <w:tc>
          <w:tcPr/>
          <w:p>
            <w:pPr>
              <w:pStyle w:val="Compact"/>
              <w:jc w:val="right"/>
            </w:pPr>
            <w:r>
              <w:t xml:space="preserve">1766</w:t>
            </w:r>
          </w:p>
        </w:tc>
        <w:tc>
          <w:tcPr/>
          <w:p>
            <w:pPr>
              <w:pStyle w:val="Compact"/>
              <w:jc w:val="right"/>
            </w:pPr>
            <w:r>
              <w:t xml:space="preserve">2043</w:t>
            </w:r>
          </w:p>
        </w:tc>
      </w:tr>
      <w:tr>
        <w:tc>
          <w:tcPr/>
          <w:p>
            <w:pPr>
              <w:pStyle w:val="Compact"/>
              <w:jc w:val="left"/>
            </w:pPr>
            <w:r>
              <w:t xml:space="preserve">Elo 3rd</w:t>
            </w:r>
          </w:p>
        </w:tc>
        <w:tc>
          <w:tcPr/>
          <w:p>
            <w:pPr>
              <w:pStyle w:val="Compact"/>
              <w:jc w:val="right"/>
            </w:pPr>
            <w:r>
              <w:t xml:space="preserve">1777.7</w:t>
            </w:r>
          </w:p>
        </w:tc>
        <w:tc>
          <w:tcPr/>
          <w:p>
            <w:pPr>
              <w:pStyle w:val="Compact"/>
              <w:jc w:val="right"/>
            </w:pPr>
            <w:r>
              <w:t xml:space="preserve">61.4</w:t>
            </w:r>
          </w:p>
        </w:tc>
        <w:tc>
          <w:tcPr/>
          <w:p>
            <w:pPr>
              <w:pStyle w:val="Compact"/>
              <w:jc w:val="right"/>
            </w:pPr>
            <w:r>
              <w:t xml:space="preserve">1644</w:t>
            </w:r>
          </w:p>
        </w:tc>
        <w:tc>
          <w:tcPr/>
          <w:p>
            <w:pPr>
              <w:pStyle w:val="Compact"/>
              <w:jc w:val="right"/>
            </w:pPr>
            <w:r>
              <w:t xml:space="preserve">1920</w:t>
            </w:r>
          </w:p>
        </w:tc>
        <w:tc>
          <w:tcPr/>
          <w:p>
            <w:pPr>
              <w:pStyle w:val="Compact"/>
              <w:jc w:val="right"/>
            </w:pPr>
            <w:r>
              <w:t xml:space="preserve">1843.0</w:t>
            </w:r>
          </w:p>
        </w:tc>
        <w:tc>
          <w:tcPr/>
          <w:p>
            <w:pPr>
              <w:pStyle w:val="Compact"/>
              <w:jc w:val="right"/>
            </w:pPr>
            <w:r>
              <w:t xml:space="preserve">69.3</w:t>
            </w:r>
          </w:p>
        </w:tc>
        <w:tc>
          <w:tcPr/>
          <w:p>
            <w:pPr>
              <w:pStyle w:val="Compact"/>
              <w:jc w:val="right"/>
            </w:pPr>
            <w:r>
              <w:t xml:space="preserve">1671</w:t>
            </w:r>
          </w:p>
        </w:tc>
        <w:tc>
          <w:tcPr/>
          <w:p>
            <w:pPr>
              <w:pStyle w:val="Compact"/>
              <w:jc w:val="right"/>
            </w:pPr>
            <w:r>
              <w:t xml:space="preserve">1973</w:t>
            </w:r>
          </w:p>
        </w:tc>
      </w:tr>
      <w:tr>
        <w:tc>
          <w:tcPr/>
          <w:p>
            <w:pPr>
              <w:pStyle w:val="Compact"/>
              <w:jc w:val="left"/>
            </w:pPr>
            <w:r>
              <w:t xml:space="preserve">Elo 4th</w:t>
            </w:r>
          </w:p>
        </w:tc>
        <w:tc>
          <w:tcPr/>
          <w:p>
            <w:pPr>
              <w:pStyle w:val="Compact"/>
              <w:jc w:val="right"/>
            </w:pPr>
            <w:r>
              <w:t xml:space="preserve">1668.1</w:t>
            </w:r>
          </w:p>
        </w:tc>
        <w:tc>
          <w:tcPr/>
          <w:p>
            <w:pPr>
              <w:pStyle w:val="Compact"/>
              <w:jc w:val="right"/>
            </w:pPr>
            <w:r>
              <w:t xml:space="preserve">72.4</w:t>
            </w:r>
          </w:p>
        </w:tc>
        <w:tc>
          <w:tcPr/>
          <w:p>
            <w:pPr>
              <w:pStyle w:val="Compact"/>
              <w:jc w:val="right"/>
            </w:pPr>
            <w:r>
              <w:t xml:space="preserve">1460</w:t>
            </w:r>
          </w:p>
        </w:tc>
        <w:tc>
          <w:tcPr/>
          <w:p>
            <w:pPr>
              <w:pStyle w:val="Compact"/>
              <w:jc w:val="right"/>
            </w:pPr>
            <w:r>
              <w:t xml:space="preserve">1852</w:t>
            </w:r>
          </w:p>
        </w:tc>
        <w:tc>
          <w:tcPr/>
          <w:p>
            <w:pPr>
              <w:pStyle w:val="Compact"/>
              <w:jc w:val="right"/>
            </w:pPr>
            <w:r>
              <w:t xml:space="preserve">1748.6</w:t>
            </w:r>
          </w:p>
        </w:tc>
        <w:tc>
          <w:tcPr/>
          <w:p>
            <w:pPr>
              <w:pStyle w:val="Compact"/>
              <w:jc w:val="right"/>
            </w:pPr>
            <w:r>
              <w:t xml:space="preserve">86.0</w:t>
            </w:r>
          </w:p>
        </w:tc>
        <w:tc>
          <w:tcPr/>
          <w:p>
            <w:pPr>
              <w:pStyle w:val="Compact"/>
              <w:jc w:val="right"/>
            </w:pPr>
            <w:r>
              <w:t xml:space="preserve">1523</w:t>
            </w:r>
          </w:p>
        </w:tc>
        <w:tc>
          <w:tcPr/>
          <w:p>
            <w:pPr>
              <w:pStyle w:val="Compact"/>
              <w:jc w:val="right"/>
            </w:pPr>
            <w:r>
              <w:t xml:space="preserve">1912</w:t>
            </w:r>
          </w:p>
        </w:tc>
      </w:tr>
      <w:tr>
        <w:tc>
          <w:tcPr/>
          <w:p>
            <w:pPr>
              <w:pStyle w:val="Compact"/>
              <w:jc w:val="left"/>
            </w:pPr>
            <w:r>
              <w:t xml:space="preserve">Observations</w:t>
            </w:r>
          </w:p>
        </w:tc>
        <w:tc>
          <w:tcPr>
            <w:gridSpan w:val="4"/>
          </w:tcPr>
          <w:p>
            <w:pPr>
              <w:pStyle w:val="Compact"/>
              <w:jc w:val="center"/>
            </w:pPr>
            <w:r>
              <w:t xml:space="preserve">381</w:t>
            </w:r>
          </w:p>
        </w:tc>
        <w:tc>
          <w:tcPr>
            <w:gridSpan w:val="4"/>
          </w:tcPr>
          <w:p>
            <w:pPr>
              <w:pStyle w:val="Compact"/>
              <w:jc w:val="center"/>
            </w:pPr>
            <w:r>
              <w:t xml:space="preserve">226</w:t>
            </w:r>
          </w:p>
        </w:tc>
      </w:tr>
    </w:tbl>
    <w:bookmarkEnd w:id="15"/>
    <w:p>
      <w:pPr>
        <w:pStyle w:val="BodyText"/>
      </w:pPr>
      <w:r>
        <w:rPr>
          <w:i/>
          <w:iCs/>
        </w:rPr>
        <w:t xml:space="preserve">Notes:</w:t>
      </w:r>
      <w:r>
        <w:t xml:space="preserve"> </w:t>
      </w:r>
      <w:r>
        <w:t xml:space="preserve">Unit of observation is a goal scored on matchday 3. Initial-state rows (minute </w:t>
      </w:r>
      <m:oMath>
        <m:r>
          <m:rPr>
            <m:sty m:val="p"/>
          </m:rPr>
          <m:t>=</m:t>
        </m:r>
        <m:r>
          <m:t>0</m:t>
        </m:r>
      </m:oMath>
      <w:r>
        <w:t xml:space="preserve">, one per group per matchday) are excluded.</w:t>
      </w:r>
      <w:r>
        <w:t xml:space="preserve"> </w:t>
      </w:r>
      <w:r>
        <w:rPr>
          <w:i/>
          <w:iCs/>
        </w:rPr>
        <w:t xml:space="preserve">Qual. changed</w:t>
      </w:r>
      <w:r>
        <w:t xml:space="preserve"> </w:t>
      </w:r>
      <w:r>
        <w:t xml:space="preserve">equals 1 when the set of qualifying teams changes from one goal to the next.</w:t>
      </w:r>
      <w:r>
        <w:t xml:space="preserve"> </w:t>
      </w:r>
      <w:r>
        <w:rPr>
          <w:i/>
          <w:iCs/>
        </w:rPr>
        <w:t xml:space="preserve">Qual. count</w:t>
      </w:r>
      <w:r>
        <w:t xml:space="preserve"> </w:t>
      </w:r>
      <w:r>
        <w:t xml:space="preserve">is the cumulative number of such changes within the group.</w:t>
      </w:r>
      <w:r>
        <w:t xml:space="preserve"> </w:t>
      </w:r>
      <w:r>
        <w:rPr>
          <w:i/>
          <w:iCs/>
        </w:rPr>
        <w:t xml:space="preserve">Suspense</w:t>
      </w:r>
      <w:r>
        <w:t xml:space="preserve"> </w:t>
      </w:r>
      <w:r>
        <w:t xml:space="preserve">equals 1 when the next goal would change the qualifying composition.</w:t>
      </w:r>
      <w:r>
        <w:t xml:space="preserve"> </w:t>
      </w:r>
      <w:r>
        <w:rPr>
          <w:i/>
          <w:iCs/>
        </w:rPr>
        <w:t xml:space="preserve">Elo (favourite)</w:t>
      </w:r>
      <w:r>
        <w:t xml:space="preserve"> </w:t>
      </w:r>
      <w:r>
        <w:t xml:space="preserve">and</w:t>
      </w:r>
      <w:r>
        <w:t xml:space="preserve"> </w:t>
      </w:r>
      <w:r>
        <w:rPr>
          <w:i/>
          <w:iCs/>
        </w:rPr>
        <w:t xml:space="preserve">Elo (underdog)</w:t>
      </w:r>
      <w:r>
        <w:t xml:space="preserve"> </w:t>
      </w:r>
      <w:r>
        <w:t xml:space="preserve">are the Elo ratings of the stronger and weaker team in each match.</w:t>
      </w:r>
      <w:r>
        <w:t xml:space="preserve"> </w:t>
      </w:r>
      <w:r>
        <w:rPr>
          <w:i/>
          <w:iCs/>
        </w:rPr>
        <w:t xml:space="preserve">Elo 1st</w:t>
      </w:r>
      <w:r>
        <w:t xml:space="preserve">–</w:t>
      </w:r>
      <w:r>
        <w:rPr>
          <w:i/>
          <w:iCs/>
        </w:rPr>
        <w:t xml:space="preserve">Elo 4th</w:t>
      </w:r>
      <w:r>
        <w:t xml:space="preserve"> </w:t>
      </w:r>
      <w:r>
        <w:t xml:space="preserve">are group-level Elo ranks from highest to lowest.</w:t>
      </w:r>
    </w:p>
    <w:bookmarkStart w:id="16" w:name="tab:desc_stats_mbm"/>
    <w:p>
      <w:pPr>
        <w:pStyle w:val="TableCaption"/>
      </w:pPr>
      <w:r>
        <w:t xml:space="preserve">Descriptive statistics – Minute-by-minute dataset</w:t>
      </w:r>
    </w:p>
    <w:tbl>
      <w:tblPr>
        <w:tblStyle w:val="Table"/>
        <w:tblW w:type="auto" w:w="0"/>
        <w:tblLook w:firstRow="1" w:lastRow="0" w:firstColumn="0" w:lastColumn="0" w:noHBand="0" w:noVBand="0" w:val="0020"/>
        <w:tblCaption w:val="Descriptive statistics – Minute-by-minute dataset"/>
      </w:tblPr>
      <w:tblGrid>
        <w:gridCol w:w="880"/>
        <w:gridCol w:w="880"/>
        <w:gridCol w:w="880"/>
        <w:gridCol w:w="880"/>
        <w:gridCol w:w="880"/>
        <w:gridCol w:w="880"/>
        <w:gridCol w:w="880"/>
        <w:gridCol w:w="880"/>
        <w:gridCol w:w="880"/>
      </w:tblGrid>
      <w:tr>
        <w:trPr>
          <w:tblHeader w:val="on"/>
        </w:trPr>
        <w:tc>
          <w:tcPr/>
          <w:p>
            <w:pPr>
              <w:pStyle w:val="Compact"/>
            </w:pPr>
          </w:p>
        </w:tc>
        <w:tc>
          <w:tcPr>
            <w:gridSpan w:val="4"/>
          </w:tcPr>
          <w:p>
            <w:pPr>
              <w:pStyle w:val="Compact"/>
              <w:jc w:val="center"/>
            </w:pPr>
            <w:r>
              <w:t xml:space="preserve">World Cup (FIFA rules)</w:t>
            </w:r>
          </w:p>
        </w:tc>
        <w:tc>
          <w:tcPr>
            <w:gridSpan w:val="4"/>
          </w:tcPr>
          <w:p>
            <w:pPr>
              <w:pStyle w:val="Compact"/>
              <w:jc w:val="center"/>
            </w:pPr>
            <w:r>
              <w:t xml:space="preserve">Euro (UEFA rules)</w:t>
            </w:r>
          </w:p>
        </w:tc>
      </w:tr>
      <w:tr>
        <w:tc>
          <w:tcPr/>
          <w:p>
            <w:pPr>
              <w:pStyle w:val="Compact"/>
              <w:jc w:val="left"/>
            </w:pPr>
            <w:r>
              <w:t xml:space="preserve">2-5</w:t>
            </w:r>
            <w:r>
              <w:t xml:space="preserve">(lr)</w:t>
            </w:r>
            <w:r>
              <w:t xml:space="preserve">6-9</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Min</w:t>
            </w:r>
          </w:p>
        </w:tc>
        <w:tc>
          <w:tcPr/>
          <w:p>
            <w:pPr>
              <w:pStyle w:val="Compact"/>
              <w:jc w:val="right"/>
            </w:pPr>
            <w:r>
              <w:t xml:space="preserve">Max</w:t>
            </w:r>
          </w:p>
        </w:tc>
      </w:tr>
      <w:tr>
        <w:tc>
          <w:tcPr/>
          <w:p>
            <w:pPr>
              <w:pStyle w:val="Compact"/>
              <w:jc w:val="left"/>
            </w:pPr>
            <w:r>
              <w:t xml:space="preserve">Qual. changed</w:t>
            </w:r>
          </w:p>
        </w:tc>
        <w:tc>
          <w:tcPr/>
          <w:p>
            <w:pPr>
              <w:pStyle w:val="Compact"/>
              <w:jc w:val="right"/>
            </w:pPr>
            <w:r>
              <w:t xml:space="preserve">0.15</w:t>
            </w:r>
          </w:p>
        </w:tc>
        <w:tc>
          <w:tcPr/>
          <w:p>
            <w:pPr>
              <w:pStyle w:val="Compact"/>
              <w:jc w:val="right"/>
            </w:pPr>
            <w:r>
              <w:t xml:space="preserve">0.36</w:t>
            </w:r>
          </w:p>
        </w:tc>
        <w:tc>
          <w:tcPr/>
          <w:p>
            <w:pPr>
              <w:pStyle w:val="Compact"/>
              <w:jc w:val="right"/>
            </w:pPr>
            <w:r>
              <w:t xml:space="preserve">0</w:t>
            </w:r>
          </w:p>
        </w:tc>
        <w:tc>
          <w:tcPr/>
          <w:p>
            <w:pPr>
              <w:pStyle w:val="Compact"/>
              <w:jc w:val="right"/>
            </w:pPr>
            <w:r>
              <w:t xml:space="preserve">1</w:t>
            </w:r>
          </w:p>
        </w:tc>
        <w:tc>
          <w:tcPr/>
          <w:p>
            <w:pPr>
              <w:pStyle w:val="Compact"/>
              <w:jc w:val="right"/>
            </w:pPr>
            <w:r>
              <w:t xml:space="preserve">0.24</w:t>
            </w:r>
          </w:p>
        </w:tc>
        <w:tc>
          <w:tcPr/>
          <w:p>
            <w:pPr>
              <w:pStyle w:val="Compact"/>
              <w:jc w:val="right"/>
            </w:pPr>
            <w:r>
              <w:t xml:space="preserve">0.43</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Qual. count</w:t>
            </w:r>
          </w:p>
        </w:tc>
        <w:tc>
          <w:tcPr/>
          <w:p>
            <w:pPr>
              <w:pStyle w:val="Compact"/>
              <w:jc w:val="right"/>
            </w:pPr>
            <w:r>
              <w:t xml:space="preserve">0.48</w:t>
            </w:r>
          </w:p>
        </w:tc>
        <w:tc>
          <w:tcPr/>
          <w:p>
            <w:pPr>
              <w:pStyle w:val="Compact"/>
              <w:jc w:val="right"/>
            </w:pPr>
            <w:r>
              <w:t xml:space="preserve">0.81</w:t>
            </w:r>
          </w:p>
        </w:tc>
        <w:tc>
          <w:tcPr/>
          <w:p>
            <w:pPr>
              <w:pStyle w:val="Compact"/>
              <w:jc w:val="right"/>
            </w:pPr>
            <w:r>
              <w:t xml:space="preserve">0</w:t>
            </w:r>
          </w:p>
        </w:tc>
        <w:tc>
          <w:tcPr/>
          <w:p>
            <w:pPr>
              <w:pStyle w:val="Compact"/>
              <w:jc w:val="right"/>
            </w:pPr>
            <w:r>
              <w:t xml:space="preserve">4</w:t>
            </w:r>
          </w:p>
        </w:tc>
        <w:tc>
          <w:tcPr/>
          <w:p>
            <w:pPr>
              <w:pStyle w:val="Compact"/>
              <w:jc w:val="right"/>
            </w:pPr>
            <w:r>
              <w:t xml:space="preserve">0.69</w:t>
            </w:r>
          </w:p>
        </w:tc>
        <w:tc>
          <w:tcPr/>
          <w:p>
            <w:pPr>
              <w:pStyle w:val="Compact"/>
              <w:jc w:val="right"/>
            </w:pPr>
            <w:r>
              <w:t xml:space="preserve">1.11</w:t>
            </w:r>
          </w:p>
        </w:tc>
        <w:tc>
          <w:tcPr/>
          <w:p>
            <w:pPr>
              <w:pStyle w:val="Compact"/>
              <w:jc w:val="right"/>
            </w:pPr>
            <w:r>
              <w:t xml:space="preserve">0</w:t>
            </w:r>
          </w:p>
        </w:tc>
        <w:tc>
          <w:tcPr/>
          <w:p>
            <w:pPr>
              <w:pStyle w:val="Compact"/>
              <w:jc w:val="right"/>
            </w:pPr>
            <w:r>
              <w:t xml:space="preserve">6</w:t>
            </w:r>
          </w:p>
        </w:tc>
      </w:tr>
      <w:tr>
        <w:tc>
          <w:tcPr/>
          <w:p>
            <w:pPr>
              <w:pStyle w:val="Compact"/>
              <w:jc w:val="left"/>
            </w:pPr>
            <w:r>
              <w:t xml:space="preserve">Suspense</w:t>
            </w:r>
          </w:p>
        </w:tc>
        <w:tc>
          <w:tcPr/>
          <w:p>
            <w:pPr>
              <w:pStyle w:val="Compact"/>
              <w:jc w:val="right"/>
            </w:pPr>
            <w:r>
              <w:t xml:space="preserve">0.50</w:t>
            </w:r>
          </w:p>
        </w:tc>
        <w:tc>
          <w:tcPr/>
          <w:p>
            <w:pPr>
              <w:pStyle w:val="Compact"/>
              <w:jc w:val="right"/>
            </w:pPr>
            <w:r>
              <w:t xml:space="preserve">0.50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0.57</w:t>
            </w:r>
          </w:p>
        </w:tc>
        <w:tc>
          <w:tcPr/>
          <w:p>
            <w:pPr>
              <w:pStyle w:val="Compact"/>
              <w:jc w:val="right"/>
            </w:pPr>
            <w:r>
              <w:t xml:space="preserve">0.50</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Elo 1st</w:t>
            </w:r>
          </w:p>
        </w:tc>
        <w:tc>
          <w:tcPr/>
          <w:p>
            <w:pPr>
              <w:pStyle w:val="Compact"/>
              <w:jc w:val="right"/>
            </w:pPr>
            <w:r>
              <w:t xml:space="preserve">1984.9</w:t>
            </w:r>
          </w:p>
        </w:tc>
        <w:tc>
          <w:tcPr/>
          <w:p>
            <w:pPr>
              <w:pStyle w:val="Compact"/>
              <w:jc w:val="right"/>
            </w:pPr>
            <w:r>
              <w:t xml:space="preserve">74.4</w:t>
            </w:r>
          </w:p>
        </w:tc>
        <w:tc>
          <w:tcPr/>
          <w:p>
            <w:pPr>
              <w:pStyle w:val="Compact"/>
              <w:jc w:val="right"/>
            </w:pPr>
            <w:r>
              <w:t xml:space="preserve">1845</w:t>
            </w:r>
          </w:p>
        </w:tc>
        <w:tc>
          <w:tcPr/>
          <w:p>
            <w:pPr>
              <w:pStyle w:val="Compact"/>
              <w:jc w:val="right"/>
            </w:pPr>
            <w:r>
              <w:t xml:space="preserve">2169</w:t>
            </w:r>
          </w:p>
        </w:tc>
        <w:tc>
          <w:tcPr/>
          <w:p>
            <w:pPr>
              <w:pStyle w:val="Compact"/>
              <w:jc w:val="right"/>
            </w:pPr>
            <w:r>
              <w:t xml:space="preserve">1993.0</w:t>
            </w:r>
          </w:p>
        </w:tc>
        <w:tc>
          <w:tcPr/>
          <w:p>
            <w:pPr>
              <w:pStyle w:val="Compact"/>
              <w:jc w:val="right"/>
            </w:pPr>
            <w:r>
              <w:t xml:space="preserve">57.3</w:t>
            </w:r>
          </w:p>
        </w:tc>
        <w:tc>
          <w:tcPr/>
          <w:p>
            <w:pPr>
              <w:pStyle w:val="Compact"/>
              <w:jc w:val="right"/>
            </w:pPr>
            <w:r>
              <w:t xml:space="preserve">1850</w:t>
            </w:r>
          </w:p>
        </w:tc>
        <w:tc>
          <w:tcPr/>
          <w:p>
            <w:pPr>
              <w:pStyle w:val="Compact"/>
              <w:jc w:val="right"/>
            </w:pPr>
            <w:r>
              <w:t xml:space="preserve">2127</w:t>
            </w:r>
          </w:p>
        </w:tc>
      </w:tr>
      <w:tr>
        <w:tc>
          <w:tcPr/>
          <w:p>
            <w:pPr>
              <w:pStyle w:val="Compact"/>
              <w:jc w:val="left"/>
            </w:pPr>
            <w:r>
              <w:t xml:space="preserve">Elo 2nd</w:t>
            </w:r>
          </w:p>
        </w:tc>
        <w:tc>
          <w:tcPr/>
          <w:p>
            <w:pPr>
              <w:pStyle w:val="Compact"/>
              <w:jc w:val="right"/>
            </w:pPr>
            <w:r>
              <w:t xml:space="preserve">1862.6</w:t>
            </w:r>
          </w:p>
        </w:tc>
        <w:tc>
          <w:tcPr/>
          <w:p>
            <w:pPr>
              <w:pStyle w:val="Compact"/>
              <w:jc w:val="right"/>
            </w:pPr>
            <w:r>
              <w:t xml:space="preserve">62.5</w:t>
            </w:r>
          </w:p>
        </w:tc>
        <w:tc>
          <w:tcPr/>
          <w:p>
            <w:pPr>
              <w:pStyle w:val="Compact"/>
              <w:jc w:val="right"/>
            </w:pPr>
            <w:r>
              <w:t xml:space="preserve">1678</w:t>
            </w:r>
          </w:p>
        </w:tc>
        <w:tc>
          <w:tcPr/>
          <w:p>
            <w:pPr>
              <w:pStyle w:val="Compact"/>
              <w:jc w:val="right"/>
            </w:pPr>
            <w:r>
              <w:t xml:space="preserve">1986</w:t>
            </w:r>
          </w:p>
        </w:tc>
        <w:tc>
          <w:tcPr/>
          <w:p>
            <w:pPr>
              <w:pStyle w:val="Compact"/>
              <w:jc w:val="right"/>
            </w:pPr>
            <w:r>
              <w:t xml:space="preserve">1896.0</w:t>
            </w:r>
          </w:p>
        </w:tc>
        <w:tc>
          <w:tcPr/>
          <w:p>
            <w:pPr>
              <w:pStyle w:val="Compact"/>
              <w:jc w:val="right"/>
            </w:pPr>
            <w:r>
              <w:t xml:space="preserve">72.9</w:t>
            </w:r>
          </w:p>
        </w:tc>
        <w:tc>
          <w:tcPr/>
          <w:p>
            <w:pPr>
              <w:pStyle w:val="Compact"/>
              <w:jc w:val="right"/>
            </w:pPr>
            <w:r>
              <w:t xml:space="preserve">1766</w:t>
            </w:r>
          </w:p>
        </w:tc>
        <w:tc>
          <w:tcPr/>
          <w:p>
            <w:pPr>
              <w:pStyle w:val="Compact"/>
              <w:jc w:val="right"/>
            </w:pPr>
            <w:r>
              <w:t xml:space="preserve">2043</w:t>
            </w:r>
          </w:p>
        </w:tc>
      </w:tr>
      <w:tr>
        <w:tc>
          <w:tcPr/>
          <w:p>
            <w:pPr>
              <w:pStyle w:val="Compact"/>
              <w:jc w:val="left"/>
            </w:pPr>
            <w:r>
              <w:t xml:space="preserve">Elo 3rd</w:t>
            </w:r>
          </w:p>
        </w:tc>
        <w:tc>
          <w:tcPr/>
          <w:p>
            <w:pPr>
              <w:pStyle w:val="Compact"/>
              <w:jc w:val="right"/>
            </w:pPr>
            <w:r>
              <w:t xml:space="preserve">1780.7</w:t>
            </w:r>
          </w:p>
        </w:tc>
        <w:tc>
          <w:tcPr/>
          <w:p>
            <w:pPr>
              <w:pStyle w:val="Compact"/>
              <w:jc w:val="right"/>
            </w:pPr>
            <w:r>
              <w:t xml:space="preserve">64.5</w:t>
            </w:r>
          </w:p>
        </w:tc>
        <w:tc>
          <w:tcPr/>
          <w:p>
            <w:pPr>
              <w:pStyle w:val="Compact"/>
              <w:jc w:val="right"/>
            </w:pPr>
            <w:r>
              <w:t xml:space="preserve">1644</w:t>
            </w:r>
          </w:p>
        </w:tc>
        <w:tc>
          <w:tcPr/>
          <w:p>
            <w:pPr>
              <w:pStyle w:val="Compact"/>
              <w:jc w:val="right"/>
            </w:pPr>
            <w:r>
              <w:t xml:space="preserve">1920</w:t>
            </w:r>
          </w:p>
        </w:tc>
        <w:tc>
          <w:tcPr/>
          <w:p>
            <w:pPr>
              <w:pStyle w:val="Compact"/>
              <w:jc w:val="right"/>
            </w:pPr>
            <w:r>
              <w:t xml:space="preserve">1833.4</w:t>
            </w:r>
          </w:p>
        </w:tc>
        <w:tc>
          <w:tcPr/>
          <w:p>
            <w:pPr>
              <w:pStyle w:val="Compact"/>
              <w:jc w:val="right"/>
            </w:pPr>
            <w:r>
              <w:t xml:space="preserve">70.6</w:t>
            </w:r>
          </w:p>
        </w:tc>
        <w:tc>
          <w:tcPr/>
          <w:p>
            <w:pPr>
              <w:pStyle w:val="Compact"/>
              <w:jc w:val="right"/>
            </w:pPr>
            <w:r>
              <w:t xml:space="preserve">1671</w:t>
            </w:r>
          </w:p>
        </w:tc>
        <w:tc>
          <w:tcPr/>
          <w:p>
            <w:pPr>
              <w:pStyle w:val="Compact"/>
              <w:jc w:val="right"/>
            </w:pPr>
            <w:r>
              <w:t xml:space="preserve">1973</w:t>
            </w:r>
          </w:p>
        </w:tc>
      </w:tr>
      <w:tr>
        <w:tc>
          <w:tcPr/>
          <w:p>
            <w:pPr>
              <w:pStyle w:val="Compact"/>
              <w:jc w:val="left"/>
            </w:pPr>
            <w:r>
              <w:t xml:space="preserve">Elo 4th</w:t>
            </w:r>
          </w:p>
        </w:tc>
        <w:tc>
          <w:tcPr/>
          <w:p>
            <w:pPr>
              <w:pStyle w:val="Compact"/>
              <w:jc w:val="right"/>
            </w:pPr>
            <w:r>
              <w:t xml:space="preserve">1668.2</w:t>
            </w:r>
          </w:p>
        </w:tc>
        <w:tc>
          <w:tcPr/>
          <w:p>
            <w:pPr>
              <w:pStyle w:val="Compact"/>
              <w:jc w:val="right"/>
            </w:pPr>
            <w:r>
              <w:t xml:space="preserve">76.0</w:t>
            </w:r>
          </w:p>
        </w:tc>
        <w:tc>
          <w:tcPr/>
          <w:p>
            <w:pPr>
              <w:pStyle w:val="Compact"/>
              <w:jc w:val="right"/>
            </w:pPr>
            <w:r>
              <w:t xml:space="preserve">1460</w:t>
            </w:r>
          </w:p>
        </w:tc>
        <w:tc>
          <w:tcPr/>
          <w:p>
            <w:pPr>
              <w:pStyle w:val="Compact"/>
              <w:jc w:val="right"/>
            </w:pPr>
            <w:r>
              <w:t xml:space="preserve">1852</w:t>
            </w:r>
          </w:p>
        </w:tc>
        <w:tc>
          <w:tcPr/>
          <w:p>
            <w:pPr>
              <w:pStyle w:val="Compact"/>
              <w:jc w:val="right"/>
            </w:pPr>
            <w:r>
              <w:t xml:space="preserve">1741.4</w:t>
            </w:r>
          </w:p>
        </w:tc>
        <w:tc>
          <w:tcPr/>
          <w:p>
            <w:pPr>
              <w:pStyle w:val="Compact"/>
              <w:jc w:val="right"/>
            </w:pPr>
            <w:r>
              <w:t xml:space="preserve">88.5</w:t>
            </w:r>
          </w:p>
        </w:tc>
        <w:tc>
          <w:tcPr/>
          <w:p>
            <w:pPr>
              <w:pStyle w:val="Compact"/>
              <w:jc w:val="right"/>
            </w:pPr>
            <w:r>
              <w:t xml:space="preserve">1523</w:t>
            </w:r>
          </w:p>
        </w:tc>
        <w:tc>
          <w:tcPr/>
          <w:p>
            <w:pPr>
              <w:pStyle w:val="Compact"/>
              <w:jc w:val="right"/>
            </w:pPr>
            <w:r>
              <w:t xml:space="preserve">1912</w:t>
            </w:r>
          </w:p>
        </w:tc>
      </w:tr>
      <w:tr>
        <w:tc>
          <w:tcPr/>
          <w:p>
            <w:pPr>
              <w:pStyle w:val="Compact"/>
              <w:jc w:val="left"/>
            </w:pPr>
            <w:r>
              <w:t xml:space="preserve">Observations</w:t>
            </w:r>
          </w:p>
        </w:tc>
        <w:tc>
          <w:tcPr>
            <w:gridSpan w:val="4"/>
          </w:tcPr>
          <w:p>
            <w:pPr>
              <w:pStyle w:val="Compact"/>
              <w:jc w:val="center"/>
            </w:pPr>
            <w:r>
              <w:t xml:space="preserve">6</w:t>
            </w:r>
            <w:r>
              <w:t xml:space="preserve">,</w:t>
            </w:r>
            <w:r>
              <w:t xml:space="preserve">789</w:t>
            </w:r>
          </w:p>
        </w:tc>
        <w:tc>
          <w:tcPr>
            <w:gridSpan w:val="4"/>
          </w:tcPr>
          <w:p>
            <w:pPr>
              <w:pStyle w:val="Compact"/>
              <w:jc w:val="center"/>
            </w:pPr>
            <w:r>
              <w:t xml:space="preserve">4</w:t>
            </w:r>
            <w:r>
              <w:t xml:space="preserve">,</w:t>
            </w:r>
            <w:r>
              <w:t xml:space="preserve">044</w:t>
            </w:r>
          </w:p>
        </w:tc>
      </w:tr>
    </w:tbl>
    <w:bookmarkEnd w:id="16"/>
    <w:p>
      <w:pPr>
        <w:pStyle w:val="BodyText"/>
      </w:pPr>
      <w:r>
        <w:rPr>
          <w:i/>
          <w:iCs/>
        </w:rPr>
        <w:t xml:space="preserve">Notes:</w:t>
      </w:r>
      <w:r>
        <w:t xml:space="preserve"> </w:t>
      </w:r>
      <w:r>
        <w:t xml:space="preserve">Unit of observation is a match minute on matchday 3. The dataset spans from minute 1 to minute 90 for each match, extended beyond minute 90 for matches in which at least one goal was scored in extra time.</w:t>
      </w:r>
      <w:r>
        <w:t xml:space="preserve"> </w:t>
      </w:r>
      <w:r>
        <w:rPr>
          <w:i/>
          <w:iCs/>
        </w:rPr>
        <w:t xml:space="preserve">Qual. changed</w:t>
      </w:r>
      <w:r>
        <w:t xml:space="preserve"> </w:t>
      </w:r>
      <w:r>
        <w:t xml:space="preserve">equals 1 when a goal at that minute changes the set of qualifying teams.</w:t>
      </w:r>
      <w:r>
        <w:t xml:space="preserve"> </w:t>
      </w:r>
      <w:r>
        <w:rPr>
          <w:i/>
          <w:iCs/>
        </w:rPr>
        <w:t xml:space="preserve">Qual. count</w:t>
      </w:r>
      <w:r>
        <w:t xml:space="preserve"> </w:t>
      </w:r>
      <w:r>
        <w:t xml:space="preserve">is the cumulative number of such changes within the group up to that minute.</w:t>
      </w:r>
      <w:r>
        <w:t xml:space="preserve"> </w:t>
      </w:r>
      <w:r>
        <w:rPr>
          <w:i/>
          <w:iCs/>
        </w:rPr>
        <w:t xml:space="preserve">Suspense</w:t>
      </w:r>
      <w:r>
        <w:t xml:space="preserve"> </w:t>
      </w:r>
      <w:r>
        <w:t xml:space="preserve">equals 1 when the next goal would change the qualifying composition.</w:t>
      </w:r>
      <w:r>
        <w:t xml:space="preserve"> </w:t>
      </w:r>
      <w:r>
        <w:rPr>
          <w:i/>
          <w:iCs/>
        </w:rPr>
        <w:t xml:space="preserve">Elo 1st</w:t>
      </w:r>
      <w:r>
        <w:t xml:space="preserve">–</w:t>
      </w:r>
      <w:r>
        <w:rPr>
          <w:i/>
          <w:iCs/>
        </w:rPr>
        <w:t xml:space="preserve">Elo 4th</w:t>
      </w:r>
      <w:r>
        <w:t xml:space="preserve"> </w:t>
      </w:r>
      <w:r>
        <w:t xml:space="preserve">are group-level Elo ranks from highest to lowest.</w:t>
      </w:r>
    </w:p>
    <w:bookmarkEnd w:id="17"/>
    <w:bookmarkStart w:id="19" w:name="statistical-tests"/>
    <w:p>
      <w:pPr>
        <w:pStyle w:val="Heading2"/>
      </w:pPr>
      <w:r>
        <w:t xml:space="preserve">Statistical Tests</w:t>
      </w:r>
    </w:p>
    <w:p>
      <w:pPr>
        <w:pStyle w:val="FirstParagraph"/>
      </w:pPr>
      <w:r>
        <w:t xml:space="preserve">Table </w:t>
      </w:r>
      <w:hyperlink w:anchor="tab:tests_diff">
        <w:r>
          <w:rPr>
            <w:rStyle w:val="Hyperlink"/>
          </w:rPr>
          <w:t xml:space="preserve">3</w:t>
        </w:r>
      </w:hyperlink>
      <w:r>
        <w:t xml:space="preserve"> </w:t>
      </w:r>
      <w:r>
        <w:t xml:space="preserve">reports paired t-tests and Wilcoxon signed-rank tests comparing group-level mean suspense and mean qualification count across all 74 World Cup groups and all 44 European Championship groups. For the World Cup, the two tie-breaking rules produce markedly different levels of suspense: FIFA rules generate significantly higher group-level suspense than UEFA rules (</w:t>
      </w:r>
      <m:oMath>
        <m:r>
          <m:t>p</m:t>
        </m:r>
        <m:r>
          <m:rPr>
            <m:sty m:val="p"/>
          </m:rPr>
          <m:t>&lt;</m:t>
        </m:r>
        <m:r>
          <m:t>0.01</m:t>
        </m:r>
      </m:oMath>
      <w:r>
        <w:t xml:space="preserve">, both tests), while the frequency of actual qualification turnover shows no statistically significant difference across the two systems (</w:t>
      </w:r>
      <m:oMath>
        <m:r>
          <m:t>p</m:t>
        </m:r>
        <m:r>
          <m:rPr>
            <m:sty m:val="p"/>
          </m:rPr>
          <m:t>=</m:t>
        </m:r>
        <m:r>
          <m:t>0.535</m:t>
        </m:r>
      </m:oMath>
      <w:r>
        <w:t xml:space="preserve">). This separation is important: the FIFA rule increases the number of</w:t>
      </w:r>
      <w:r>
        <w:t xml:space="preserve"> </w:t>
      </w:r>
      <w:r>
        <w:rPr>
          <w:i/>
          <w:iCs/>
        </w:rPr>
        <w:t xml:space="preserve">potential</w:t>
      </w:r>
      <w:r>
        <w:t xml:space="preserve"> </w:t>
      </w:r>
      <w:r>
        <w:t xml:space="preserve">qualification changes — and hence suspense — without necessarily changing the frequency of</w:t>
      </w:r>
      <w:r>
        <w:t xml:space="preserve"> </w:t>
      </w:r>
      <w:r>
        <w:rPr>
          <w:i/>
          <w:iCs/>
        </w:rPr>
        <w:t xml:space="preserve">actual</w:t>
      </w:r>
      <w:r>
        <w:t xml:space="preserve"> </w:t>
      </w:r>
      <w:r>
        <w:t xml:space="preserve">changes in the qualifying composition.</w:t>
      </w:r>
    </w:p>
    <w:p>
      <w:pPr>
        <w:pStyle w:val="BodyText"/>
      </w:pPr>
      <w:r>
        <w:t xml:space="preserve">For the European Championship, by contrast, neither suspense nor qualification turnover differs significantly between the two rules (</w:t>
      </w:r>
      <m:oMath>
        <m:r>
          <m:t>p</m:t>
        </m:r>
        <m:r>
          <m:rPr>
            <m:sty m:val="p"/>
          </m:rPr>
          <m:t>=</m:t>
        </m:r>
        <m:r>
          <m:t>0.389</m:t>
        </m:r>
      </m:oMath>
      <w:r>
        <w:t xml:space="preserve"> </w:t>
      </w:r>
      <w:r>
        <w:t xml:space="preserve">and</w:t>
      </w:r>
      <w:r>
        <w:t xml:space="preserve"> </w:t>
      </w:r>
      <m:oMath>
        <m:r>
          <m:t>p</m:t>
        </m:r>
        <m:r>
          <m:rPr>
            <m:sty m:val="p"/>
          </m:rPr>
          <m:t>=</m:t>
        </m:r>
        <m:r>
          <m:t>0.182</m:t>
        </m:r>
      </m:oMath>
      <w:r>
        <w:t xml:space="preserve"> </w:t>
      </w:r>
      <w:r>
        <w:t xml:space="preserve">respectively).</w:t>
      </w:r>
    </w:p>
    <w:bookmarkStart w:id="18" w:name="tab:tests_diff"/>
    <w:p>
      <w:pPr>
        <w:pStyle w:val="TableCaption"/>
      </w:pPr>
      <w:r>
        <w:t xml:space="preserve">Differences between UEFA and FIFA tiebreak rules: mean differences and statistical tests</w:t>
      </w:r>
    </w:p>
    <w:tbl>
      <w:tblPr>
        <w:tblStyle w:val="Table"/>
        <w:tblW w:type="auto" w:w="0"/>
        <w:tblLook w:firstRow="1" w:lastRow="0" w:firstColumn="0" w:lastColumn="0" w:noHBand="0" w:noVBand="0" w:val="0020"/>
        <w:tblCaption w:val="Differences between UEFA and FIFA tiebreak rules: mean differences and statistical tests"/>
      </w:tblPr>
      <w:tblGrid>
        <w:gridCol w:w="2640"/>
        <w:gridCol w:w="2640"/>
        <w:gridCol w:w="2640"/>
      </w:tblGrid>
      <w:tr>
        <w:trPr>
          <w:tblHeader w:val="on"/>
        </w:trPr>
        <w:tc>
          <w:tcPr>
            <w:gridSpan w:val="3"/>
          </w:tcPr>
          <w:p>
            <w:pPr>
              <w:pStyle w:val="Compact"/>
              <w:jc w:val="center"/>
            </w:pPr>
            <w:r>
              <w:rPr>
                <w:b/>
                <w:bCs/>
              </w:rPr>
              <w:t xml:space="preserve">European Championship</w:t>
            </w:r>
          </w:p>
        </w:tc>
      </w:tr>
      <w:tr>
        <w:tc>
          <w:tcPr/>
          <w:p>
            <w:pPr>
              <w:pStyle w:val="Compact"/>
              <w:jc w:val="left"/>
            </w:pPr>
            <w:r>
              <w:rPr>
                <w:b/>
                <w:bCs/>
              </w:rPr>
              <w:t xml:space="preserve">Metric</w:t>
            </w:r>
          </w:p>
        </w:tc>
        <w:tc>
          <w:tcPr/>
          <w:p>
            <w:pPr>
              <w:pStyle w:val="Compact"/>
              <w:jc w:val="center"/>
            </w:pPr>
            <w:r>
              <w:t xml:space="preserve">Mean Diff.</w:t>
            </w:r>
          </w:p>
        </w:tc>
        <w:tc>
          <w:tcPr/>
          <w:p>
            <w:pPr>
              <w:pStyle w:val="Compact"/>
              <w:jc w:val="center"/>
            </w:pPr>
            <w:r>
              <w:t xml:space="preserve">p-value</w:t>
            </w:r>
          </w:p>
        </w:tc>
      </w:tr>
      <w:tr>
        <w:tc>
          <w:tcPr/>
          <w:p>
            <w:pPr>
              <w:pStyle w:val="Compact"/>
              <w:jc w:val="left"/>
            </w:pPr>
            <w:r>
              <w:t xml:space="preserve">Qualification Count</w:t>
            </w:r>
          </w:p>
        </w:tc>
        <w:tc>
          <w:tcPr/>
          <w:p>
            <w:pPr>
              <w:pStyle w:val="Compact"/>
              <w:jc w:val="center"/>
            </w:pPr>
            <w:r>
              <w:t xml:space="preserve">-0.106</w:t>
            </w:r>
          </w:p>
        </w:tc>
        <w:tc>
          <w:tcPr/>
          <w:p>
            <w:pPr>
              <w:pStyle w:val="Compact"/>
              <w:jc w:val="center"/>
            </w:pPr>
            <w:r>
              <w:t xml:space="preserve">0.182 (t-test), 0.250 (Wilcoxon)</w:t>
            </w:r>
          </w:p>
        </w:tc>
      </w:tr>
      <w:tr>
        <w:tc>
          <w:tcPr/>
          <w:p>
            <w:pPr>
              <w:pStyle w:val="Compact"/>
              <w:jc w:val="left"/>
            </w:pPr>
            <w:r>
              <w:t xml:space="preserve">Suspense</w:t>
            </w:r>
          </w:p>
        </w:tc>
        <w:tc>
          <w:tcPr/>
          <w:p>
            <w:pPr>
              <w:pStyle w:val="Compact"/>
              <w:jc w:val="center"/>
            </w:pPr>
            <w:r>
              <w:t xml:space="preserve">-0.015</w:t>
            </w:r>
          </w:p>
        </w:tc>
        <w:tc>
          <w:tcPr/>
          <w:p>
            <w:pPr>
              <w:pStyle w:val="Compact"/>
              <w:jc w:val="center"/>
            </w:pPr>
            <w:r>
              <w:t xml:space="preserve">0.389 (t-test), 0.438 (Wilcoxon)</w:t>
            </w:r>
          </w:p>
        </w:tc>
      </w:tr>
      <w:tr>
        <w:tc>
          <w:tcPr>
            <w:gridSpan w:val="3"/>
          </w:tcPr>
          <w:p>
            <w:pPr>
              <w:pStyle w:val="Compact"/>
              <w:jc w:val="center"/>
            </w:pPr>
            <w:r>
              <w:rPr>
                <w:b/>
                <w:bCs/>
              </w:rPr>
              <w:t xml:space="preserve">World Cup</w:t>
            </w:r>
          </w:p>
        </w:tc>
      </w:tr>
      <w:tr>
        <w:tc>
          <w:tcPr/>
          <w:p>
            <w:pPr>
              <w:pStyle w:val="Compact"/>
              <w:jc w:val="left"/>
            </w:pPr>
            <w:r>
              <w:rPr>
                <w:b/>
                <w:bCs/>
              </w:rPr>
              <w:t xml:space="preserve">Metric</w:t>
            </w:r>
          </w:p>
        </w:tc>
        <w:tc>
          <w:tcPr/>
          <w:p>
            <w:pPr>
              <w:pStyle w:val="Compact"/>
              <w:jc w:val="center"/>
            </w:pPr>
            <w:r>
              <w:t xml:space="preserve">Mean Diff.</w:t>
            </w:r>
          </w:p>
        </w:tc>
        <w:tc>
          <w:tcPr/>
          <w:p>
            <w:pPr>
              <w:pStyle w:val="Compact"/>
              <w:jc w:val="center"/>
            </w:pPr>
            <w:r>
              <w:t xml:space="preserve">p-value</w:t>
            </w:r>
          </w:p>
        </w:tc>
      </w:tr>
      <w:tr>
        <w:tc>
          <w:tcPr/>
          <w:p>
            <w:pPr>
              <w:pStyle w:val="Compact"/>
              <w:jc w:val="left"/>
            </w:pPr>
            <w:r>
              <w:t xml:space="preserve">Qualification Count</w:t>
            </w:r>
          </w:p>
        </w:tc>
        <w:tc>
          <w:tcPr/>
          <w:p>
            <w:pPr>
              <w:pStyle w:val="Compact"/>
              <w:jc w:val="center"/>
            </w:pPr>
            <w:r>
              <w:t xml:space="preserve">-0.024</w:t>
            </w:r>
          </w:p>
        </w:tc>
        <w:tc>
          <w:tcPr/>
          <w:p>
            <w:pPr>
              <w:pStyle w:val="Compact"/>
              <w:jc w:val="center"/>
            </w:pPr>
            <w:r>
              <w:t xml:space="preserve">0.535 (t-test), 0.605 (Wilcoxon)</w:t>
            </w:r>
          </w:p>
        </w:tc>
      </w:tr>
      <w:tr>
        <w:tc>
          <w:tcPr/>
          <w:p>
            <w:pPr>
              <w:pStyle w:val="Compact"/>
              <w:jc w:val="left"/>
            </w:pPr>
            <w:r>
              <w:t xml:space="preserve">Suspense</w:t>
            </w:r>
          </w:p>
        </w:tc>
        <w:tc>
          <w:tcPr/>
          <w:p>
            <w:pPr>
              <w:pStyle w:val="Compact"/>
              <w:jc w:val="center"/>
            </w:pPr>
            <w:r>
              <w:t xml:space="preserve">-0.040</w:t>
            </w:r>
          </w:p>
        </w:tc>
        <w:tc>
          <w:tcPr/>
          <w:p>
            <w:pPr>
              <w:pStyle w:val="Compact"/>
              <w:jc w:val="center"/>
            </w:pPr>
            <w:r>
              <w:t xml:space="preserve">0.008 (t-test), 0.010 (Wilcoxon)</w:t>
            </w:r>
          </w:p>
        </w:tc>
      </w:tr>
    </w:tbl>
    <w:bookmarkEnd w:id="18"/>
    <w:p>
      <w:pPr>
        <w:pStyle w:val="BodyText"/>
      </w:pPr>
      <w:r>
        <w:rPr>
          <w:i/>
          <w:iCs/>
        </w:rPr>
        <w:t xml:space="preserve">Note:</w:t>
      </w:r>
      <w:r>
        <w:t xml:space="preserve"> </w:t>
      </w:r>
      <w:r>
        <w:t xml:space="preserve">Reported values are mean differences computed as UEFA</w:t>
      </w:r>
      <w:r>
        <w:t xml:space="preserve"> </w:t>
      </w:r>
      <m:oMath>
        <m:r>
          <m:rPr>
            <m:sty m:val="p"/>
          </m:rPr>
          <m:t>−</m:t>
        </m:r>
      </m:oMath>
      <w:r>
        <w:t xml:space="preserve"> </w:t>
      </w:r>
      <w:r>
        <w:t xml:space="preserve">FIFA over all groups</w:t>
      </w:r>
      <w:r>
        <w:t xml:space="preserve"> </w:t>
      </w:r>
      <w:r>
        <w:t xml:space="preserve">(44 European Championship groups; 74 World Cup groups). The paired t-test evaluates</w:t>
      </w:r>
      <w:r>
        <w:t xml:space="preserve"> </w:t>
      </w:r>
      <w:r>
        <w:t xml:space="preserve">differences in means under approximate normality; the Wilcoxon signed-rank test provides</w:t>
      </w:r>
      <w:r>
        <w:t xml:space="preserve"> </w:t>
      </w:r>
      <w:r>
        <w:t xml:space="preserve">a non-parametric check. Zero differences are excluded from the Wilcoxon test.</w:t>
      </w:r>
    </w:p>
    <w:bookmarkEnd w:id="19"/>
    <w:bookmarkStart w:id="32" w:name="suspense-over-time"/>
    <w:p>
      <w:pPr>
        <w:pStyle w:val="Heading2"/>
      </w:pPr>
      <w:r>
        <w:t xml:space="preserve">Suspense over Time</w:t>
      </w:r>
    </w:p>
    <w:p>
      <w:pPr>
        <w:pStyle w:val="FirstParagraph"/>
      </w:pPr>
      <w:r>
        <w:t xml:space="preserve">As shown in Figure </w:t>
      </w:r>
      <w:hyperlink w:anchor="fig:gls_dist">
        <w:r>
          <w:rPr>
            <w:rStyle w:val="Hyperlink"/>
          </w:rPr>
          <w:t xml:space="preserve">1</w:t>
        </w:r>
      </w:hyperlink>
      <w:r>
        <w:t xml:space="preserve">, the goals distributions for the two competitions appear broadly comparable, with both tournaments showing peaks in goal frequency around the 20th–30th minute in the first half and between the 45th–55th minute spanning the two halves. Toward the end of matches, differences emerge: in the European Championship, there is a distinct peak between the 80th–85th minute, while in the World Cup goals are more evenly spread across the 80th–90th minute. Overall, World Cup goals appear more evenly distributed across the full 100 minutes of play, whereas the European Championship exhibits sharper jumps in specific intervals.</w:t>
      </w:r>
    </w:p>
    <w:bookmarkStart w:id="23" w:name="fig:gls_dist"/>
    <w:p>
      <w:pPr>
        <w:pStyle w:val="CaptionedFigure"/>
      </w:pPr>
      <w:r>
        <w:drawing>
          <wp:inline>
            <wp:extent cx="5334000" cy="1778000"/>
            <wp:effectExtent b="0" l="0" r="0" t="0"/>
            <wp:docPr descr="" title="" id="21" name="Picture"/>
            <a:graphic>
              <a:graphicData uri="http://schemas.openxmlformats.org/drawingml/2006/picture">
                <pic:pic>
                  <pic:nvPicPr>
                    <pic:cNvPr descr="images/gls_dist.png" id="22" name="Picture"/>
                    <pic:cNvPicPr>
                      <a:picLocks noChangeArrowheads="1" noChangeAspect="1"/>
                    </pic:cNvPicPr>
                  </pic:nvPicPr>
                  <pic:blipFill>
                    <a:blip r:embed="rId20"/>
                    <a:stretch>
                      <a:fillRect/>
                    </a:stretch>
                  </pic:blipFill>
                  <pic:spPr bwMode="auto">
                    <a:xfrm>
                      <a:off x="0" y="0"/>
                      <a:ext cx="5334000" cy="1778000"/>
                    </a:xfrm>
                    <a:prstGeom prst="rect">
                      <a:avLst/>
                    </a:prstGeom>
                    <a:noFill/>
                    <a:ln w="9525">
                      <a:noFill/>
                      <a:headEnd/>
                      <a:tailEnd/>
                    </a:ln>
                  </pic:spPr>
                </pic:pic>
              </a:graphicData>
            </a:graphic>
          </wp:inline>
        </w:drawing>
      </w:r>
    </w:p>
    <w:p>
      <w:pPr>
        <w:pStyle w:val="ImageCaption"/>
      </w:pPr>
      <w:r>
        <w:t xml:space="preserve">Goals distribution Europe vs World Cup</w:t>
      </w:r>
    </w:p>
    <w:bookmarkEnd w:id="23"/>
    <w:p>
      <w:pPr>
        <w:pStyle w:val="BodyText"/>
      </w:pPr>
      <w:r>
        <w:t xml:space="preserve">Figures </w:t>
      </w:r>
      <w:hyperlink w:anchor="fig:susp_minute_wc">
        <w:r>
          <w:rPr>
            <w:rStyle w:val="Hyperlink"/>
          </w:rPr>
          <w:t xml:space="preserve">2</w:t>
        </w:r>
      </w:hyperlink>
      <w:r>
        <w:t xml:space="preserve"> </w:t>
      </w:r>
      <w:r>
        <w:t xml:space="preserve">and </w:t>
      </w:r>
      <w:hyperlink w:anchor="fig:susp_minute_eu">
        <w:r>
          <w:rPr>
            <w:rStyle w:val="Hyperlink"/>
          </w:rPr>
          <w:t xml:space="preserve">3</w:t>
        </w:r>
      </w:hyperlink>
      <w:r>
        <w:t xml:space="preserve"> </w:t>
      </w:r>
      <w:r>
        <w:t xml:space="preserve">display the average suspense per minute under each rule for the World Cup and the European Championship respectively. In the World Cup, FIFA rules generate systematically higher suspense across the full 90 minutes, with the gap largest in the final stage of the match. In the European Championship, by contrast, the difference between the two rules is small and — consistent with the statistical tests — not statistically significant. The contrast between the two panels makes the point directly: the effect of the tie-breaking rule on suspense is specific to the World Cup and does not arise from how the rules operate in any tournament context.</w:t>
      </w:r>
    </w:p>
    <w:bookmarkStart w:id="27" w:name="fig:susp_minute_wc"/>
    <w:p>
      <w:pPr>
        <w:pStyle w:val="CaptionedFigure"/>
      </w:pPr>
      <w:r>
        <w:drawing>
          <wp:inline>
            <wp:extent cx="5334000" cy="3185283"/>
            <wp:effectExtent b="0" l="0" r="0" t="0"/>
            <wp:docPr descr="" title="" id="25" name="Picture"/>
            <a:graphic>
              <a:graphicData uri="http://schemas.openxmlformats.org/drawingml/2006/picture">
                <pic:pic>
                  <pic:nvPicPr>
                    <pic:cNvPr descr="images/susp_minute_wc.png" id="26" name="Picture"/>
                    <pic:cNvPicPr>
                      <a:picLocks noChangeArrowheads="1" noChangeAspect="1"/>
                    </pic:cNvPicPr>
                  </pic:nvPicPr>
                  <pic:blipFill>
                    <a:blip r:embed="rId24"/>
                    <a:stretch>
                      <a:fillRect/>
                    </a:stretch>
                  </pic:blipFill>
                  <pic:spPr bwMode="auto">
                    <a:xfrm>
                      <a:off x="0" y="0"/>
                      <a:ext cx="5334000" cy="3185283"/>
                    </a:xfrm>
                    <a:prstGeom prst="rect">
                      <a:avLst/>
                    </a:prstGeom>
                    <a:noFill/>
                    <a:ln w="9525">
                      <a:noFill/>
                      <a:headEnd/>
                      <a:tailEnd/>
                    </a:ln>
                  </pic:spPr>
                </pic:pic>
              </a:graphicData>
            </a:graphic>
          </wp:inline>
        </w:drawing>
      </w:r>
    </w:p>
    <w:p>
      <w:pPr>
        <w:pStyle w:val="ImageCaption"/>
      </w:pPr>
      <w:r>
        <w:t xml:space="preserve">Average suspense per minute under FIFA and UEFA rules — World Cup.</w:t>
      </w:r>
    </w:p>
    <w:bookmarkEnd w:id="27"/>
    <w:bookmarkStart w:id="31" w:name="fig:susp_minute_eu"/>
    <w:p>
      <w:pPr>
        <w:pStyle w:val="CaptionedFigure"/>
      </w:pPr>
      <w:r>
        <w:drawing>
          <wp:inline>
            <wp:extent cx="5334000" cy="3182062"/>
            <wp:effectExtent b="0" l="0" r="0" t="0"/>
            <wp:docPr descr="" title="" id="29" name="Picture"/>
            <a:graphic>
              <a:graphicData uri="http://schemas.openxmlformats.org/drawingml/2006/picture">
                <pic:pic>
                  <pic:nvPicPr>
                    <pic:cNvPr descr="images/susp_minute_eu.png" id="30" name="Picture"/>
                    <pic:cNvPicPr>
                      <a:picLocks noChangeArrowheads="1" noChangeAspect="1"/>
                    </pic:cNvPicPr>
                  </pic:nvPicPr>
                  <pic:blipFill>
                    <a:blip r:embed="rId28"/>
                    <a:stretch>
                      <a:fillRect/>
                    </a:stretch>
                  </pic:blipFill>
                  <pic:spPr bwMode="auto">
                    <a:xfrm>
                      <a:off x="0" y="0"/>
                      <a:ext cx="5334000" cy="3182062"/>
                    </a:xfrm>
                    <a:prstGeom prst="rect">
                      <a:avLst/>
                    </a:prstGeom>
                    <a:noFill/>
                    <a:ln w="9525">
                      <a:noFill/>
                      <a:headEnd/>
                      <a:tailEnd/>
                    </a:ln>
                  </pic:spPr>
                </pic:pic>
              </a:graphicData>
            </a:graphic>
          </wp:inline>
        </w:drawing>
      </w:r>
    </w:p>
    <w:p>
      <w:pPr>
        <w:pStyle w:val="ImageCaption"/>
      </w:pPr>
      <w:r>
        <w:t xml:space="preserve">Average suspense per minute under FIFA and UEFA rules — European Championship.</w:t>
      </w:r>
    </w:p>
    <w:bookmarkEnd w:id="31"/>
    <w:p>
      <w:pPr>
        <w:pStyle w:val="BodyText"/>
      </w:pPr>
      <w:r>
        <w:t xml:space="preserve">This pattern is consistent with</w:t>
      </w:r>
      <w:r>
        <w:t xml:space="preserve"> </w:t>
      </w:r>
      <w:r>
        <w:t xml:space="preserve">Csató (2023)</w:t>
      </w:r>
      <w:r>
        <w:t xml:space="preserve">, who, analysing the 2022/23 UEFA Nations League, argues from a theoretical perspective and through simulated outcomes that prioritising goal difference (FIFA) over head-to-head (UEFA) criteria raises the stakes of matches toward the end of competition. Figure </w:t>
      </w:r>
      <w:hyperlink w:anchor="fig:susp_minute_wc">
        <w:r>
          <w:rPr>
            <w:rStyle w:val="Hyperlink"/>
          </w:rPr>
          <w:t xml:space="preserve">2</w:t>
        </w:r>
      </w:hyperlink>
      <w:r>
        <w:t xml:space="preserve"> </w:t>
      </w:r>
      <w:r>
        <w:t xml:space="preserve">provides direct empirical support for this mechanism in the World Cup context. A breakdown of suspense trajectories by group type for both tournaments is reported in Appendix </w:t>
      </w:r>
      <w:hyperlink w:anchor="app:wc_trajectories">
        <w:r>
          <w:rPr>
            <w:rStyle w:val="Hyperlink"/>
          </w:rPr>
          <w:t xml:space="preserve">6.3</w:t>
        </w:r>
      </w:hyperlink>
      <w:r>
        <w:t xml:space="preserve"> </w:t>
      </w:r>
      <w:r>
        <w:t xml:space="preserve">and Appendix </w:t>
      </w:r>
      <w:hyperlink w:anchor="app:euro_trajectories">
        <w:r>
          <w:rPr>
            <w:rStyle w:val="Hyperlink"/>
          </w:rPr>
          <w:t xml:space="preserve">6.4</w:t>
        </w:r>
      </w:hyperlink>
      <w:r>
        <w:t xml:space="preserve">.</w:t>
      </w:r>
    </w:p>
    <w:bookmarkEnd w:id="32"/>
    <w:bookmarkStart w:id="41" w:name="regression-analysis"/>
    <w:p>
      <w:pPr>
        <w:pStyle w:val="Heading2"/>
      </w:pPr>
      <w:r>
        <w:t xml:space="preserve">Regression Analysis</w:t>
      </w:r>
    </w:p>
    <w:p>
      <w:pPr>
        <w:pStyle w:val="FirstParagraph"/>
      </w:pPr>
      <w:r>
        <w:t xml:space="preserve">We estimate seven models to test whether the FIFA rule is associated with more frequent qualification changes and higher suspense, after controlling for competitive balance. All logit models report average marginal effects (AME) with standard errors clustered at the group (year </w:t>
      </w:r>
      <m:oMath>
        <m:r>
          <m:rPr>
            <m:sty m:val="p"/>
          </m:rPr>
          <m:t>×</m:t>
        </m:r>
      </m:oMath>
      <w:r>
        <w:t xml:space="preserve"> stage) level.</w:t>
      </w:r>
    </w:p>
    <w:bookmarkStart w:id="33" w:name="X10077ffd45507d3488acb95882a7ea09f541921"/>
    <w:p>
      <w:pPr>
        <w:pStyle w:val="Heading4"/>
      </w:pPr>
      <w:r>
        <w:t xml:space="preserve">Model 1 — Logit for qualification change, match-level Elo (Table </w:t>
      </w:r>
      <w:hyperlink w:anchor="tab:reg_grp">
        <w:r>
          <w:rPr>
            <w:rStyle w:val="Hyperlink"/>
          </w:rPr>
          <w:t xml:space="preserve">4</w:t>
        </w:r>
      </w:hyperlink>
      <w:r>
        <w:t xml:space="preserve">).</w:t>
      </w:r>
    </w:p>
    <w:p>
      <w:pPr>
        <w:pStyle w:val="FirstParagraph"/>
      </w:pPr>
      <w:r>
        <w:t xml:space="preserve">The unit of observation is a goal</w:t>
      </w:r>
      <w:r>
        <w:t xml:space="preserve"> </w:t>
      </w:r>
      <m:oMath>
        <m:r>
          <m:t>k</m:t>
        </m:r>
      </m:oMath>
      <w:r>
        <w:t xml:space="preserve"> </w:t>
      </w:r>
      <w:r>
        <w:t xml:space="preserve">in group</w:t>
      </w:r>
      <w:r>
        <w:t xml:space="preserve"> </w:t>
      </w:r>
      <m:oMath>
        <m:r>
          <m:t>g</m:t>
        </m:r>
      </m:oMath>
      <w:r>
        <w:t xml:space="preserve">. The dependent variable is</w:t>
      </w:r>
      <w:r>
        <w:t xml:space="preserve"> </w:t>
      </w:r>
      <w:r>
        <w:rPr>
          <w:i/>
          <w:iCs/>
        </w:rPr>
        <w:t xml:space="preserve">qual_changed</w:t>
      </w:r>
      <w:r>
        <w:t xml:space="preserve">, a binary indicator equal to 1 when the set of qualifying teams changes from one goal to the next:</w:t>
      </w:r>
    </w:p>
    <w:p>
      <w:pPr>
        <w:pStyle w:val="BodyText"/>
      </w:pPr>
      <m:oMathPara>
        <m:oMathParaPr>
          <m:jc m:val="center"/>
        </m:oMathParaPr>
        <m:oMath>
          <m:r>
            <m:rPr>
              <m:sty m:val="p"/>
            </m:rPr>
            <m:t>Pr</m:t>
          </m:r>
          <m:r>
            <m:rPr>
              <m:sty m:val="p"/>
            </m:rPr>
            <m:t>(</m:t>
          </m:r>
          <m:sSub>
            <m:e>
              <m:r>
                <m:rPr>
                  <m:nor/>
                  <m:sty m:val="i"/>
                </m:rPr>
                <m:t>qual_changed</m:t>
              </m:r>
            </m:e>
            <m:sub>
              <m:r>
                <m:t>g</m:t>
              </m:r>
              <m:r>
                <m:t>k</m:t>
              </m:r>
            </m:sub>
          </m:sSub>
          <m:r>
            <m:rPr>
              <m:sty m:val="p"/>
            </m:rPr>
            <m:t>=</m:t>
          </m:r>
          <m:r>
            <m:t>1</m:t>
          </m:r>
          <m:r>
            <m:rPr>
              <m:sty m:val="p"/>
            </m:rPr>
            <m:t>)</m:t>
          </m:r>
          <m:r>
            <m:rPr>
              <m:sty m:val="p"/>
            </m:rPr>
            <m:t>=</m:t>
          </m:r>
          <m:r>
            <m:rPr>
              <m:sty m:val="p"/>
            </m:rPr>
            <m:t>Λ</m:t>
          </m:r>
          <m:r>
            <m:t>​</m:t>
          </m:r>
          <m:d>
            <m:dPr>
              <m:begChr m:val="("/>
              <m:sepChr m:val=""/>
              <m:endChr m:val=")"/>
              <m:grow/>
            </m:dPr>
            <m:e>
              <m:r>
                <m:t>α</m:t>
              </m:r>
              <m:r>
                <m:rPr>
                  <m:sty m:val="p"/>
                </m:rPr>
                <m:t>+</m:t>
              </m:r>
              <m:r>
                <m:t>β</m:t>
              </m:r>
              <m:r>
                <m:t> </m:t>
              </m:r>
              <m:sSub>
                <m:e>
                  <m:r>
                    <m:rPr>
                      <m:nor/>
                      <m:sty m:val="i"/>
                    </m:rPr>
                    <m:t>FIFA_rule</m:t>
                  </m:r>
                </m:e>
                <m:sub>
                  <m:r>
                    <m:t>g</m:t>
                  </m:r>
                </m:sub>
              </m:sSub>
              <m:r>
                <m:rPr>
                  <m:sty m:val="p"/>
                </m:rPr>
                <m:t>+</m:t>
              </m:r>
              <m:sSub>
                <m:e>
                  <m:r>
                    <m:t>γ</m:t>
                  </m:r>
                </m:e>
                <m:sub>
                  <m:r>
                    <m:t>1</m:t>
                  </m:r>
                </m:sub>
              </m:sSub>
              <m:r>
                <m:t> </m:t>
              </m:r>
              <m:sSub>
                <m:e>
                  <m:r>
                    <m:rPr>
                      <m:nor/>
                      <m:sty m:val="i"/>
                    </m:rPr>
                    <m:t>elo_fav</m:t>
                  </m:r>
                </m:e>
                <m:sub>
                  <m:r>
                    <m:t>g</m:t>
                  </m:r>
                  <m:r>
                    <m:t>k</m:t>
                  </m:r>
                </m:sub>
              </m:sSub>
              <m:r>
                <m:rPr>
                  <m:sty m:val="p"/>
                </m:rPr>
                <m:t>+</m:t>
              </m:r>
              <m:sSub>
                <m:e>
                  <m:r>
                    <m:t>γ</m:t>
                  </m:r>
                </m:e>
                <m:sub>
                  <m:r>
                    <m:t>2</m:t>
                  </m:r>
                </m:sub>
              </m:sSub>
              <m:r>
                <m:t> </m:t>
              </m:r>
              <m:sSub>
                <m:e>
                  <m:r>
                    <m:rPr>
                      <m:nor/>
                      <m:sty m:val="i"/>
                    </m:rPr>
                    <m:t>elo_under</m:t>
                  </m:r>
                </m:e>
                <m:sub>
                  <m:r>
                    <m:t>g</m:t>
                  </m:r>
                  <m:r>
                    <m:t>k</m:t>
                  </m:r>
                </m:sub>
              </m:sSub>
            </m:e>
          </m:d>
        </m:oMath>
      </m:oMathPara>
    </w:p>
    <w:p>
      <w:pPr>
        <w:pStyle w:val="FirstParagraph"/>
      </w:pPr>
      <w:r>
        <w:t xml:space="preserve">where</w:t>
      </w:r>
      <w:r>
        <w:t xml:space="preserve"> </w:t>
      </w:r>
      <m:oMath>
        <m:r>
          <m:rPr>
            <m:sty m:val="p"/>
          </m:rPr>
          <m:t>Λ</m:t>
        </m:r>
        <m:r>
          <m:rPr>
            <m:sty m:val="p"/>
          </m:rPr>
          <m:t>(</m:t>
        </m:r>
        <m:r>
          <m:rPr>
            <m:sty m:val="p"/>
          </m:rPr>
          <m:t>⋅</m:t>
        </m:r>
        <m:r>
          <m:rPr>
            <m:sty m:val="p"/>
          </m:rPr>
          <m:t>)</m:t>
        </m:r>
      </m:oMath>
      <w:r>
        <w:t xml:space="preserve"> </w:t>
      </w:r>
      <w:r>
        <w:t xml:space="preserve">is the logistic CDF,</w:t>
      </w:r>
      <w:r>
        <w:t xml:space="preserve"> </w:t>
      </w:r>
      <w:r>
        <w:rPr>
          <w:i/>
          <w:iCs/>
        </w:rPr>
        <w:t xml:space="preserve">elo_fav</w:t>
      </w:r>
      <w:r>
        <w:t xml:space="preserve"> </w:t>
      </w:r>
      <w:r>
        <w:t xml:space="preserve">and</w:t>
      </w:r>
      <w:r>
        <w:t xml:space="preserve"> </w:t>
      </w:r>
      <w:r>
        <w:rPr>
          <w:i/>
          <w:iCs/>
        </w:rPr>
        <w:t xml:space="preserve">elo_under</w:t>
      </w:r>
      <w:r>
        <w:t xml:space="preserve"> </w:t>
      </w:r>
      <w:r>
        <w:t xml:space="preserve">are the Elo ratings of the stronger and weaker team in the match respectively.</w:t>
      </w:r>
    </w:p>
    <w:bookmarkEnd w:id="33"/>
    <w:bookmarkStart w:id="34" w:name="X54c3ab2870223628534ee47d260191dee311efa"/>
    <w:p>
      <w:pPr>
        <w:pStyle w:val="Heading4"/>
      </w:pPr>
      <w:r>
        <w:t xml:space="preserve">Model 2 — Logit for qualification change, group-level Elo ranks (Table </w:t>
      </w:r>
      <w:hyperlink w:anchor="tab:reg_grp">
        <w:r>
          <w:rPr>
            <w:rStyle w:val="Hyperlink"/>
          </w:rPr>
          <w:t xml:space="preserve">4</w:t>
        </w:r>
      </w:hyperlink>
      <w:r>
        <w:t xml:space="preserve">).</w:t>
      </w:r>
    </w:p>
    <w:p>
      <w:pPr>
        <w:pStyle w:val="FirstParagraph"/>
      </w:pPr>
      <w:r>
        <w:t xml:space="preserve">The match-level Elo controls are replaced by the four group-level Elo ranks (</w:t>
      </w:r>
      <w:r>
        <w:rPr>
          <w:i/>
          <w:iCs/>
        </w:rPr>
        <w:t xml:space="preserve">elo1st</w:t>
      </w:r>
      <w:r>
        <w:t xml:space="preserve">–</w:t>
      </w:r>
      <w:r>
        <w:rPr>
          <w:i/>
          <w:iCs/>
        </w:rPr>
        <w:t xml:space="preserve">elo4th</w:t>
      </w:r>
      <w:r>
        <w:t xml:space="preserve">, from highest to lowest within the group), which characterise the overall competitive balance of the group rather than the specific match:</w:t>
      </w:r>
    </w:p>
    <w:p>
      <w:pPr>
        <w:pStyle w:val="BodyText"/>
      </w:pPr>
      <m:oMathPara>
        <m:oMathParaPr>
          <m:jc m:val="center"/>
        </m:oMathParaPr>
        <m:oMath>
          <m:r>
            <m:rPr>
              <m:sty m:val="p"/>
            </m:rPr>
            <m:t>Pr</m:t>
          </m:r>
          <m:r>
            <m:rPr>
              <m:sty m:val="p"/>
            </m:rPr>
            <m:t>(</m:t>
          </m:r>
          <m:sSub>
            <m:e>
              <m:r>
                <m:rPr>
                  <m:nor/>
                  <m:sty m:val="i"/>
                </m:rPr>
                <m:t>qual_changed</m:t>
              </m:r>
            </m:e>
            <m:sub>
              <m:r>
                <m:t>g</m:t>
              </m:r>
              <m:r>
                <m:t>k</m:t>
              </m:r>
            </m:sub>
          </m:sSub>
          <m:r>
            <m:rPr>
              <m:sty m:val="p"/>
            </m:rPr>
            <m:t>=</m:t>
          </m:r>
          <m:r>
            <m:t>1</m:t>
          </m:r>
          <m:r>
            <m:rPr>
              <m:sty m:val="p"/>
            </m:rPr>
            <m:t>)</m:t>
          </m:r>
          <m:r>
            <m:rPr>
              <m:sty m:val="p"/>
            </m:rPr>
            <m:t>=</m:t>
          </m:r>
          <m:r>
            <m:rPr>
              <m:sty m:val="p"/>
            </m:rPr>
            <m:t>Λ</m:t>
          </m:r>
          <m:r>
            <m:t>​</m:t>
          </m:r>
          <m:d>
            <m:dPr>
              <m:begChr m:val="("/>
              <m:sepChr m:val=""/>
              <m:endChr m:val=")"/>
              <m:grow/>
            </m:dPr>
            <m:e>
              <m:r>
                <m:t>α</m:t>
              </m:r>
              <m:r>
                <m:rPr>
                  <m:sty m:val="p"/>
                </m:rPr>
                <m:t>+</m:t>
              </m:r>
              <m:r>
                <m:t>β</m:t>
              </m:r>
              <m:r>
                <m:t> </m:t>
              </m:r>
              <m:sSub>
                <m:e>
                  <m:r>
                    <m:rPr>
                      <m:nor/>
                      <m:sty m:val="i"/>
                    </m:rPr>
                    <m:t>FIFA_rule</m:t>
                  </m:r>
                </m:e>
                <m:sub>
                  <m:r>
                    <m:t>g</m:t>
                  </m:r>
                </m:sub>
              </m:sSub>
              <m:r>
                <m:rPr>
                  <m:sty m:val="p"/>
                </m:rPr>
                <m:t>+</m:t>
              </m:r>
              <m:nary>
                <m:naryPr>
                  <m:chr m:val="∑"/>
                  <m:limLoc m:val="undOvr"/>
                  <m:subHide m:val="off"/>
                  <m:supHide m:val="off"/>
                </m:naryPr>
                <m:sub>
                  <m:r>
                    <m:t>r</m:t>
                  </m:r>
                  <m:r>
                    <m:rPr>
                      <m:sty m:val="p"/>
                    </m:rPr>
                    <m:t>=</m:t>
                  </m:r>
                  <m:r>
                    <m:t>1</m:t>
                  </m:r>
                </m:sub>
                <m:sup>
                  <m:r>
                    <m:t>4</m:t>
                  </m:r>
                </m:sup>
                <m:e>
                  <m:sSub>
                    <m:e>
                      <m:r>
                        <m:t>γ</m:t>
                      </m:r>
                    </m:e>
                    <m:sub>
                      <m:r>
                        <m:t>r</m:t>
                      </m:r>
                    </m:sub>
                  </m:sSub>
                </m:e>
              </m:nary>
              <m:r>
                <m:t> </m:t>
              </m:r>
              <m:sSubSup>
                <m:e>
                  <m:r>
                    <m:rPr>
                      <m:nor/>
                      <m:sty m:val="i"/>
                    </m:rPr>
                    <m:t>elo</m:t>
                  </m:r>
                </m:e>
                <m:sub>
                  <m:r>
                    <m:t>g</m:t>
                  </m:r>
                </m:sub>
                <m:sup>
                  <m:r>
                    <m:rPr>
                      <m:sty m:val="p"/>
                    </m:rPr>
                    <m:t>(</m:t>
                  </m:r>
                  <m:r>
                    <m:t>r</m:t>
                  </m:r>
                  <m:r>
                    <m:rPr>
                      <m:sty m:val="p"/>
                    </m:rPr>
                    <m:t>)</m:t>
                  </m:r>
                </m:sup>
              </m:sSubSup>
            </m:e>
          </m:d>
        </m:oMath>
      </m:oMathPara>
    </w:p>
    <w:bookmarkEnd w:id="34"/>
    <w:bookmarkStart w:id="35" w:name="Xc5edf37bca48e837294c189ebdd5fed3484c748"/>
    <w:p>
      <w:pPr>
        <w:pStyle w:val="Heading4"/>
      </w:pPr>
      <w:r>
        <w:t xml:space="preserve">Model 3 — Poisson for qualification count (Table </w:t>
      </w:r>
      <w:hyperlink w:anchor="tab:reg_grp">
        <w:r>
          <w:rPr>
            <w:rStyle w:val="Hyperlink"/>
          </w:rPr>
          <w:t xml:space="preserve">4</w:t>
        </w:r>
      </w:hyperlink>
      <w:r>
        <w:t xml:space="preserve">).</w:t>
      </w:r>
    </w:p>
    <w:p>
      <w:pPr>
        <w:pStyle w:val="FirstParagraph"/>
      </w:pPr>
      <w:r>
        <w:t xml:space="preserve">The data are collapsed to one observation per group using the maximum value of</w:t>
      </w:r>
      <w:r>
        <w:t xml:space="preserve"> </w:t>
      </w:r>
      <w:r>
        <w:rPr>
          <w:i/>
          <w:iCs/>
        </w:rPr>
        <w:t xml:space="preserve">qual_count</w:t>
      </w:r>
      <w:r>
        <w:t xml:space="preserve">, which records the cumulative number of times the qualifying composition changed within a group. A Poisson regression with robust standard errors is estimated:</w:t>
      </w:r>
    </w:p>
    <w:p>
      <w:pPr>
        <w:pStyle w:val="BodyText"/>
      </w:pPr>
      <m:oMathPara>
        <m:oMathParaPr>
          <m:jc m:val="center"/>
        </m:oMathParaPr>
        <m:oMath>
          <m:r>
            <m:rPr>
              <m:scr m:val="double-struck"/>
              <m:sty m:val="p"/>
            </m:rPr>
            <m:t>E</m:t>
          </m:r>
          <m:r>
            <m:rPr>
              <m:sty m:val="p"/>
            </m:rPr>
            <m:t>[</m:t>
          </m:r>
          <m:sSub>
            <m:e>
              <m:r>
                <m:rPr>
                  <m:nor/>
                  <m:sty m:val="i"/>
                </m:rPr>
                <m:t>qual_count</m:t>
              </m:r>
            </m:e>
            <m:sub>
              <m:r>
                <m:t>g</m:t>
              </m:r>
            </m:sub>
          </m:sSub>
          <m:r>
            <m:rPr>
              <m:sty m:val="p"/>
            </m:rPr>
            <m:t>]</m:t>
          </m:r>
          <m:r>
            <m:rPr>
              <m:sty m:val="p"/>
            </m:rPr>
            <m:t>=</m:t>
          </m:r>
          <m:r>
            <m:rPr>
              <m:sty m:val="p"/>
            </m:rPr>
            <m:t>exp</m:t>
          </m:r>
          <m:r>
            <m:t>​</m:t>
          </m:r>
          <m:d>
            <m:dPr>
              <m:begChr m:val="("/>
              <m:sepChr m:val=""/>
              <m:endChr m:val=")"/>
              <m:grow/>
            </m:dPr>
            <m:e>
              <m:r>
                <m:t>α</m:t>
              </m:r>
              <m:r>
                <m:rPr>
                  <m:sty m:val="p"/>
                </m:rPr>
                <m:t>+</m:t>
              </m:r>
              <m:r>
                <m:t>β</m:t>
              </m:r>
              <m:r>
                <m:t> </m:t>
              </m:r>
              <m:sSub>
                <m:e>
                  <m:r>
                    <m:rPr>
                      <m:nor/>
                      <m:sty m:val="i"/>
                    </m:rPr>
                    <m:t>FIFA_rule</m:t>
                  </m:r>
                </m:e>
                <m:sub>
                  <m:r>
                    <m:t>g</m:t>
                  </m:r>
                </m:sub>
              </m:sSub>
              <m:r>
                <m:rPr>
                  <m:sty m:val="p"/>
                </m:rPr>
                <m:t>+</m:t>
              </m:r>
              <m:nary>
                <m:naryPr>
                  <m:chr m:val="∑"/>
                  <m:limLoc m:val="undOvr"/>
                  <m:subHide m:val="off"/>
                  <m:supHide m:val="off"/>
                </m:naryPr>
                <m:sub>
                  <m:r>
                    <m:t>r</m:t>
                  </m:r>
                  <m:r>
                    <m:rPr>
                      <m:sty m:val="p"/>
                    </m:rPr>
                    <m:t>=</m:t>
                  </m:r>
                  <m:r>
                    <m:t>1</m:t>
                  </m:r>
                </m:sub>
                <m:sup>
                  <m:r>
                    <m:t>4</m:t>
                  </m:r>
                </m:sup>
                <m:e>
                  <m:sSub>
                    <m:e>
                      <m:r>
                        <m:t>γ</m:t>
                      </m:r>
                    </m:e>
                    <m:sub>
                      <m:r>
                        <m:t>r</m:t>
                      </m:r>
                    </m:sub>
                  </m:sSub>
                </m:e>
              </m:nary>
              <m:r>
                <m:t> </m:t>
              </m:r>
              <m:sSubSup>
                <m:e>
                  <m:r>
                    <m:rPr>
                      <m:nor/>
                      <m:sty m:val="i"/>
                    </m:rPr>
                    <m:t>elo</m:t>
                  </m:r>
                </m:e>
                <m:sub>
                  <m:r>
                    <m:t>g</m:t>
                  </m:r>
                </m:sub>
                <m:sup>
                  <m:r>
                    <m:rPr>
                      <m:sty m:val="p"/>
                    </m:rPr>
                    <m:t>(</m:t>
                  </m:r>
                  <m:r>
                    <m:t>r</m:t>
                  </m:r>
                  <m:r>
                    <m:rPr>
                      <m:sty m:val="p"/>
                    </m:rPr>
                    <m:t>)</m:t>
                  </m:r>
                </m:sup>
              </m:sSubSup>
            </m:e>
          </m:d>
        </m:oMath>
      </m:oMathPara>
    </w:p>
    <w:bookmarkEnd w:id="35"/>
    <w:bookmarkStart w:id="36" w:name="X722bfc3287052561978cd8251e95d5e908c09c0"/>
    <w:p>
      <w:pPr>
        <w:pStyle w:val="Heading4"/>
      </w:pPr>
      <w:r>
        <w:t xml:space="preserve">Models 4 &amp; 5 — Logit for suspense, goal level (Table </w:t>
      </w:r>
      <w:hyperlink w:anchor="tab:reg_susp">
        <w:r>
          <w:rPr>
            <w:rStyle w:val="Hyperlink"/>
          </w:rPr>
          <w:t xml:space="preserve">5</w:t>
        </w:r>
      </w:hyperlink>
      <w:r>
        <w:t xml:space="preserve">).</w:t>
      </w:r>
    </w:p>
    <w:p>
      <w:pPr>
        <w:pStyle w:val="FirstParagraph"/>
      </w:pPr>
      <w:r>
        <w:t xml:space="preserve">To test whether the FIFA rule is associated with higher suspense at the moment of each goal, we re-estimate the logit framework with</w:t>
      </w:r>
      <w:r>
        <w:t xml:space="preserve"> </w:t>
      </w:r>
      <w:r>
        <w:rPr>
          <w:i/>
          <w:iCs/>
        </w:rPr>
        <w:t xml:space="preserve">suspense</w:t>
      </w:r>
      <w:r>
        <w:t xml:space="preserve"> </w:t>
      </w:r>
      <w:r>
        <w:t xml:space="preserve">replacing</w:t>
      </w:r>
      <w:r>
        <w:t xml:space="preserve"> </w:t>
      </w:r>
      <w:r>
        <w:rPr>
          <w:i/>
          <w:iCs/>
        </w:rPr>
        <w:t xml:space="preserve">qual_changed</w:t>
      </w:r>
      <w:r>
        <w:t xml:space="preserve"> </w:t>
      </w:r>
      <w:r>
        <w:t xml:space="preserve">as the dependent variable, using the same goal-level dataset. Model 4 retains match-level Elo controls (</w:t>
      </w:r>
      <w:r>
        <w:rPr>
          <w:i/>
          <w:iCs/>
        </w:rPr>
        <w:t xml:space="preserve">elo_fav</w:t>
      </w:r>
      <w:r>
        <w:t xml:space="preserve">,</w:t>
      </w:r>
      <w:r>
        <w:t xml:space="preserve"> </w:t>
      </w:r>
      <w:r>
        <w:rPr>
          <w:i/>
          <w:iCs/>
        </w:rPr>
        <w:t xml:space="preserve">elo_und</w:t>
      </w:r>
      <w:r>
        <w:t xml:space="preserve">); Model 5 uses group-level Elo ranks (</w:t>
      </w:r>
      <w:r>
        <w:rPr>
          <w:i/>
          <w:iCs/>
        </w:rPr>
        <w:t xml:space="preserve">elo1st</w:t>
      </w:r>
      <w:r>
        <w:t xml:space="preserve">–</w:t>
      </w:r>
      <w:r>
        <w:rPr>
          <w:i/>
          <w:iCs/>
        </w:rPr>
        <w:t xml:space="preserve">elo4th</w:t>
      </w:r>
      <w:r>
        <w:t xml:space="preserve">).</w:t>
      </w:r>
    </w:p>
    <w:bookmarkEnd w:id="36"/>
    <w:bookmarkStart w:id="40" w:name="Xf7633f4b922d47f49c16357c5b4365afb4fba60"/>
    <w:p>
      <w:pPr>
        <w:pStyle w:val="Heading4"/>
      </w:pPr>
      <w:r>
        <w:t xml:space="preserve">MBM Models — Logit for suspense and qualification change (Table </w:t>
      </w:r>
      <w:hyperlink w:anchor="tab:reg_mbm">
        <w:r>
          <w:rPr>
            <w:rStyle w:val="Hyperlink"/>
          </w:rPr>
          <w:t xml:space="preserve">6</w:t>
        </w:r>
      </w:hyperlink>
      <w:r>
        <w:t xml:space="preserve">).</w:t>
      </w:r>
    </w:p>
    <w:p>
      <w:pPr>
        <w:pStyle w:val="FirstParagraph"/>
      </w:pPr>
      <w:r>
        <w:t xml:space="preserve">At the minute-by-minute level, we estimate two logit models using group-level Elo controls (</w:t>
      </w:r>
      <w:r>
        <w:rPr>
          <w:i/>
          <w:iCs/>
        </w:rPr>
        <w:t xml:space="preserve">elo1st</w:t>
      </w:r>
      <w:r>
        <w:t xml:space="preserve">–</w:t>
      </w:r>
      <w:r>
        <w:rPr>
          <w:i/>
          <w:iCs/>
        </w:rPr>
        <w:t xml:space="preserve">elo4th</w:t>
      </w:r>
      <w:r>
        <w:t xml:space="preserve">). MBM-A uses the binary</w:t>
      </w:r>
      <w:r>
        <w:t xml:space="preserve"> </w:t>
      </w:r>
      <w:r>
        <w:rPr>
          <w:i/>
          <w:iCs/>
        </w:rPr>
        <w:t xml:space="preserve">suspense</w:t>
      </w:r>
      <w:r>
        <w:t xml:space="preserve"> </w:t>
      </w:r>
      <w:r>
        <w:t xml:space="preserve">indicator as the dependent variable. MBM-B uses</w:t>
      </w:r>
      <w:r>
        <w:t xml:space="preserve"> </w:t>
      </w:r>
      <w:r>
        <w:rPr>
          <w:i/>
          <w:iCs/>
        </w:rPr>
        <w:t xml:space="preserve">qual_changed</w:t>
      </w:r>
      <w:r>
        <w:t xml:space="preserve">, testing whether the FIFA rule is associated with changes in the qualifying composition at the minute level.</w:t>
      </w:r>
    </w:p>
    <w:p>
      <w:pPr>
        <w:pStyle w:val="BodyText"/>
      </w:pPr>
      <w:r>
        <w:t xml:space="preserve">Table </w:t>
      </w:r>
      <w:hyperlink w:anchor="tab:reg_grp">
        <w:r>
          <w:rPr>
            <w:rStyle w:val="Hyperlink"/>
          </w:rPr>
          <w:t xml:space="preserve">4</w:t>
        </w:r>
      </w:hyperlink>
      <w:r>
        <w:t xml:space="preserve"> </w:t>
      </w:r>
      <w:r>
        <w:t xml:space="preserve">reports the estimates for Models 1–3. The coefficient on</w:t>
      </w:r>
      <w:r>
        <w:t xml:space="preserve"> </w:t>
      </w:r>
      <w:r>
        <w:rPr>
          <w:i/>
          <w:iCs/>
        </w:rPr>
        <w:t xml:space="preserve">FIFA_rule</w:t>
      </w:r>
      <w:r>
        <w:t xml:space="preserve"> </w:t>
      </w:r>
      <w:r>
        <w:t xml:space="preserve">is consistently negative across all specifications: World Cup goals are on average 9.7 percentage points less likely to change the qualifying composition than European Championship goals (Model 1,</w:t>
      </w:r>
      <w:r>
        <w:t xml:space="preserve"> </w:t>
      </w:r>
      <m:oMath>
        <m:r>
          <m:t>p</m:t>
        </m:r>
        <m:r>
          <m:rPr>
            <m:sty m:val="p"/>
          </m:rPr>
          <m:t>=</m:t>
        </m:r>
        <m:r>
          <m:t>0.045</m:t>
        </m:r>
      </m:oMath>
      <w:r>
        <w:t xml:space="preserve">,</w:t>
      </w:r>
      <w:r>
        <w:t xml:space="preserve"> </w:t>
      </w:r>
      <m:oMath>
        <m:r>
          <m:t>N</m:t>
        </m:r>
        <m:r>
          <m:rPr>
            <m:sty m:val="p"/>
          </m:rPr>
          <m:t>=</m:t>
        </m:r>
        <m:r>
          <m:t>607</m:t>
        </m:r>
      </m:oMath>
      <w:r>
        <w:t xml:space="preserve">), with a consistent direction in Model 2 (</w:t>
      </w:r>
      <m:oMath>
        <m:r>
          <m:rPr>
            <m:sty m:val="p"/>
          </m:rPr>
          <m:t>−</m:t>
        </m:r>
        <m:r>
          <m:t>6.5</m:t>
        </m:r>
      </m:oMath>
      <w:r>
        <w:t xml:space="preserve"> </w:t>
      </w:r>
      <w:r>
        <w:t xml:space="preserve">pp,</w:t>
      </w:r>
      <w:r>
        <w:t xml:space="preserve"> </w:t>
      </w:r>
      <m:oMath>
        <m:r>
          <m:t>p</m:t>
        </m:r>
        <m:r>
          <m:rPr>
            <m:sty m:val="p"/>
          </m:rPr>
          <m:t>=</m:t>
        </m:r>
        <m:r>
          <m:t>0.146</m:t>
        </m:r>
      </m:oMath>
      <w:r>
        <w:t xml:space="preserve">,</w:t>
      </w:r>
      <w:r>
        <w:t xml:space="preserve"> </w:t>
      </w:r>
      <m:oMath>
        <m:r>
          <m:t>N</m:t>
        </m:r>
        <m:r>
          <m:rPr>
            <m:sty m:val="p"/>
          </m:rPr>
          <m:t>=</m:t>
        </m:r>
        <m:r>
          <m:t>725</m:t>
        </m:r>
      </m:oMath>
      <w:r>
        <w:t xml:space="preserve">) and in the Poisson for qualification count (Model 3, coefficient</w:t>
      </w:r>
      <w:r>
        <w:t xml:space="preserve"> </w:t>
      </w:r>
      <m:oMath>
        <m:r>
          <m:rPr>
            <m:sty m:val="p"/>
          </m:rPr>
          <m:t>−</m:t>
        </m:r>
        <m:r>
          <m:t>0.33</m:t>
        </m:r>
      </m:oMath>
      <w:r>
        <w:t xml:space="preserve">,</w:t>
      </w:r>
      <w:r>
        <w:t xml:space="preserve"> </w:t>
      </w:r>
      <m:oMath>
        <m:r>
          <m:t>p</m:t>
        </m:r>
        <m:r>
          <m:rPr>
            <m:sty m:val="p"/>
          </m:rPr>
          <m:t>=</m:t>
        </m:r>
        <m:r>
          <m:t>0.173</m:t>
        </m:r>
      </m:oMath>
      <w:r>
        <w:t xml:space="preserve">). MBM-B in Table </w:t>
      </w:r>
      <w:hyperlink w:anchor="tab:reg_mbm">
        <w:r>
          <w:rPr>
            <w:rStyle w:val="Hyperlink"/>
          </w:rPr>
          <w:t xml:space="preserve">6</w:t>
        </w:r>
      </w:hyperlink>
      <w:r>
        <w:t xml:space="preserve"> </w:t>
      </w:r>
      <w:r>
        <w:t xml:space="preserve">confirms this pattern at the minute level: World Cup minutes are 10.3 percentage points less likely to involve a change in the qualifying composition (</w:t>
      </w:r>
      <m:oMath>
        <m:r>
          <m:t>p</m:t>
        </m:r>
        <m:r>
          <m:rPr>
            <m:sty m:val="p"/>
          </m:rPr>
          <m:t>=</m:t>
        </m:r>
        <m:r>
          <m:t>0.034</m:t>
        </m:r>
      </m:oMath>
      <w:r>
        <w:t xml:space="preserve">), with consistent results under the 3-points rule (</w:t>
      </w:r>
      <m:oMath>
        <m:r>
          <m:rPr>
            <m:sty m:val="p"/>
          </m:rPr>
          <m:t>−</m:t>
        </m:r>
        <m:r>
          <m:t>0.105</m:t>
        </m:r>
      </m:oMath>
      <w:r>
        <w:t xml:space="preserve">,</w:t>
      </w:r>
      <w:r>
        <w:t xml:space="preserve"> </w:t>
      </w:r>
      <m:oMath>
        <m:r>
          <m:t>p</m:t>
        </m:r>
        <m:r>
          <m:rPr>
            <m:sty m:val="p"/>
          </m:rPr>
          <m:t>=</m:t>
        </m:r>
        <m:r>
          <m:t>0.021</m:t>
        </m:r>
      </m:oMath>
      <w:r>
        <w:t xml:space="preserve">) and the Elo common support sample (</w:t>
      </w:r>
      <m:oMath>
        <m:r>
          <m:rPr>
            <m:sty m:val="p"/>
          </m:rPr>
          <m:t>−</m:t>
        </m:r>
        <m:r>
          <m:t>0.083</m:t>
        </m:r>
      </m:oMath>
      <w:r>
        <w:t xml:space="preserve">,</w:t>
      </w:r>
      <w:r>
        <w:t xml:space="preserve"> </w:t>
      </w:r>
      <m:oMath>
        <m:r>
          <m:t>p</m:t>
        </m:r>
        <m:r>
          <m:rPr>
            <m:sty m:val="p"/>
          </m:rPr>
          <m:t>=</m:t>
        </m:r>
        <m:r>
          <m:t>0.082</m:t>
        </m:r>
      </m:oMath>
      <w:r>
        <w:t xml:space="preserve">).</w:t>
      </w:r>
    </w:p>
    <w:p>
      <w:pPr>
        <w:pStyle w:val="BodyText"/>
      </w:pPr>
      <w:r>
        <w:t xml:space="preserve">The picture is considerably different when the dependent variable is</w:t>
      </w:r>
      <w:r>
        <w:t xml:space="preserve"> </w:t>
      </w:r>
      <w:r>
        <w:rPr>
          <w:i/>
          <w:iCs/>
        </w:rPr>
        <w:t xml:space="preserve">suspense</w:t>
      </w:r>
      <w:r>
        <w:t xml:space="preserve"> </w:t>
      </w:r>
      <w:r>
        <w:t xml:space="preserve">— the indicator that the current state is such that one more goal</w:t>
      </w:r>
      <w:r>
        <w:t xml:space="preserve"> </w:t>
      </w:r>
      <w:r>
        <w:rPr>
          <w:i/>
          <w:iCs/>
        </w:rPr>
        <w:t xml:space="preserve">would</w:t>
      </w:r>
      <w:r>
        <w:t xml:space="preserve"> </w:t>
      </w:r>
      <w:r>
        <w:t xml:space="preserve">potentially change the qualifying composition. Table </w:t>
      </w:r>
      <w:hyperlink w:anchor="tab:reg_susp">
        <w:r>
          <w:rPr>
            <w:rStyle w:val="Hyperlink"/>
          </w:rPr>
          <w:t xml:space="preserve">5</w:t>
        </w:r>
      </w:hyperlink>
      <w:r>
        <w:t xml:space="preserve"> </w:t>
      </w:r>
      <w:r>
        <w:t xml:space="preserve">shows that the FIFA_rule coefficient in Models 4–5 is small, inconsistent in sign, and never approaches significance (</w:t>
      </w:r>
      <m:oMath>
        <m:r>
          <m:rPr>
            <m:sty m:val="p"/>
          </m:rPr>
          <m:t>−</m:t>
        </m:r>
        <m:r>
          <m:t>0.015</m:t>
        </m:r>
      </m:oMath>
      <w:r>
        <w:t xml:space="preserve">,</w:t>
      </w:r>
      <w:r>
        <w:t xml:space="preserve"> </w:t>
      </w:r>
      <m:oMath>
        <m:r>
          <m:t>p</m:t>
        </m:r>
        <m:r>
          <m:rPr>
            <m:sty m:val="p"/>
          </m:rPr>
          <m:t>=</m:t>
        </m:r>
        <m:r>
          <m:t>0.846</m:t>
        </m:r>
      </m:oMath>
      <w:r>
        <w:t xml:space="preserve"> </w:t>
      </w:r>
      <w:r>
        <w:t xml:space="preserve">in Model 4;</w:t>
      </w:r>
      <w:r>
        <w:t xml:space="preserve"> </w:t>
      </w:r>
      <m:oMath>
        <m:r>
          <m:rPr>
            <m:sty m:val="p"/>
          </m:rPr>
          <m:t>+</m:t>
        </m:r>
        <m:r>
          <m:t>0.019</m:t>
        </m:r>
      </m:oMath>
      <w:r>
        <w:t xml:space="preserve">,</w:t>
      </w:r>
      <w:r>
        <w:t xml:space="preserve"> </w:t>
      </w:r>
      <m:oMath>
        <m:r>
          <m:t>p</m:t>
        </m:r>
        <m:r>
          <m:rPr>
            <m:sty m:val="p"/>
          </m:rPr>
          <m:t>=</m:t>
        </m:r>
        <m:r>
          <m:t>0.800</m:t>
        </m:r>
      </m:oMath>
      <w:r>
        <w:t xml:space="preserve"> </w:t>
      </w:r>
      <w:r>
        <w:t xml:space="preserve">in Model 5). MBM-A tells the same story (</w:t>
      </w:r>
      <m:oMath>
        <m:r>
          <m:rPr>
            <m:sty m:val="p"/>
          </m:rPr>
          <m:t>−</m:t>
        </m:r>
        <m:r>
          <m:t>0.031</m:t>
        </m:r>
      </m:oMath>
      <w:r>
        <w:t xml:space="preserve">,</w:t>
      </w:r>
      <w:r>
        <w:t xml:space="preserve"> </w:t>
      </w:r>
      <m:oMath>
        <m:r>
          <m:t>p</m:t>
        </m:r>
        <m:r>
          <m:rPr>
            <m:sty m:val="p"/>
          </m:rPr>
          <m:t>=</m:t>
        </m:r>
        <m:r>
          <m:t>0.696</m:t>
        </m:r>
      </m:oMath>
      <w:r>
        <w:t xml:space="preserve">). The FIFA rule thus reduces the frequency of</w:t>
      </w:r>
      <w:r>
        <w:t xml:space="preserve"> </w:t>
      </w:r>
      <w:r>
        <w:rPr>
          <w:i/>
          <w:iCs/>
        </w:rPr>
        <w:t xml:space="preserve">actual</w:t>
      </w:r>
      <w:r>
        <w:t xml:space="preserve"> </w:t>
      </w:r>
      <w:r>
        <w:t xml:space="preserve">changes in the qualifying composition without systematically altering the share of moments that potentially can lead to a change — a distinction between realised turnover and anticipated volatility.</w:t>
      </w:r>
    </w:p>
    <w:p>
      <w:pPr>
        <w:pStyle w:val="BodyText"/>
      </w:pPr>
      <w:r>
        <w:t xml:space="preserve">A notable twist emerges from the 2-points versus 3-points rule subsamples. Under the old 2-points system (years</w:t>
      </w:r>
      <w:r>
        <w:t xml:space="preserve"> </w:t>
      </w:r>
      <m:oMath>
        <m:r>
          <m:rPr>
            <m:sty m:val="p"/>
          </m:rPr>
          <m:t>≤</m:t>
        </m:r>
        <m:r>
          <m:t>1992</m:t>
        </m:r>
      </m:oMath>
      <w:r>
        <w:t xml:space="preserve">), the FIFA rule is associated with</w:t>
      </w:r>
      <w:r>
        <w:t xml:space="preserve"> </w:t>
      </w:r>
      <w:r>
        <w:rPr>
          <w:i/>
          <w:iCs/>
        </w:rPr>
        <w:t xml:space="preserve">more</w:t>
      </w:r>
      <w:r>
        <w:t xml:space="preserve"> </w:t>
      </w:r>
      <w:r>
        <w:t xml:space="preserve">changes in the qualifying composition:</w:t>
      </w:r>
      <w:r>
        <w:t xml:space="preserve"> </w:t>
      </w:r>
      <m:oMath>
        <m:r>
          <m:rPr>
            <m:sty m:val="p"/>
          </m:rPr>
          <m:t>+</m:t>
        </m:r>
        <m:r>
          <m:t>0.290</m:t>
        </m:r>
      </m:oMath>
      <w:r>
        <w:t xml:space="preserve"> </w:t>
      </w:r>
      <w:r>
        <w:t xml:space="preserve">in MBM-B (</w:t>
      </w:r>
      <m:oMath>
        <m:r>
          <m:t>p</m:t>
        </m:r>
        <m:r>
          <m:rPr>
            <m:sty m:val="p"/>
          </m:rPr>
          <m:t>=</m:t>
        </m:r>
        <m:r>
          <m:t>0.041</m:t>
        </m:r>
      </m:oMath>
      <w:r>
        <w:t xml:space="preserve">) and a positive but imprecise direction in Models 1–3. Under the modern 3-points system (years</w:t>
      </w:r>
      <w:r>
        <w:t xml:space="preserve"> </w:t>
      </w:r>
      <m:oMath>
        <m:r>
          <m:rPr>
            <m:sty m:val="p"/>
          </m:rPr>
          <m:t>&gt;</m:t>
        </m:r>
        <m:r>
          <m:t>1992</m:t>
        </m:r>
      </m:oMath>
      <w:r>
        <w:t xml:space="preserve">), the sign reverses to negative across all models (</w:t>
      </w:r>
      <m:oMath>
        <m:r>
          <m:rPr>
            <m:sty m:val="p"/>
          </m:rPr>
          <m:t>−</m:t>
        </m:r>
        <m:r>
          <m:t>0.105</m:t>
        </m:r>
      </m:oMath>
      <w:r>
        <w:t xml:space="preserve"> </w:t>
      </w:r>
      <w:r>
        <w:t xml:space="preserve">in MBM-B,</w:t>
      </w:r>
      <w:r>
        <w:t xml:space="preserve"> </w:t>
      </w:r>
      <m:oMath>
        <m:r>
          <m:t>p</m:t>
        </m:r>
        <m:r>
          <m:rPr>
            <m:sty m:val="p"/>
          </m:rPr>
          <m:t>=</m:t>
        </m:r>
        <m:r>
          <m:t>0.021</m:t>
        </m:r>
      </m:oMath>
      <w:r>
        <w:t xml:space="preserve">). This flip is consistent with the idea that under the old system, the greater prevalence of draws made goal difference a more frequently decisive tiebreaker, so FIFA-rule groups experienced more volatility in the composition of qualifying teams. Once wins became more valuable and draws rarer under the 3-points system, qualification was settled more directly through points, reducing the marginal importance of goal difference and changing the compositional twist that the FIFA rule previously induced. Robustness checks are reported in the same tables.</w:t>
      </w:r>
    </w:p>
    <w:bookmarkStart w:id="37" w:name="tab:reg_grp"/>
    <w:p>
      <w:pPr>
        <w:pStyle w:val="TableCaption"/>
      </w:pPr>
      <w:r>
        <w:t xml:space="preserve">Effect of FIFA tie-breaking rule on qualification change and count</w:t>
      </w:r>
    </w:p>
    <w:tbl>
      <w:tblPr>
        <w:tblStyle w:val="Table"/>
        <w:tblW w:type="auto" w:w="0"/>
        <w:tblLook w:firstRow="0" w:lastRow="0" w:firstColumn="0" w:lastColumn="0" w:noHBand="0" w:noVBand="0" w:val="0000"/>
        <w:tblCaption w:val="Effect of FIFA tie-breaking rule on qualification change and count"/>
      </w:tblPr>
      <w:tblGrid>
        <w:gridCol w:w="1131"/>
        <w:gridCol w:w="1131"/>
        <w:gridCol w:w="1131"/>
        <w:gridCol w:w="1131"/>
        <w:gridCol w:w="1131"/>
        <w:gridCol w:w="1131"/>
        <w:gridCol w:w="1131"/>
      </w:tblGrid>
      <w:tr>
        <w:tc>
          <w:tcPr/>
          <w:p>
            <w:pPr>
              <w:pStyle w:val="Compact"/>
            </w:pPr>
          </w:p>
        </w:tc>
        <w:tc>
          <w:tcPr>
            <w:gridSpan w:val="2"/>
          </w:tcPr>
          <w:p>
            <w:pPr>
              <w:pStyle w:val="Compact"/>
              <w:jc w:val="center"/>
            </w:pPr>
            <w:r>
              <w:t xml:space="preserve">M1: Logit (AME)</w:t>
            </w:r>
          </w:p>
        </w:tc>
        <w:tc>
          <w:tcPr>
            <w:gridSpan w:val="2"/>
          </w:tcPr>
          <w:p>
            <w:pPr>
              <w:pStyle w:val="Compact"/>
              <w:jc w:val="center"/>
            </w:pPr>
            <w:r>
              <w:t xml:space="preserve">M2: Logit (AME)</w:t>
            </w:r>
          </w:p>
        </w:tc>
        <w:tc>
          <w:tcPr>
            <w:gridSpan w:val="2"/>
          </w:tcPr>
          <w:p>
            <w:pPr>
              <w:pStyle w:val="Compact"/>
              <w:jc w:val="center"/>
            </w:pPr>
            <w:r>
              <w:t xml:space="preserve">M3: Poisson (coef)</w:t>
            </w:r>
          </w:p>
        </w:tc>
      </w:tr>
      <w:tr>
        <w:tc>
          <w:tcPr/>
          <w:p>
            <w:pPr>
              <w:pStyle w:val="Compact"/>
            </w:pPr>
          </w:p>
        </w:tc>
        <w:tc>
          <w:tcPr>
            <w:gridSpan w:val="2"/>
          </w:tcPr>
          <w:p>
            <w:pPr>
              <w:pStyle w:val="Compact"/>
              <w:jc w:val="center"/>
            </w:pPr>
            <w:r>
              <w:rPr>
                <w:i/>
                <w:iCs/>
              </w:rPr>
              <w:t xml:space="preserve">qual_changed</w:t>
            </w:r>
          </w:p>
        </w:tc>
        <w:tc>
          <w:tcPr>
            <w:gridSpan w:val="2"/>
          </w:tcPr>
          <w:p>
            <w:pPr>
              <w:pStyle w:val="Compact"/>
              <w:jc w:val="center"/>
            </w:pPr>
            <w:r>
              <w:rPr>
                <w:i/>
                <w:iCs/>
              </w:rPr>
              <w:t xml:space="preserve">qual_changed</w:t>
            </w:r>
          </w:p>
        </w:tc>
        <w:tc>
          <w:tcPr>
            <w:gridSpan w:val="2"/>
          </w:tcPr>
          <w:p>
            <w:pPr>
              <w:pStyle w:val="Compact"/>
              <w:jc w:val="center"/>
            </w:pPr>
            <w:r>
              <w:rPr>
                <w:i/>
                <w:iCs/>
              </w:rPr>
              <w:t xml:space="preserve">qual_count</w:t>
            </w:r>
          </w:p>
        </w:tc>
      </w:tr>
      <w:tr>
        <w:tc>
          <w:tcPr/>
          <w:p>
            <w:pPr>
              <w:pStyle w:val="Compact"/>
              <w:jc w:val="left"/>
            </w:pPr>
            <w:r>
              <w:t xml:space="preserve">2-3</w:t>
            </w:r>
            <w:r>
              <w:t xml:space="preserve">(lr)</w:t>
            </w:r>
            <w:r>
              <w:t xml:space="preserve">4-5</w:t>
            </w:r>
            <w:r>
              <w:t xml:space="preserve">(lr)</w:t>
            </w:r>
            <w:r>
              <w:t xml:space="preserve">6-7</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gridSpan w:val="7"/>
          </w:tcPr>
          <w:p>
            <w:pPr>
              <w:pStyle w:val="Compact"/>
              <w:jc w:val="left"/>
            </w:pPr>
            <w:r>
              <w:rPr>
                <w:i/>
                <w:iCs/>
              </w:rPr>
              <w:t xml:space="preserve">Panel A: Main specifications</w:t>
            </w:r>
          </w:p>
        </w:tc>
      </w:tr>
      <w:tr>
        <w:tc>
          <w:tcPr/>
          <w:p>
            <w:pPr>
              <w:pStyle w:val="Compact"/>
              <w:jc w:val="left"/>
            </w:pPr>
            <w:r>
              <w:t xml:space="preserve">FIFA_rule</w:t>
            </w:r>
          </w:p>
        </w:tc>
        <w:tc>
          <w:tcPr/>
          <w:p>
            <w:pPr>
              <w:pStyle w:val="Compact"/>
              <w:jc w:val="center"/>
            </w:pPr>
            <m:oMath>
              <m:r>
                <m:rPr>
                  <m:sty m:val="p"/>
                </m:rPr>
                <m:t>−</m:t>
              </m:r>
              <m:sSup>
                <m:e>
                  <m:r>
                    <m:t>0.097</m:t>
                  </m:r>
                </m:e>
                <m:sup>
                  <m:r>
                    <m:rPr>
                      <m:sty m:val="p"/>
                    </m:rPr>
                    <m:t>*</m:t>
                  </m:r>
                  <m:r>
                    <m:rPr>
                      <m:sty m:val="p"/>
                    </m:rPr>
                    <m:t>*</m:t>
                  </m:r>
                </m:sup>
              </m:sSup>
            </m:oMath>
          </w:p>
        </w:tc>
        <w:tc>
          <w:tcPr/>
          <w:p>
            <w:pPr>
              <w:pStyle w:val="Compact"/>
              <w:jc w:val="center"/>
            </w:pPr>
            <m:oMath>
              <m:r>
                <m:rPr>
                  <m:sty m:val="p"/>
                </m:rPr>
                <m:t>−</m:t>
              </m:r>
              <m:sSup>
                <m:e>
                  <m:r>
                    <m:t>0.083</m:t>
                  </m:r>
                </m:e>
                <m:sup>
                  <m:r>
                    <m:rPr>
                      <m:sty m:val="p"/>
                    </m:rPr>
                    <m:t>*</m:t>
                  </m:r>
                </m:sup>
              </m:sSup>
            </m:oMath>
          </w:p>
        </w:tc>
        <w:tc>
          <w:tcPr/>
          <w:p>
            <w:pPr>
              <w:pStyle w:val="Compact"/>
              <w:jc w:val="center"/>
            </w:pPr>
            <m:oMath>
              <m:r>
                <m:rPr>
                  <m:sty m:val="p"/>
                </m:rPr>
                <m:t>−</m:t>
              </m:r>
              <m:r>
                <m:t>0.065</m:t>
              </m:r>
            </m:oMath>
          </w:p>
        </w:tc>
        <w:tc>
          <w:tcPr/>
          <w:p>
            <w:pPr>
              <w:pStyle w:val="Compact"/>
              <w:jc w:val="center"/>
            </w:pPr>
            <m:oMath>
              <m:r>
                <m:rPr>
                  <m:sty m:val="p"/>
                </m:rPr>
                <m:t>−</m:t>
              </m:r>
              <m:r>
                <m:t>0.043</m:t>
              </m:r>
            </m:oMath>
          </w:p>
        </w:tc>
        <w:tc>
          <w:tcPr/>
          <w:p>
            <w:pPr>
              <w:pStyle w:val="Compact"/>
              <w:jc w:val="center"/>
            </w:pPr>
            <m:oMath>
              <m:r>
                <m:rPr>
                  <m:sty m:val="p"/>
                </m:rPr>
                <m:t>−</m:t>
              </m:r>
              <m:r>
                <m:t>0.331</m:t>
              </m:r>
            </m:oMath>
          </w:p>
        </w:tc>
        <w:tc>
          <w:tcPr/>
          <w:p>
            <w:pPr>
              <w:pStyle w:val="Compact"/>
              <w:jc w:val="center"/>
            </w:pPr>
            <m:oMath>
              <m:r>
                <m:rPr>
                  <m:sty m:val="p"/>
                </m:rPr>
                <m:t>−</m:t>
              </m:r>
              <m:r>
                <m:t>0.271</m:t>
              </m:r>
            </m:oMath>
          </w:p>
        </w:tc>
      </w:tr>
      <w:tr>
        <w:tc>
          <w:tcPr/>
          <w:p>
            <w:pPr>
              <w:pStyle w:val="Compact"/>
            </w:pPr>
          </w:p>
        </w:tc>
        <w:tc>
          <w:tcPr/>
          <w:p>
            <w:pPr>
              <w:pStyle w:val="Compact"/>
              <w:jc w:val="center"/>
            </w:pPr>
            <m:oMath>
              <m:r>
                <m:rPr>
                  <m:sty m:val="p"/>
                </m:rPr>
                <m:t>(</m:t>
              </m:r>
              <m:r>
                <m:t>0.048</m:t>
              </m:r>
              <m:r>
                <m:rPr>
                  <m:sty m:val="p"/>
                </m:rPr>
                <m:t>)</m:t>
              </m:r>
            </m:oMath>
          </w:p>
        </w:tc>
        <w:tc>
          <w:tcPr/>
          <w:p>
            <w:pPr>
              <w:pStyle w:val="Compact"/>
              <w:jc w:val="center"/>
            </w:pPr>
            <m:oMath>
              <m:r>
                <m:rPr>
                  <m:sty m:val="p"/>
                </m:rPr>
                <m:t>(</m:t>
              </m:r>
              <m:r>
                <m:t>0.046</m:t>
              </m:r>
              <m:r>
                <m:rPr>
                  <m:sty m:val="p"/>
                </m:rPr>
                <m:t>)</m:t>
              </m:r>
            </m:oMath>
          </w:p>
        </w:tc>
        <w:tc>
          <w:tcPr/>
          <w:p>
            <w:pPr>
              <w:pStyle w:val="Compact"/>
              <w:jc w:val="center"/>
            </w:pPr>
            <m:oMath>
              <m:r>
                <m:rPr>
                  <m:sty m:val="p"/>
                </m:rPr>
                <m:t>(</m:t>
              </m:r>
              <m:r>
                <m:t>0.045</m:t>
              </m:r>
              <m:r>
                <m:rPr>
                  <m:sty m:val="p"/>
                </m:rPr>
                <m:t>)</m:t>
              </m:r>
            </m:oMath>
          </w:p>
        </w:tc>
        <w:tc>
          <w:tcPr/>
          <w:p>
            <w:pPr>
              <w:pStyle w:val="Compact"/>
              <w:jc w:val="center"/>
            </w:pPr>
            <m:oMath>
              <m:r>
                <m:rPr>
                  <m:sty m:val="p"/>
                </m:rPr>
                <m:t>(</m:t>
              </m:r>
              <m:r>
                <m:t>0.042</m:t>
              </m:r>
              <m:r>
                <m:rPr>
                  <m:sty m:val="p"/>
                </m:rPr>
                <m:t>)</m:t>
              </m:r>
            </m:oMath>
          </w:p>
        </w:tc>
        <w:tc>
          <w:tcPr/>
          <w:p>
            <w:pPr>
              <w:pStyle w:val="Compact"/>
              <w:jc w:val="center"/>
            </w:pPr>
            <m:oMath>
              <m:r>
                <m:rPr>
                  <m:sty m:val="p"/>
                </m:rPr>
                <m:t>(</m:t>
              </m:r>
              <m:r>
                <m:t>0.243</m:t>
              </m:r>
              <m:r>
                <m:rPr>
                  <m:sty m:val="p"/>
                </m:rPr>
                <m:t>)</m:t>
              </m:r>
            </m:oMath>
          </w:p>
        </w:tc>
        <w:tc>
          <w:tcPr/>
          <w:p>
            <w:pPr>
              <w:pStyle w:val="Compact"/>
              <w:jc w:val="center"/>
            </w:pPr>
            <m:oMath>
              <m:r>
                <m:rPr>
                  <m:sty m:val="p"/>
                </m:rPr>
                <m:t>(</m:t>
              </m:r>
              <m:r>
                <m:t>0.237</m:t>
              </m:r>
              <m:r>
                <m:rPr>
                  <m:sty m:val="p"/>
                </m:rPr>
                <m:t>)</m:t>
              </m:r>
            </m:oMath>
          </w:p>
        </w:tc>
      </w:tr>
      <w:tr>
        <w:tc>
          <w:tcPr/>
          <w:p>
            <w:pPr>
              <w:pStyle w:val="Compact"/>
              <w:jc w:val="left"/>
            </w:pPr>
            <w:r>
              <w:t xml:space="preserve">Match-level Elo</w:t>
            </w:r>
          </w:p>
        </w:tc>
        <w:tc>
          <w:tcPr/>
          <w:p>
            <w:pPr>
              <w:pStyle w:val="Compact"/>
            </w:pP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Group-level Elo</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Year trend</w:t>
            </w:r>
          </w:p>
        </w:tc>
        <w:tc>
          <w:tcPr/>
          <w:p>
            <w:pPr>
              <w:pStyle w:val="Compact"/>
              <w:jc w:val="center"/>
            </w:pPr>
            <w:r>
              <w:t xml:space="preserve">–</w:t>
            </w:r>
          </w:p>
        </w:tc>
        <w:tc>
          <w:tcPr/>
          <w:p>
            <w:pPr>
              <w:pStyle w:val="Compact"/>
            </w:pPr>
          </w:p>
        </w:tc>
        <w:tc>
          <w:tcPr/>
          <w:p>
            <w:pPr>
              <w:pStyle w:val="Compact"/>
              <w:jc w:val="center"/>
            </w:pPr>
            <w:r>
              <w:t xml:space="preserve">–</w:t>
            </w:r>
          </w:p>
        </w:tc>
        <w:tc>
          <w:tcPr/>
          <w:p>
            <w:pPr>
              <w:pStyle w:val="Compact"/>
            </w:pPr>
          </w:p>
        </w:tc>
        <w:tc>
          <w:tcPr/>
          <w:p>
            <w:pPr>
              <w:pStyle w:val="Compact"/>
              <w:jc w:val="center"/>
            </w:pPr>
            <w:r>
              <w:t xml:space="preserve">–</w:t>
            </w:r>
          </w:p>
        </w:tc>
        <w:tc>
          <w:tcPr/>
          <w:p>
            <w:pPr>
              <w:pStyle w:val="Compact"/>
            </w:pPr>
          </w:p>
        </w:tc>
      </w:tr>
      <w:tr>
        <w:tc>
          <w:tcPr/>
          <w:p>
            <w:pPr>
              <w:pStyle w:val="Compact"/>
              <w:jc w:val="left"/>
            </w:pPr>
            <w:r>
              <w:t xml:space="preserve">Observations</w:t>
            </w:r>
          </w:p>
        </w:tc>
        <w:tc>
          <w:tcPr/>
          <w:p>
            <w:pPr>
              <w:pStyle w:val="Compact"/>
              <w:jc w:val="center"/>
            </w:pPr>
            <w:r>
              <w:t xml:space="preserve">607</w:t>
            </w:r>
          </w:p>
        </w:tc>
        <w:tc>
          <w:tcPr/>
          <w:p>
            <w:pPr>
              <w:pStyle w:val="Compact"/>
              <w:jc w:val="center"/>
            </w:pPr>
            <w:r>
              <w:t xml:space="preserve">607</w:t>
            </w:r>
          </w:p>
        </w:tc>
        <w:tc>
          <w:tcPr/>
          <w:p>
            <w:pPr>
              <w:pStyle w:val="Compact"/>
              <w:jc w:val="center"/>
            </w:pPr>
            <w:r>
              <w:t xml:space="preserve">725</w:t>
            </w:r>
          </w:p>
        </w:tc>
        <w:tc>
          <w:tcPr/>
          <w:p>
            <w:pPr>
              <w:pStyle w:val="Compact"/>
              <w:jc w:val="center"/>
            </w:pPr>
            <w:r>
              <w:t xml:space="preserve">725</w:t>
            </w:r>
          </w:p>
        </w:tc>
        <w:tc>
          <w:tcPr/>
          <w:p>
            <w:pPr>
              <w:pStyle w:val="Compact"/>
              <w:jc w:val="center"/>
            </w:pPr>
            <w:r>
              <w:t xml:space="preserve">118</w:t>
            </w:r>
          </w:p>
        </w:tc>
        <w:tc>
          <w:tcPr/>
          <w:p>
            <w:pPr>
              <w:pStyle w:val="Compact"/>
              <w:jc w:val="center"/>
            </w:pPr>
            <w:r>
              <w:t xml:space="preserve">118</w:t>
            </w:r>
          </w:p>
        </w:tc>
      </w:tr>
      <w:tr>
        <w:tc>
          <w:tcPr>
            <w:gridSpan w:val="7"/>
          </w:tcPr>
          <w:p>
            <w:pPr>
              <w:pStyle w:val="Compact"/>
              <w:jc w:val="left"/>
            </w:pPr>
            <w:r>
              <w:rPr>
                <w:i/>
                <w:iCs/>
              </w:rPr>
              <w:t xml:space="preserve">Panel B: Robustness — FIFA_rule only (all specifications include year trend)</w:t>
            </w:r>
          </w:p>
        </w:tc>
      </w:tr>
      <w:tr>
        <w:tc>
          <w:tcPr/>
          <w:p>
            <w:pPr>
              <w:pStyle w:val="Compact"/>
            </w:pPr>
          </w:p>
        </w:tc>
        <w:tc>
          <w:tcPr>
            <w:gridSpan w:val="2"/>
          </w:tcPr>
          <w:p>
            <w:pPr>
              <w:pStyle w:val="Compact"/>
              <w:jc w:val="center"/>
            </w:pPr>
            <w:r>
              <w:t xml:space="preserve">M1</w:t>
            </w:r>
          </w:p>
        </w:tc>
        <w:tc>
          <w:tcPr>
            <w:gridSpan w:val="2"/>
          </w:tcPr>
          <w:p>
            <w:pPr>
              <w:pStyle w:val="Compact"/>
              <w:jc w:val="center"/>
            </w:pPr>
            <w:r>
              <w:t xml:space="preserve">M2</w:t>
            </w:r>
          </w:p>
        </w:tc>
        <w:tc>
          <w:tcPr>
            <w:gridSpan w:val="2"/>
          </w:tcPr>
          <w:p>
            <w:pPr>
              <w:pStyle w:val="Compact"/>
              <w:jc w:val="center"/>
            </w:pPr>
            <w:r>
              <w:t xml:space="preserve">M3</w:t>
            </w:r>
          </w:p>
        </w:tc>
      </w:tr>
      <w:tr>
        <w:tc>
          <w:tcPr/>
          <w:p>
            <w:pPr>
              <w:pStyle w:val="Compact"/>
              <w:jc w:val="left"/>
            </w:pPr>
            <w:r>
              <w:t xml:space="preserve">2-3</w:t>
            </w:r>
            <w:r>
              <w:t xml:space="preserve">(lr)</w:t>
            </w:r>
            <w:r>
              <w:t xml:space="preserve">4-5</w:t>
            </w:r>
            <w:r>
              <w:t xml:space="preserve">(lr)</w:t>
            </w:r>
            <w:r>
              <w:t xml:space="preserve">6-7</w:t>
            </w:r>
            <w:r>
              <w:t xml:space="preserve"> </w:t>
            </w:r>
            <w:r>
              <w:t xml:space="preserve">Two qualifying teams</w:t>
            </w:r>
          </w:p>
        </w:tc>
        <w:tc>
          <w:tcPr>
            <w:gridSpan w:val="2"/>
          </w:tcPr>
          <w:p>
            <w:pPr>
              <w:pStyle w:val="Compact"/>
              <w:jc w:val="center"/>
            </w:pPr>
            <m:oMath>
              <m:r>
                <m:rPr>
                  <m:sty m:val="p"/>
                </m:rPr>
                <m:t>−</m:t>
              </m:r>
              <m:r>
                <m:t>0.074</m:t>
              </m:r>
            </m:oMath>
          </w:p>
        </w:tc>
        <w:tc>
          <w:tcPr>
            <w:gridSpan w:val="2"/>
          </w:tcPr>
          <w:p>
            <w:pPr>
              <w:pStyle w:val="Compact"/>
              <w:jc w:val="center"/>
            </w:pPr>
            <m:oMath>
              <m:r>
                <m:rPr>
                  <m:sty m:val="p"/>
                </m:rPr>
                <m:t>−</m:t>
              </m:r>
              <m:r>
                <m:t>0.031</m:t>
              </m:r>
            </m:oMath>
          </w:p>
        </w:tc>
        <w:tc>
          <w:tcPr>
            <w:gridSpan w:val="2"/>
          </w:tcPr>
          <w:p>
            <w:pPr>
              <w:pStyle w:val="Compact"/>
              <w:jc w:val="center"/>
            </w:pPr>
            <m:oMath>
              <m:r>
                <m:rPr>
                  <m:sty m:val="p"/>
                </m:rPr>
                <m:t>−</m:t>
              </m:r>
              <m:r>
                <m:t>0.118</m:t>
              </m:r>
            </m:oMath>
          </w:p>
        </w:tc>
      </w:tr>
      <w:tr>
        <w:tc>
          <w:tcPr/>
          <w:p>
            <w:pPr>
              <w:pStyle w:val="Compact"/>
            </w:pPr>
          </w:p>
        </w:tc>
        <w:tc>
          <w:tcPr>
            <w:gridSpan w:val="2"/>
          </w:tcPr>
          <w:p>
            <w:pPr>
              <w:pStyle w:val="Compact"/>
              <w:jc w:val="center"/>
            </w:pPr>
            <m:oMath>
              <m:r>
                <m:rPr>
                  <m:sty m:val="p"/>
                </m:rPr>
                <m:t>(</m:t>
              </m:r>
              <m:r>
                <m:t>0.046</m:t>
              </m:r>
              <m:r>
                <m:rPr>
                  <m:sty m:val="p"/>
                </m:rPr>
                <m:t>)</m:t>
              </m:r>
            </m:oMath>
          </w:p>
        </w:tc>
        <w:tc>
          <w:tcPr>
            <w:gridSpan w:val="2"/>
          </w:tcPr>
          <w:p>
            <w:pPr>
              <w:pStyle w:val="Compact"/>
              <w:jc w:val="center"/>
            </w:pPr>
            <m:oMath>
              <m:r>
                <m:rPr>
                  <m:sty m:val="p"/>
                </m:rPr>
                <m:t>(</m:t>
              </m:r>
              <m:r>
                <m:t>0.044</m:t>
              </m:r>
              <m:r>
                <m:rPr>
                  <m:sty m:val="p"/>
                </m:rPr>
                <m:t>)</m:t>
              </m:r>
            </m:oMath>
          </w:p>
        </w:tc>
        <w:tc>
          <w:tcPr>
            <w:gridSpan w:val="2"/>
          </w:tcPr>
          <w:p>
            <w:pPr>
              <w:pStyle w:val="Compact"/>
              <w:jc w:val="center"/>
            </w:pPr>
            <m:oMath>
              <m:r>
                <m:rPr>
                  <m:sty m:val="p"/>
                </m:rPr>
                <m:t>(</m:t>
              </m:r>
              <m:r>
                <m:t>0.304</m:t>
              </m:r>
              <m:r>
                <m:rPr>
                  <m:sty m:val="p"/>
                </m:rPr>
                <m:t>)</m:t>
              </m:r>
            </m:oMath>
          </w:p>
        </w:tc>
      </w:tr>
      <w:tr>
        <w:tc>
          <w:tcPr/>
          <w:p>
            <w:pPr>
              <w:pStyle w:val="Compact"/>
              <w:jc w:val="left"/>
            </w:pPr>
            <w:r>
              <w:t xml:space="preserve">Three qualifying teams</w:t>
            </w:r>
          </w:p>
        </w:tc>
        <w:tc>
          <w:tcPr>
            <w:gridSpan w:val="2"/>
          </w:tcPr>
          <w:p>
            <w:pPr>
              <w:pStyle w:val="Compact"/>
              <w:jc w:val="center"/>
            </w:pPr>
            <m:oMath>
              <m:r>
                <m:rPr>
                  <m:sty m:val="p"/>
                </m:rPr>
                <m:t>−</m:t>
              </m:r>
              <m:r>
                <m:t>0.414</m:t>
              </m:r>
            </m:oMath>
          </w:p>
        </w:tc>
        <w:tc>
          <w:tcPr>
            <w:gridSpan w:val="2"/>
          </w:tcPr>
          <w:p>
            <w:pPr>
              <w:pStyle w:val="Compact"/>
              <w:jc w:val="center"/>
            </w:pPr>
            <m:oMath>
              <m:r>
                <m:rPr>
                  <m:sty m:val="p"/>
                </m:rPr>
                <m:t>−</m:t>
              </m:r>
              <m:r>
                <m:t>0.539</m:t>
              </m:r>
            </m:oMath>
          </w:p>
        </w:tc>
        <w:tc>
          <w:tcPr>
            <w:gridSpan w:val="2"/>
          </w:tcPr>
          <w:p>
            <w:pPr>
              <w:pStyle w:val="Compact"/>
              <w:jc w:val="center"/>
            </w:pPr>
            <m:oMath>
              <m:r>
                <m:rPr>
                  <m:sty m:val="p"/>
                </m:rPr>
                <m:t>−</m:t>
              </m:r>
              <m:r>
                <m:t>2.597</m:t>
              </m:r>
            </m:oMath>
          </w:p>
        </w:tc>
      </w:tr>
      <w:tr>
        <w:tc>
          <w:tcPr/>
          <w:p>
            <w:pPr>
              <w:pStyle w:val="Compact"/>
            </w:pPr>
          </w:p>
        </w:tc>
        <w:tc>
          <w:tcPr>
            <w:gridSpan w:val="2"/>
          </w:tcPr>
          <w:p>
            <w:pPr>
              <w:pStyle w:val="Compact"/>
              <w:jc w:val="center"/>
            </w:pPr>
            <m:oMath>
              <m:r>
                <m:rPr>
                  <m:sty m:val="p"/>
                </m:rPr>
                <m:t>(</m:t>
              </m:r>
              <m:r>
                <m:t>0.629</m:t>
              </m:r>
              <m:r>
                <m:rPr>
                  <m:sty m:val="p"/>
                </m:rPr>
                <m:t>)</m:t>
              </m:r>
            </m:oMath>
          </w:p>
        </w:tc>
        <w:tc>
          <w:tcPr>
            <w:gridSpan w:val="2"/>
          </w:tcPr>
          <w:p>
            <w:pPr>
              <w:pStyle w:val="Compact"/>
              <w:jc w:val="center"/>
            </w:pPr>
            <m:oMath>
              <m:r>
                <m:rPr>
                  <m:sty m:val="p"/>
                </m:rPr>
                <m:t>(</m:t>
              </m:r>
              <m:r>
                <m:t>0.499</m:t>
              </m:r>
              <m:r>
                <m:rPr>
                  <m:sty m:val="p"/>
                </m:rPr>
                <m:t>)</m:t>
              </m:r>
            </m:oMath>
          </w:p>
        </w:tc>
        <w:tc>
          <w:tcPr>
            <w:gridSpan w:val="2"/>
          </w:tcPr>
          <w:p>
            <w:pPr>
              <w:pStyle w:val="Compact"/>
              <w:jc w:val="center"/>
            </w:pPr>
            <m:oMath>
              <m:r>
                <m:rPr>
                  <m:sty m:val="p"/>
                </m:rPr>
                <m:t>(</m:t>
              </m:r>
              <m:r>
                <m:t>1.892</m:t>
              </m:r>
              <m:r>
                <m:rPr>
                  <m:sty m:val="p"/>
                </m:rPr>
                <m:t>)</m:t>
              </m:r>
            </m:oMath>
          </w:p>
        </w:tc>
      </w:tr>
      <w:tr>
        <w:tc>
          <w:tcPr/>
          <w:p>
            <w:pPr>
              <w:pStyle w:val="Compact"/>
              <w:jc w:val="left"/>
            </w:pPr>
            <w:r>
              <w:t xml:space="preserve">2-points rule (</w:t>
            </w:r>
            <m:oMath>
              <m:r>
                <m:rPr>
                  <m:sty m:val="p"/>
                </m:rPr>
                <m:t>≤</m:t>
              </m:r>
              <m:r>
                <m:t>1992</m:t>
              </m:r>
            </m:oMath>
            <w:r>
              <w:t xml:space="preserve">)</w:t>
            </w:r>
          </w:p>
        </w:tc>
        <w:tc>
          <w:tcPr>
            <w:gridSpan w:val="2"/>
          </w:tcPr>
          <w:p>
            <w:pPr>
              <w:pStyle w:val="Compact"/>
              <w:jc w:val="center"/>
            </w:pPr>
            <m:oMath>
              <m:r>
                <m:t>0.044</m:t>
              </m:r>
            </m:oMath>
          </w:p>
        </w:tc>
        <w:tc>
          <w:tcPr>
            <w:gridSpan w:val="2"/>
          </w:tcPr>
          <w:p>
            <w:pPr>
              <w:pStyle w:val="Compact"/>
              <w:jc w:val="center"/>
            </w:pPr>
            <m:oMath>
              <m:r>
                <m:t>0.242</m:t>
              </m:r>
            </m:oMath>
          </w:p>
        </w:tc>
        <w:tc>
          <w:tcPr>
            <w:gridSpan w:val="2"/>
          </w:tcPr>
          <w:p>
            <w:pPr>
              <w:pStyle w:val="Compact"/>
              <w:jc w:val="center"/>
            </w:pPr>
            <m:oMath>
              <m:r>
                <m:t>0.599</m:t>
              </m:r>
            </m:oMath>
          </w:p>
        </w:tc>
      </w:tr>
      <w:tr>
        <w:tc>
          <w:tcPr/>
          <w:p>
            <w:pPr>
              <w:pStyle w:val="Compact"/>
            </w:pPr>
          </w:p>
        </w:tc>
        <w:tc>
          <w:tcPr>
            <w:gridSpan w:val="2"/>
          </w:tcPr>
          <w:p>
            <w:pPr>
              <w:pStyle w:val="Compact"/>
              <w:jc w:val="center"/>
            </w:pPr>
            <m:oMath>
              <m:r>
                <m:rPr>
                  <m:sty m:val="p"/>
                </m:rPr>
                <m:t>(</m:t>
              </m:r>
              <m:r>
                <m:t>0.125</m:t>
              </m:r>
              <m:r>
                <m:rPr>
                  <m:sty m:val="p"/>
                </m:rPr>
                <m:t>)</m:t>
              </m:r>
            </m:oMath>
          </w:p>
        </w:tc>
        <w:tc>
          <w:tcPr>
            <w:gridSpan w:val="2"/>
          </w:tcPr>
          <w:p>
            <w:pPr>
              <w:pStyle w:val="Compact"/>
              <w:jc w:val="center"/>
            </w:pPr>
            <m:oMath>
              <m:r>
                <m:rPr>
                  <m:sty m:val="p"/>
                </m:rPr>
                <m:t>(</m:t>
              </m:r>
              <m:r>
                <m:t>0.170</m:t>
              </m:r>
              <m:r>
                <m:rPr>
                  <m:sty m:val="p"/>
                </m:rPr>
                <m:t>)</m:t>
              </m:r>
            </m:oMath>
          </w:p>
        </w:tc>
        <w:tc>
          <w:tcPr>
            <w:gridSpan w:val="2"/>
          </w:tcPr>
          <w:p>
            <w:pPr>
              <w:pStyle w:val="Compact"/>
              <w:jc w:val="center"/>
            </w:pPr>
            <m:oMath>
              <m:r>
                <m:rPr>
                  <m:sty m:val="p"/>
                </m:rPr>
                <m:t>(</m:t>
              </m:r>
              <m:r>
                <m:t>0.829</m:t>
              </m:r>
              <m:r>
                <m:rPr>
                  <m:sty m:val="p"/>
                </m:rPr>
                <m:t>)</m:t>
              </m:r>
            </m:oMath>
          </w:p>
        </w:tc>
      </w:tr>
      <w:tr>
        <w:tc>
          <w:tcPr/>
          <w:p>
            <w:pPr>
              <w:pStyle w:val="Compact"/>
              <w:jc w:val="left"/>
            </w:pPr>
            <w:r>
              <w:t xml:space="preserve">3-points rule (</w:t>
            </w:r>
            <m:oMath>
              <m:r>
                <m:rPr>
                  <m:sty m:val="p"/>
                </m:rPr>
                <m:t>&gt;</m:t>
              </m:r>
              <m:r>
                <m:t>1992</m:t>
              </m:r>
            </m:oMath>
            <w:r>
              <w:t xml:space="preserve">)</w:t>
            </w:r>
          </w:p>
        </w:tc>
        <w:tc>
          <w:tcPr>
            <w:gridSpan w:val="2"/>
          </w:tcPr>
          <w:p>
            <w:pPr>
              <w:pStyle w:val="Compact"/>
              <w:jc w:val="center"/>
            </w:pPr>
            <m:oMath>
              <m:r>
                <m:rPr>
                  <m:sty m:val="p"/>
                </m:rPr>
                <m:t>−</m:t>
              </m:r>
              <m:sSup>
                <m:e>
                  <m:r>
                    <m:t>0.092</m:t>
                  </m:r>
                </m:e>
                <m:sup>
                  <m:r>
                    <m:rPr>
                      <m:sty m:val="p"/>
                    </m:rPr>
                    <m:t>*</m:t>
                  </m:r>
                </m:sup>
              </m:sSup>
            </m:oMath>
          </w:p>
        </w:tc>
        <w:tc>
          <w:tcPr>
            <w:gridSpan w:val="2"/>
          </w:tcPr>
          <w:p>
            <w:pPr>
              <w:pStyle w:val="Compact"/>
              <w:jc w:val="center"/>
            </w:pPr>
            <m:oMath>
              <m:r>
                <m:rPr>
                  <m:sty m:val="p"/>
                </m:rPr>
                <m:t>−</m:t>
              </m:r>
              <m:r>
                <m:t>0.047</m:t>
              </m:r>
            </m:oMath>
          </w:p>
        </w:tc>
        <w:tc>
          <w:tcPr>
            <w:gridSpan w:val="2"/>
          </w:tcPr>
          <w:p>
            <w:pPr>
              <w:pStyle w:val="Compact"/>
              <w:jc w:val="center"/>
            </w:pPr>
            <m:oMath>
              <m:r>
                <m:rPr>
                  <m:sty m:val="p"/>
                </m:rPr>
                <m:t>−</m:t>
              </m:r>
              <m:r>
                <m:t>0.284</m:t>
              </m:r>
            </m:oMath>
          </w:p>
        </w:tc>
      </w:tr>
      <w:tr>
        <w:tc>
          <w:tcPr/>
          <w:p>
            <w:pPr>
              <w:pStyle w:val="Compact"/>
            </w:pPr>
          </w:p>
        </w:tc>
        <w:tc>
          <w:tcPr>
            <w:gridSpan w:val="2"/>
          </w:tcPr>
          <w:p>
            <w:pPr>
              <w:pStyle w:val="Compact"/>
              <w:jc w:val="center"/>
            </w:pPr>
            <m:oMath>
              <m:r>
                <m:rPr>
                  <m:sty m:val="p"/>
                </m:rPr>
                <m:t>(</m:t>
              </m:r>
              <m:r>
                <m:t>0.048</m:t>
              </m:r>
              <m:r>
                <m:rPr>
                  <m:sty m:val="p"/>
                </m:rPr>
                <m:t>)</m:t>
              </m:r>
            </m:oMath>
          </w:p>
        </w:tc>
        <w:tc>
          <w:tcPr>
            <w:gridSpan w:val="2"/>
          </w:tcPr>
          <w:p>
            <w:pPr>
              <w:pStyle w:val="Compact"/>
              <w:jc w:val="center"/>
            </w:pPr>
            <m:oMath>
              <m:r>
                <m:rPr>
                  <m:sty m:val="p"/>
                </m:rPr>
                <m:t>(</m:t>
              </m:r>
              <m:r>
                <m:t>0.041</m:t>
              </m:r>
              <m:r>
                <m:rPr>
                  <m:sty m:val="p"/>
                </m:rPr>
                <m:t>)</m:t>
              </m:r>
            </m:oMath>
          </w:p>
        </w:tc>
        <w:tc>
          <w:tcPr>
            <w:gridSpan w:val="2"/>
          </w:tcPr>
          <w:p>
            <w:pPr>
              <w:pStyle w:val="Compact"/>
              <w:jc w:val="center"/>
            </w:pPr>
            <m:oMath>
              <m:r>
                <m:rPr>
                  <m:sty m:val="p"/>
                </m:rPr>
                <m:t>(</m:t>
              </m:r>
              <m:r>
                <m:t>0.252</m:t>
              </m:r>
              <m:r>
                <m:rPr>
                  <m:sty m:val="p"/>
                </m:rPr>
                <m:t>)</m:t>
              </m:r>
            </m:oMath>
          </w:p>
        </w:tc>
      </w:tr>
      <w:tr>
        <w:tc>
          <w:tcPr/>
          <w:p>
            <w:pPr>
              <w:pStyle w:val="Compact"/>
              <w:jc w:val="left"/>
            </w:pPr>
            <w:r>
              <w:t xml:space="preserve">Elo common support</w:t>
            </w:r>
          </w:p>
        </w:tc>
        <w:tc>
          <w:tcPr>
            <w:gridSpan w:val="2"/>
          </w:tcPr>
          <w:p>
            <w:pPr>
              <w:pStyle w:val="Compact"/>
              <w:jc w:val="center"/>
            </w:pPr>
            <m:oMath>
              <m:r>
                <m:rPr>
                  <m:sty m:val="p"/>
                </m:rPr>
                <m:t>−</m:t>
              </m:r>
              <m:r>
                <m:t>0.071</m:t>
              </m:r>
            </m:oMath>
          </w:p>
        </w:tc>
        <w:tc>
          <w:tcPr>
            <w:gridSpan w:val="2"/>
          </w:tcPr>
          <w:p>
            <w:pPr>
              <w:pStyle w:val="Compact"/>
              <w:jc w:val="center"/>
            </w:pPr>
            <m:oMath>
              <m:r>
                <m:rPr>
                  <m:sty m:val="p"/>
                </m:rPr>
                <m:t>−</m:t>
              </m:r>
              <m:r>
                <m:t>0.043</m:t>
              </m:r>
            </m:oMath>
          </w:p>
        </w:tc>
        <w:tc>
          <w:tcPr>
            <w:gridSpan w:val="2"/>
          </w:tcPr>
          <w:p>
            <w:pPr>
              <w:pStyle w:val="Compact"/>
              <w:jc w:val="center"/>
            </w:pPr>
            <m:oMath>
              <m:r>
                <m:rPr>
                  <m:sty m:val="p"/>
                </m:rPr>
                <m:t>−</m:t>
              </m:r>
              <m:r>
                <m:t>0.263</m:t>
              </m:r>
            </m:oMath>
          </w:p>
        </w:tc>
      </w:tr>
      <w:tr>
        <w:tc>
          <w:tcPr/>
          <w:p>
            <w:pPr>
              <w:pStyle w:val="Compact"/>
            </w:pPr>
          </w:p>
        </w:tc>
        <w:tc>
          <w:tcPr>
            <w:gridSpan w:val="2"/>
          </w:tcPr>
          <w:p>
            <w:pPr>
              <w:pStyle w:val="Compact"/>
              <w:jc w:val="center"/>
            </w:pPr>
            <m:oMath>
              <m:r>
                <m:rPr>
                  <m:sty m:val="p"/>
                </m:rPr>
                <m:t>(</m:t>
              </m:r>
              <m:r>
                <m:t>0.048</m:t>
              </m:r>
              <m:r>
                <m:rPr>
                  <m:sty m:val="p"/>
                </m:rPr>
                <m:t>)</m:t>
              </m:r>
            </m:oMath>
          </w:p>
        </w:tc>
        <w:tc>
          <w:tcPr>
            <w:gridSpan w:val="2"/>
          </w:tcPr>
          <w:p>
            <w:pPr>
              <w:pStyle w:val="Compact"/>
              <w:jc w:val="center"/>
            </w:pPr>
            <m:oMath>
              <m:r>
                <m:rPr>
                  <m:sty m:val="p"/>
                </m:rPr>
                <m:t>(</m:t>
              </m:r>
              <m:r>
                <m:t>0.044</m:t>
              </m:r>
              <m:r>
                <m:rPr>
                  <m:sty m:val="p"/>
                </m:rPr>
                <m:t>)</m:t>
              </m:r>
            </m:oMath>
          </w:p>
        </w:tc>
        <w:tc>
          <w:tcPr>
            <w:gridSpan w:val="2"/>
          </w:tcPr>
          <w:p>
            <w:pPr>
              <w:pStyle w:val="Compact"/>
              <w:jc w:val="center"/>
            </w:pPr>
            <m:oMath>
              <m:r>
                <m:rPr>
                  <m:sty m:val="p"/>
                </m:rPr>
                <m:t>(</m:t>
              </m:r>
              <m:r>
                <m:t>0.240</m:t>
              </m:r>
              <m:r>
                <m:rPr>
                  <m:sty m:val="p"/>
                </m:rPr>
                <m:t>)</m:t>
              </m:r>
            </m:oMath>
          </w:p>
        </w:tc>
      </w:tr>
    </w:tbl>
    <w:bookmarkEnd w:id="37"/>
    <w:p>
      <w:pPr>
        <w:pStyle w:val="BodyText"/>
      </w:pPr>
      <w:r>
        <w:rPr>
          <w:i/>
          <w:iCs/>
        </w:rPr>
        <w:t xml:space="preserve">Notes:</w:t>
      </w:r>
      <w:r>
        <w:t xml:space="preserve"> </w:t>
      </w:r>
      <w:r>
        <w:t xml:space="preserve">M1 and M2 are logit models; coefficients are average marginal effects (AME). M3 is a Poisson model reporting log-rate coefficients. M1 controls for the Elo ratings of the stronger (</w:t>
      </w:r>
      <w:r>
        <w:rPr>
          <w:i/>
          <w:iCs/>
        </w:rPr>
        <w:t xml:space="preserve">elo_fav</w:t>
      </w:r>
      <w:r>
        <w:t xml:space="preserve">) and weaker (</w:t>
      </w:r>
      <w:r>
        <w:rPr>
          <w:i/>
          <w:iCs/>
        </w:rPr>
        <w:t xml:space="preserve">elo_und</w:t>
      </w:r>
      <w:r>
        <w:t xml:space="preserve">) team in each match. M2 and M3 include the four group-level Elo ranks (</w:t>
      </w:r>
      <w:r>
        <w:rPr>
          <w:i/>
          <w:iCs/>
        </w:rPr>
        <w:t xml:space="preserve">elo1st</w:t>
      </w:r>
      <w:r>
        <w:t xml:space="preserve">–</w:t>
      </w:r>
      <w:r>
        <w:rPr>
          <w:i/>
          <w:iCs/>
        </w:rPr>
        <w:t xml:space="preserve">elo4th</w:t>
      </w:r>
      <w:r>
        <w:t xml:space="preserve">). Standard errors are clustered at the group (year </w:t>
      </w:r>
      <m:oMath>
        <m:r>
          <m:rPr>
            <m:sty m:val="p"/>
          </m:rPr>
          <m:t>×</m:t>
        </m:r>
      </m:oMath>
      <w:r>
        <w:t xml:space="preserve"> stage) level for M1–M2; HC0 robust standard errors for M3. The outcome variable is</w:t>
      </w:r>
      <w:r>
        <w:t xml:space="preserve"> </w:t>
      </w:r>
      <w:r>
        <w:rPr>
          <w:i/>
          <w:iCs/>
        </w:rPr>
        <w:t xml:space="preserve">qual_changed</w:t>
      </w:r>
      <w:r>
        <w:t xml:space="preserve"> </w:t>
      </w:r>
      <w:r>
        <w:t xml:space="preserve">(binary) in M1–M2 and the group-level maximum of</w:t>
      </w:r>
      <w:r>
        <w:t xml:space="preserve"> </w:t>
      </w:r>
      <w:r>
        <w:rPr>
          <w:i/>
          <w:iCs/>
        </w:rPr>
        <w:t xml:space="preserve">qual_count</w:t>
      </w:r>
      <w:r>
        <w:t xml:space="preserve"> </w:t>
      </w:r>
      <w:r>
        <w:t xml:space="preserve">in M3. Panel B reports only the FIFA_rule estimate; all Panel B specifications include year trend.</w:t>
      </w:r>
      <w:r>
        <w:t xml:space="preserve"> </w:t>
      </w:r>
      <m:oMath>
        <m:sSup>
          <m:e>
            <m:r>
              <m:t>​</m:t>
            </m:r>
          </m:e>
          <m:sup>
            <m:r>
              <m:rPr>
                <m:sty m:val="p"/>
              </m:rPr>
              <m:t>*</m:t>
            </m:r>
          </m:sup>
        </m:sSup>
        <m:r>
          <m:t>p</m:t>
        </m:r>
        <m:r>
          <m:rPr>
            <m:sty m:val="p"/>
          </m:rPr>
          <m:t>&lt;</m:t>
        </m:r>
        <m:r>
          <m:t>0.10</m:t>
        </m:r>
      </m:oMath>
      <w:r>
        <w:t xml:space="preserve">,</w:t>
      </w:r>
      <w:r>
        <w:t xml:space="preserve"> </w:t>
      </w:r>
      <m:oMath>
        <m:sSup>
          <m:e>
            <m:r>
              <m:t>​</m:t>
            </m:r>
          </m:e>
          <m:sup>
            <m:r>
              <m:rPr>
                <m:sty m:val="p"/>
              </m:rPr>
              <m:t>*</m:t>
            </m:r>
            <m:r>
              <m:rPr>
                <m:sty m:val="p"/>
              </m:rPr>
              <m:t>*</m:t>
            </m:r>
          </m:sup>
        </m:sSup>
        <m:r>
          <m:t>p</m:t>
        </m:r>
        <m:r>
          <m:rPr>
            <m:sty m:val="p"/>
          </m:rPr>
          <m:t>&lt;</m:t>
        </m:r>
        <m:r>
          <m:t>0.05</m:t>
        </m:r>
      </m:oMath>
      <w:r>
        <w:t xml:space="preserve">,</w:t>
      </w:r>
      <w:r>
        <w:t xml:space="preserve"> </w:t>
      </w:r>
      <m:oMath>
        <m:sSup>
          <m:e>
            <m:r>
              <m:t>​</m:t>
            </m:r>
          </m:e>
          <m:sup>
            <m:r>
              <m:rPr>
                <m:sty m:val="p"/>
              </m:rPr>
              <m:t>*</m:t>
            </m:r>
            <m:r>
              <m:rPr>
                <m:sty m:val="p"/>
              </m:rPr>
              <m:t>*</m:t>
            </m:r>
            <m:r>
              <m:rPr>
                <m:sty m:val="p"/>
              </m:rPr>
              <m:t>*</m:t>
            </m:r>
          </m:sup>
        </m:sSup>
        <m:r>
          <m:t>p</m:t>
        </m:r>
        <m:r>
          <m:rPr>
            <m:sty m:val="p"/>
          </m:rPr>
          <m:t>&lt;</m:t>
        </m:r>
        <m:r>
          <m:t>0.01</m:t>
        </m:r>
      </m:oMath>
      <w:r>
        <w:t xml:space="preserve">.</w:t>
      </w:r>
    </w:p>
    <w:bookmarkStart w:id="38" w:name="tab:reg_susp"/>
    <w:p>
      <w:pPr>
        <w:pStyle w:val="TableCaption"/>
      </w:pPr>
      <w:r>
        <w:t xml:space="preserve">Effect of FIFA tie-breaking rule on suspense — goal-level logit (AME)</w:t>
      </w:r>
    </w:p>
    <w:tbl>
      <w:tblPr>
        <w:tblStyle w:val="Table"/>
        <w:tblW w:type="auto" w:w="0"/>
        <w:tblLook w:firstRow="1" w:lastRow="0" w:firstColumn="0" w:lastColumn="0" w:noHBand="0" w:noVBand="0" w:val="0020"/>
        <w:tblCaption w:val="Effect of FIFA tie-breaking rule on suspense — goal-level logit (AME)"/>
      </w:tblPr>
      <w:tblGrid>
        <w:gridCol w:w="1584"/>
        <w:gridCol w:w="1584"/>
        <w:gridCol w:w="1584"/>
        <w:gridCol w:w="1584"/>
        <w:gridCol w:w="1584"/>
      </w:tblGrid>
      <w:tr>
        <w:trPr>
          <w:tblHeader w:val="on"/>
        </w:trPr>
        <w:tc>
          <w:tcPr/>
          <w:p>
            <w:pPr>
              <w:pStyle w:val="Compact"/>
            </w:pPr>
          </w:p>
        </w:tc>
        <w:tc>
          <w:tcPr>
            <w:gridSpan w:val="2"/>
          </w:tcPr>
          <w:p>
            <w:pPr>
              <w:pStyle w:val="Compact"/>
              <w:jc w:val="center"/>
            </w:pPr>
            <w:r>
              <w:t xml:space="preserve">M4: Match-level Elo</w:t>
            </w:r>
          </w:p>
        </w:tc>
        <w:tc>
          <w:tcPr>
            <w:gridSpan w:val="2"/>
          </w:tcPr>
          <w:p>
            <w:pPr>
              <w:pStyle w:val="Compact"/>
              <w:jc w:val="center"/>
            </w:pPr>
            <w:r>
              <w:t xml:space="preserve">M5: Group-level Elo</w:t>
            </w:r>
          </w:p>
        </w:tc>
      </w:tr>
      <w:tr>
        <w:tc>
          <w:tcPr/>
          <w:p>
            <w:pPr>
              <w:pStyle w:val="Compact"/>
              <w:jc w:val="left"/>
            </w:pPr>
            <w:r>
              <w:t xml:space="preserve">2-3</w:t>
            </w:r>
            <w:r>
              <w:t xml:space="preserve">(lr)</w:t>
            </w:r>
            <w:r>
              <w:t xml:space="preserve">4-5</w:t>
            </w:r>
          </w:p>
        </w:tc>
        <w:tc>
          <w:tcPr/>
          <w:p>
            <w:pPr>
              <w:pStyle w:val="Compact"/>
              <w:jc w:val="center"/>
            </w:pPr>
            <w:r>
              <w:t xml:space="preserve">(1) Main</w:t>
            </w:r>
          </w:p>
        </w:tc>
        <w:tc>
          <w:tcPr/>
          <w:p>
            <w:pPr>
              <w:pStyle w:val="Compact"/>
              <w:jc w:val="center"/>
            </w:pPr>
            <w:r>
              <w:t xml:space="preserve">(2)</w:t>
            </w:r>
            <w:r>
              <w:t xml:space="preserve"> </w:t>
            </w:r>
            <m:oMath>
              <m:r>
                <m:rPr>
                  <m:sty m:val="p"/>
                </m:rPr>
                <m:t>+</m:t>
              </m:r>
            </m:oMath>
            <w:r>
              <w:t xml:space="preserve">Year</w:t>
            </w:r>
          </w:p>
        </w:tc>
        <w:tc>
          <w:tcPr/>
          <w:p>
            <w:pPr>
              <w:pStyle w:val="Compact"/>
              <w:jc w:val="center"/>
            </w:pPr>
            <w:r>
              <w:t xml:space="preserve">(3) Main</w:t>
            </w:r>
          </w:p>
        </w:tc>
        <w:tc>
          <w:tcPr/>
          <w:p>
            <w:pPr>
              <w:pStyle w:val="Compact"/>
              <w:jc w:val="center"/>
            </w:pPr>
            <w:r>
              <w:t xml:space="preserve">(4)</w:t>
            </w:r>
            <w:r>
              <w:t xml:space="preserve"> </w:t>
            </w:r>
            <m:oMath>
              <m:r>
                <m:rPr>
                  <m:sty m:val="p"/>
                </m:rPr>
                <m:t>+</m:t>
              </m:r>
            </m:oMath>
            <w:r>
              <w:t xml:space="preserve">Year</w:t>
            </w:r>
          </w:p>
        </w:tc>
      </w:tr>
      <w:tr>
        <w:tc>
          <w:tcPr>
            <w:gridSpan w:val="5"/>
          </w:tcPr>
          <w:p>
            <w:pPr>
              <w:pStyle w:val="Compact"/>
              <w:jc w:val="left"/>
            </w:pPr>
            <w:r>
              <w:rPr>
                <w:i/>
                <w:iCs/>
              </w:rPr>
              <w:t xml:space="preserve">Panel A: Main specifications</w:t>
            </w:r>
          </w:p>
        </w:tc>
      </w:tr>
      <w:tr>
        <w:tc>
          <w:tcPr/>
          <w:p>
            <w:pPr>
              <w:pStyle w:val="Compact"/>
              <w:jc w:val="left"/>
            </w:pPr>
            <w:r>
              <w:t xml:space="preserve">FIFA_rule</w:t>
            </w:r>
          </w:p>
        </w:tc>
        <w:tc>
          <w:tcPr/>
          <w:p>
            <w:pPr>
              <w:pStyle w:val="Compact"/>
              <w:jc w:val="center"/>
            </w:pPr>
            <m:oMath>
              <m:r>
                <m:rPr>
                  <m:sty m:val="p"/>
                </m:rPr>
                <m:t>−</m:t>
              </m:r>
              <m:r>
                <m:t>0.015</m:t>
              </m:r>
            </m:oMath>
          </w:p>
        </w:tc>
        <w:tc>
          <w:tcPr/>
          <w:p>
            <w:pPr>
              <w:pStyle w:val="Compact"/>
              <w:jc w:val="center"/>
            </w:pPr>
            <m:oMath>
              <m:r>
                <m:rPr>
                  <m:sty m:val="p"/>
                </m:rPr>
                <m:t>−</m:t>
              </m:r>
              <m:r>
                <m:t>0.001</m:t>
              </m:r>
            </m:oMath>
          </w:p>
        </w:tc>
        <w:tc>
          <w:tcPr/>
          <w:p>
            <w:pPr>
              <w:pStyle w:val="Compact"/>
              <w:jc w:val="center"/>
            </w:pPr>
            <m:oMath>
              <m:phant>
                <m:phantPr>
                  <m:show m:val="off"/>
                </m:phantPr>
                <m:e>
                  <m:r>
                    <m:rPr>
                      <m:sty m:val="p"/>
                    </m:rPr>
                    <m:t>−</m:t>
                  </m:r>
                </m:e>
              </m:phant>
              <m:r>
                <m:t>0.019</m:t>
              </m:r>
            </m:oMath>
          </w:p>
        </w:tc>
        <w:tc>
          <w:tcPr/>
          <w:p>
            <w:pPr>
              <w:pStyle w:val="Compact"/>
              <w:jc w:val="center"/>
            </w:pPr>
            <m:oMath>
              <m:phant>
                <m:phantPr>
                  <m:show m:val="off"/>
                </m:phantPr>
                <m:e>
                  <m:r>
                    <m:rPr>
                      <m:sty m:val="p"/>
                    </m:rPr>
                    <m:t>−</m:t>
                  </m:r>
                </m:e>
              </m:phant>
              <m:r>
                <m:t>0.044</m:t>
              </m:r>
            </m:oMath>
          </w:p>
        </w:tc>
      </w:tr>
      <w:tr>
        <w:tc>
          <w:tcPr/>
          <w:p>
            <w:pPr>
              <w:pStyle w:val="Compact"/>
            </w:pPr>
          </w:p>
        </w:tc>
        <w:tc>
          <w:tcPr/>
          <w:p>
            <w:pPr>
              <w:pStyle w:val="Compact"/>
              <w:jc w:val="center"/>
            </w:pPr>
            <m:oMath>
              <m:r>
                <m:rPr>
                  <m:sty m:val="p"/>
                </m:rPr>
                <m:t>(</m:t>
              </m:r>
              <m:r>
                <m:t>0.075</m:t>
              </m:r>
              <m:r>
                <m:rPr>
                  <m:sty m:val="p"/>
                </m:rPr>
                <m:t>)</m:t>
              </m:r>
            </m:oMath>
          </w:p>
        </w:tc>
        <w:tc>
          <w:tcPr/>
          <w:p>
            <w:pPr>
              <w:pStyle w:val="Compact"/>
              <w:jc w:val="center"/>
            </w:pPr>
            <m:oMath>
              <m:r>
                <m:rPr>
                  <m:sty m:val="p"/>
                </m:rPr>
                <m:t>(</m:t>
              </m:r>
              <m:r>
                <m:t>0.077</m:t>
              </m:r>
              <m:r>
                <m:rPr>
                  <m:sty m:val="p"/>
                </m:rPr>
                <m:t>)</m:t>
              </m:r>
            </m:oMath>
          </w:p>
        </w:tc>
        <w:tc>
          <w:tcPr/>
          <w:p>
            <w:pPr>
              <w:pStyle w:val="Compact"/>
              <w:jc w:val="center"/>
            </w:pPr>
            <m:oMath>
              <m:r>
                <m:rPr>
                  <m:sty m:val="p"/>
                </m:rPr>
                <m:t>(</m:t>
              </m:r>
              <m:r>
                <m:t>0.075</m:t>
              </m:r>
              <m:r>
                <m:rPr>
                  <m:sty m:val="p"/>
                </m:rPr>
                <m:t>)</m:t>
              </m:r>
            </m:oMath>
          </w:p>
        </w:tc>
        <w:tc>
          <w:tcPr/>
          <w:p>
            <w:pPr>
              <w:pStyle w:val="Compact"/>
              <w:jc w:val="center"/>
            </w:pPr>
            <m:oMath>
              <m:r>
                <m:rPr>
                  <m:sty m:val="p"/>
                </m:rPr>
                <m:t>(</m:t>
              </m:r>
              <m:r>
                <m:t>0.076</m:t>
              </m:r>
              <m:r>
                <m:rPr>
                  <m:sty m:val="p"/>
                </m:rPr>
                <m:t>)</m:t>
              </m:r>
            </m:oMath>
          </w:p>
        </w:tc>
      </w:tr>
      <w:tr>
        <w:tc>
          <w:tcPr/>
          <w:p>
            <w:pPr>
              <w:pStyle w:val="Compact"/>
              <w:jc w:val="left"/>
            </w:pPr>
            <w:r>
              <w:t xml:space="preserve">Match-level Elo (</w:t>
            </w:r>
            <w:r>
              <w:rPr>
                <w:i/>
                <w:iCs/>
              </w:rPr>
              <w:t xml:space="preserve">elo_fav</w:t>
            </w:r>
            <w:r>
              <w:t xml:space="preserve">,</w:t>
            </w:r>
            <w:r>
              <w:t xml:space="preserve"> </w:t>
            </w:r>
            <w:r>
              <w:rPr>
                <w:i/>
                <w:iCs/>
              </w:rPr>
              <w:t xml:space="preserve">elo_und</w:t>
            </w:r>
            <w:r>
              <w:t xml:space="preserve">)</w:t>
            </w:r>
          </w:p>
        </w:tc>
        <w:tc>
          <w:tcPr/>
          <w:p>
            <w:pPr>
              <w:pStyle w:val="Compact"/>
            </w:pPr>
          </w:p>
        </w:tc>
        <w:tc>
          <w:tcPr/>
          <w:p>
            <w:pPr>
              <w:pStyle w:val="Compact"/>
            </w:pP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Group-level Elo (</w:t>
            </w:r>
            <w:r>
              <w:rPr>
                <w:i/>
                <w:iCs/>
              </w:rPr>
              <w:t xml:space="preserve">elo1st</w:t>
            </w:r>
            <w:r>
              <w:t xml:space="preserve">–</w:t>
            </w:r>
            <w:r>
              <w:rPr>
                <w:i/>
                <w:iCs/>
              </w:rPr>
              <w:t xml:space="preserve">elo4th</w:t>
            </w:r>
            <w:r>
              <w:t xml:space="preserve">)</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pPr>
          </w:p>
        </w:tc>
      </w:tr>
      <w:tr>
        <w:tc>
          <w:tcPr/>
          <w:p>
            <w:pPr>
              <w:pStyle w:val="Compact"/>
              <w:jc w:val="left"/>
            </w:pPr>
            <w:r>
              <w:t xml:space="preserve">Year trend</w:t>
            </w:r>
          </w:p>
        </w:tc>
        <w:tc>
          <w:tcPr/>
          <w:p>
            <w:pPr>
              <w:pStyle w:val="Compact"/>
              <w:jc w:val="center"/>
            </w:pPr>
            <w:r>
              <w:t xml:space="preserve">–</w:t>
            </w:r>
          </w:p>
        </w:tc>
        <w:tc>
          <w:tcPr/>
          <w:p>
            <w:pPr>
              <w:pStyle w:val="Compact"/>
            </w:pPr>
          </w:p>
        </w:tc>
        <w:tc>
          <w:tcPr/>
          <w:p>
            <w:pPr>
              <w:pStyle w:val="Compact"/>
              <w:jc w:val="center"/>
            </w:pPr>
            <w:r>
              <w:t xml:space="preserve">–</w:t>
            </w:r>
          </w:p>
        </w:tc>
        <w:tc>
          <w:tcPr/>
          <w:p>
            <w:pPr>
              <w:pStyle w:val="Compact"/>
            </w:pPr>
          </w:p>
        </w:tc>
      </w:tr>
      <w:tr>
        <w:tc>
          <w:tcPr/>
          <w:p>
            <w:pPr>
              <w:pStyle w:val="Compact"/>
              <w:jc w:val="left"/>
            </w:pPr>
            <w:r>
              <w:t xml:space="preserve">Observations</w:t>
            </w:r>
          </w:p>
        </w:tc>
        <w:tc>
          <w:tcPr/>
          <w:p>
            <w:pPr>
              <w:pStyle w:val="Compact"/>
              <w:jc w:val="center"/>
            </w:pPr>
            <w:r>
              <w:t xml:space="preserve">607</w:t>
            </w:r>
          </w:p>
        </w:tc>
        <w:tc>
          <w:tcPr/>
          <w:p>
            <w:pPr>
              <w:pStyle w:val="Compact"/>
              <w:jc w:val="center"/>
            </w:pPr>
            <w:r>
              <w:t xml:space="preserve">607</w:t>
            </w:r>
          </w:p>
        </w:tc>
        <w:tc>
          <w:tcPr/>
          <w:p>
            <w:pPr>
              <w:pStyle w:val="Compact"/>
              <w:jc w:val="center"/>
            </w:pPr>
            <w:r>
              <w:t xml:space="preserve">725</w:t>
            </w:r>
          </w:p>
        </w:tc>
        <w:tc>
          <w:tcPr/>
          <w:p>
            <w:pPr>
              <w:pStyle w:val="Compact"/>
              <w:jc w:val="center"/>
            </w:pPr>
            <w:r>
              <w:t xml:space="preserve">725</w:t>
            </w:r>
          </w:p>
        </w:tc>
      </w:tr>
      <w:tr>
        <w:tc>
          <w:tcPr>
            <w:gridSpan w:val="5"/>
          </w:tcPr>
          <w:p>
            <w:pPr>
              <w:pStyle w:val="Compact"/>
              <w:jc w:val="left"/>
            </w:pPr>
            <w:r>
              <w:rPr>
                <w:i/>
                <w:iCs/>
              </w:rPr>
              <w:t xml:space="preserve">Panel B: Robustness — FIFA_rule only (all specifications include year trend)</w:t>
            </w:r>
          </w:p>
        </w:tc>
      </w:tr>
      <w:tr>
        <w:tc>
          <w:tcPr/>
          <w:p>
            <w:pPr>
              <w:pStyle w:val="Compact"/>
            </w:pPr>
          </w:p>
        </w:tc>
        <w:tc>
          <w:tcPr>
            <w:gridSpan w:val="2"/>
          </w:tcPr>
          <w:p>
            <w:pPr>
              <w:pStyle w:val="Compact"/>
              <w:jc w:val="center"/>
            </w:pPr>
            <w:r>
              <w:t xml:space="preserve">M4</w:t>
            </w:r>
          </w:p>
        </w:tc>
        <w:tc>
          <w:tcPr>
            <w:gridSpan w:val="2"/>
          </w:tcPr>
          <w:p>
            <w:pPr>
              <w:pStyle w:val="Compact"/>
              <w:jc w:val="center"/>
            </w:pPr>
            <w:r>
              <w:t xml:space="preserve">M5</w:t>
            </w:r>
          </w:p>
        </w:tc>
      </w:tr>
      <w:tr>
        <w:tc>
          <w:tcPr/>
          <w:p>
            <w:pPr>
              <w:pStyle w:val="Compact"/>
              <w:jc w:val="left"/>
            </w:pPr>
            <w:r>
              <w:t xml:space="preserve">2-3</w:t>
            </w:r>
            <w:r>
              <w:t xml:space="preserve">(lr)</w:t>
            </w:r>
            <w:r>
              <w:t xml:space="preserve">4-5</w:t>
            </w:r>
            <w:r>
              <w:t xml:space="preserve"> </w:t>
            </w:r>
            <w:r>
              <w:t xml:space="preserve">Two qualifying teams</w:t>
            </w:r>
          </w:p>
        </w:tc>
        <w:tc>
          <w:tcPr>
            <w:gridSpan w:val="2"/>
          </w:tcPr>
          <w:p>
            <w:pPr>
              <w:pStyle w:val="Compact"/>
              <w:jc w:val="center"/>
            </w:pPr>
            <m:oMath>
              <m:r>
                <m:rPr>
                  <m:sty m:val="p"/>
                </m:rPr>
                <m:t>−</m:t>
              </m:r>
              <m:r>
                <m:t>0.080</m:t>
              </m:r>
            </m:oMath>
          </w:p>
        </w:tc>
        <w:tc>
          <w:tcPr>
            <w:gridSpan w:val="2"/>
          </w:tcPr>
          <w:p>
            <w:pPr>
              <w:pStyle w:val="Compact"/>
              <w:jc w:val="center"/>
            </w:pPr>
            <m:oMath>
              <m:r>
                <m:rPr>
                  <m:sty m:val="p"/>
                </m:rPr>
                <m:t>−</m:t>
              </m:r>
              <m:r>
                <m:t>0.036</m:t>
              </m:r>
            </m:oMath>
          </w:p>
        </w:tc>
      </w:tr>
      <w:tr>
        <w:tc>
          <w:tcPr/>
          <w:p>
            <w:pPr>
              <w:pStyle w:val="Compact"/>
            </w:pPr>
          </w:p>
        </w:tc>
        <w:tc>
          <w:tcPr>
            <w:gridSpan w:val="2"/>
          </w:tcPr>
          <w:p>
            <w:pPr>
              <w:pStyle w:val="Compact"/>
              <w:jc w:val="center"/>
            </w:pPr>
            <m:oMath>
              <m:r>
                <m:rPr>
                  <m:sty m:val="p"/>
                </m:rPr>
                <m:t>(</m:t>
              </m:r>
              <m:r>
                <m:t>0.084</m:t>
              </m:r>
              <m:r>
                <m:rPr>
                  <m:sty m:val="p"/>
                </m:rPr>
                <m:t>)</m:t>
              </m:r>
            </m:oMath>
          </w:p>
        </w:tc>
        <w:tc>
          <w:tcPr>
            <w:gridSpan w:val="2"/>
          </w:tcPr>
          <w:p>
            <w:pPr>
              <w:pStyle w:val="Compact"/>
              <w:jc w:val="center"/>
            </w:pPr>
            <m:oMath>
              <m:r>
                <m:rPr>
                  <m:sty m:val="p"/>
                </m:rPr>
                <m:t>(</m:t>
              </m:r>
              <m:r>
                <m:t>0.090</m:t>
              </m:r>
              <m:r>
                <m:rPr>
                  <m:sty m:val="p"/>
                </m:rPr>
                <m:t>)</m:t>
              </m:r>
            </m:oMath>
          </w:p>
        </w:tc>
      </w:tr>
      <w:tr>
        <w:tc>
          <w:tcPr/>
          <w:p>
            <w:pPr>
              <w:pStyle w:val="Compact"/>
              <w:jc w:val="left"/>
            </w:pPr>
            <w:r>
              <w:t xml:space="preserve">Three qualifying teams</w:t>
            </w:r>
          </w:p>
        </w:tc>
        <w:tc>
          <w:tcPr>
            <w:gridSpan w:val="2"/>
          </w:tcPr>
          <w:p>
            <w:pPr>
              <w:pStyle w:val="Compact"/>
              <w:jc w:val="center"/>
            </w:pPr>
            <m:oMath>
              <m:r>
                <m:rPr>
                  <m:sty m:val="p"/>
                </m:rPr>
                <m:t>−</m:t>
              </m:r>
              <m:r>
                <m:t>0.006</m:t>
              </m:r>
            </m:oMath>
          </w:p>
        </w:tc>
        <w:tc>
          <w:tcPr>
            <w:gridSpan w:val="2"/>
          </w:tcPr>
          <w:p>
            <w:pPr>
              <w:pStyle w:val="Compact"/>
              <w:jc w:val="center"/>
            </w:pPr>
            <m:oMath>
              <m:r>
                <m:rPr>
                  <m:sty m:val="p"/>
                </m:rPr>
                <m:t>−</m:t>
              </m:r>
              <m:r>
                <m:t>0.734</m:t>
              </m:r>
            </m:oMath>
          </w:p>
        </w:tc>
      </w:tr>
      <w:tr>
        <w:tc>
          <w:tcPr/>
          <w:p>
            <w:pPr>
              <w:pStyle w:val="Compact"/>
            </w:pPr>
          </w:p>
        </w:tc>
        <w:tc>
          <w:tcPr>
            <w:gridSpan w:val="2"/>
          </w:tcPr>
          <w:p>
            <w:pPr>
              <w:pStyle w:val="Compact"/>
              <w:jc w:val="center"/>
            </w:pPr>
            <m:oMath>
              <m:r>
                <m:rPr>
                  <m:sty m:val="p"/>
                </m:rPr>
                <m:t>(</m:t>
              </m:r>
              <m:r>
                <m:t>0.642</m:t>
              </m:r>
              <m:r>
                <m:rPr>
                  <m:sty m:val="p"/>
                </m:rPr>
                <m:t>)</m:t>
              </m:r>
            </m:oMath>
          </w:p>
        </w:tc>
        <w:tc>
          <w:tcPr>
            <w:gridSpan w:val="2"/>
          </w:tcPr>
          <w:p>
            <w:pPr>
              <w:pStyle w:val="Compact"/>
              <w:jc w:val="center"/>
            </w:pPr>
            <m:oMath>
              <m:r>
                <m:rPr>
                  <m:sty m:val="p"/>
                </m:rPr>
                <m:t>(</m:t>
              </m:r>
              <m:r>
                <m:t>0.630</m:t>
              </m:r>
              <m:r>
                <m:rPr>
                  <m:sty m:val="p"/>
                </m:rPr>
                <m:t>)</m:t>
              </m:r>
            </m:oMath>
          </w:p>
        </w:tc>
      </w:tr>
      <w:tr>
        <w:tc>
          <w:tcPr/>
          <w:p>
            <w:pPr>
              <w:pStyle w:val="Compact"/>
              <w:jc w:val="left"/>
            </w:pPr>
            <w:r>
              <w:t xml:space="preserve">2-points rule (</w:t>
            </w:r>
            <m:oMath>
              <m:r>
                <m:rPr>
                  <m:sty m:val="p"/>
                </m:rPr>
                <m:t>≤</m:t>
              </m:r>
              <m:r>
                <m:t>1992</m:t>
              </m:r>
            </m:oMath>
            <w:r>
              <w:t xml:space="preserve">)</w:t>
            </w:r>
          </w:p>
        </w:tc>
        <w:tc>
          <w:tcPr>
            <w:gridSpan w:val="2"/>
          </w:tcPr>
          <w:p>
            <w:pPr>
              <w:pStyle w:val="Compact"/>
              <w:jc w:val="center"/>
            </w:pPr>
            <m:oMath>
              <m:r>
                <m:rPr>
                  <m:sty m:val="p"/>
                </m:rPr>
                <m:t>−</m:t>
              </m:r>
              <m:r>
                <m:t>0.151</m:t>
              </m:r>
            </m:oMath>
          </w:p>
        </w:tc>
        <w:tc>
          <w:tcPr>
            <w:gridSpan w:val="2"/>
          </w:tcPr>
          <w:p>
            <w:pPr>
              <w:pStyle w:val="Compact"/>
              <w:jc w:val="center"/>
            </w:pPr>
            <m:oMath>
              <m:phant>
                <m:phantPr>
                  <m:show m:val="off"/>
                </m:phantPr>
                <m:e>
                  <m:r>
                    <m:rPr>
                      <m:sty m:val="p"/>
                    </m:rPr>
                    <m:t>−</m:t>
                  </m:r>
                </m:e>
              </m:phant>
              <m:r>
                <m:t>0.079</m:t>
              </m:r>
            </m:oMath>
          </w:p>
        </w:tc>
      </w:tr>
      <w:tr>
        <w:tc>
          <w:tcPr/>
          <w:p>
            <w:pPr>
              <w:pStyle w:val="Compact"/>
            </w:pPr>
          </w:p>
        </w:tc>
        <w:tc>
          <w:tcPr>
            <w:gridSpan w:val="2"/>
          </w:tcPr>
          <w:p>
            <w:pPr>
              <w:pStyle w:val="Compact"/>
              <w:jc w:val="center"/>
            </w:pPr>
            <m:oMath>
              <m:r>
                <m:rPr>
                  <m:sty m:val="p"/>
                </m:rPr>
                <m:t>(</m:t>
              </m:r>
              <m:r>
                <m:t>0.160</m:t>
              </m:r>
              <m:r>
                <m:rPr>
                  <m:sty m:val="p"/>
                </m:rPr>
                <m:t>)</m:t>
              </m:r>
            </m:oMath>
          </w:p>
        </w:tc>
        <w:tc>
          <w:tcPr>
            <w:gridSpan w:val="2"/>
          </w:tcPr>
          <w:p>
            <w:pPr>
              <w:pStyle w:val="Compact"/>
              <w:jc w:val="center"/>
            </w:pPr>
            <m:oMath>
              <m:r>
                <m:rPr>
                  <m:sty m:val="p"/>
                </m:rPr>
                <m:t>(</m:t>
              </m:r>
              <m:r>
                <m:t>0.314</m:t>
              </m:r>
              <m:r>
                <m:rPr>
                  <m:sty m:val="p"/>
                </m:rPr>
                <m:t>)</m:t>
              </m:r>
            </m:oMath>
          </w:p>
        </w:tc>
      </w:tr>
      <w:tr>
        <w:tc>
          <w:tcPr/>
          <w:p>
            <w:pPr>
              <w:pStyle w:val="Compact"/>
              <w:jc w:val="left"/>
            </w:pPr>
            <w:r>
              <w:t xml:space="preserve">3-points rule (</w:t>
            </w:r>
            <m:oMath>
              <m:r>
                <m:rPr>
                  <m:sty m:val="p"/>
                </m:rPr>
                <m:t>&gt;</m:t>
              </m:r>
              <m:r>
                <m:t>1992</m:t>
              </m:r>
            </m:oMath>
            <w:r>
              <w:t xml:space="preserve">)</w:t>
            </w:r>
          </w:p>
        </w:tc>
        <w:tc>
          <w:tcPr>
            <w:gridSpan w:val="2"/>
          </w:tcPr>
          <w:p>
            <w:pPr>
              <w:pStyle w:val="Compact"/>
              <w:jc w:val="center"/>
            </w:pPr>
            <m:oMath>
              <m:phant>
                <m:phantPr>
                  <m:show m:val="off"/>
                </m:phantPr>
                <m:e>
                  <m:r>
                    <m:rPr>
                      <m:sty m:val="p"/>
                    </m:rPr>
                    <m:t>−</m:t>
                  </m:r>
                </m:e>
              </m:phant>
              <m:r>
                <m:t>0.031</m:t>
              </m:r>
            </m:oMath>
          </w:p>
        </w:tc>
        <w:tc>
          <w:tcPr>
            <w:gridSpan w:val="2"/>
          </w:tcPr>
          <w:p>
            <w:pPr>
              <w:pStyle w:val="Compact"/>
              <w:jc w:val="center"/>
            </w:pPr>
            <m:oMath>
              <m:phant>
                <m:phantPr>
                  <m:show m:val="off"/>
                </m:phantPr>
                <m:e>
                  <m:r>
                    <m:rPr>
                      <m:sty m:val="p"/>
                    </m:rPr>
                    <m:t>−</m:t>
                  </m:r>
                </m:e>
              </m:phant>
              <m:r>
                <m:t>0.068</m:t>
              </m:r>
            </m:oMath>
          </w:p>
        </w:tc>
      </w:tr>
      <w:tr>
        <w:tc>
          <w:tcPr/>
          <w:p>
            <w:pPr>
              <w:pStyle w:val="Compact"/>
            </w:pPr>
          </w:p>
        </w:tc>
        <w:tc>
          <w:tcPr>
            <w:gridSpan w:val="2"/>
          </w:tcPr>
          <w:p>
            <w:pPr>
              <w:pStyle w:val="Compact"/>
              <w:jc w:val="center"/>
            </w:pPr>
            <m:oMath>
              <m:r>
                <m:rPr>
                  <m:sty m:val="p"/>
                </m:rPr>
                <m:t>(</m:t>
              </m:r>
              <m:r>
                <m:t>0.082</m:t>
              </m:r>
              <m:r>
                <m:rPr>
                  <m:sty m:val="p"/>
                </m:rPr>
                <m:t>)</m:t>
              </m:r>
            </m:oMath>
          </w:p>
        </w:tc>
        <w:tc>
          <w:tcPr>
            <w:gridSpan w:val="2"/>
          </w:tcPr>
          <w:p>
            <w:pPr>
              <w:pStyle w:val="Compact"/>
              <w:jc w:val="center"/>
            </w:pPr>
            <m:oMath>
              <m:r>
                <m:rPr>
                  <m:sty m:val="p"/>
                </m:rPr>
                <m:t>(</m:t>
              </m:r>
              <m:r>
                <m:t>0.080</m:t>
              </m:r>
              <m:r>
                <m:rPr>
                  <m:sty m:val="p"/>
                </m:rPr>
                <m:t>)</m:t>
              </m:r>
            </m:oMath>
          </w:p>
        </w:tc>
      </w:tr>
      <w:tr>
        <w:tc>
          <w:tcPr/>
          <w:p>
            <w:pPr>
              <w:pStyle w:val="Compact"/>
              <w:jc w:val="left"/>
            </w:pPr>
            <w:r>
              <w:t xml:space="preserve">Elo common support</w:t>
            </w:r>
          </w:p>
        </w:tc>
        <w:tc>
          <w:tcPr>
            <w:gridSpan w:val="2"/>
          </w:tcPr>
          <w:p>
            <w:pPr>
              <w:pStyle w:val="Compact"/>
              <w:jc w:val="center"/>
            </w:pPr>
            <m:oMath>
              <m:phant>
                <m:phantPr>
                  <m:show m:val="off"/>
                </m:phantPr>
                <m:e>
                  <m:r>
                    <m:rPr>
                      <m:sty m:val="p"/>
                    </m:rPr>
                    <m:t>−</m:t>
                  </m:r>
                </m:e>
              </m:phant>
              <m:r>
                <m:t>0.006</m:t>
              </m:r>
            </m:oMath>
          </w:p>
        </w:tc>
        <w:tc>
          <w:tcPr>
            <w:gridSpan w:val="2"/>
          </w:tcPr>
          <w:p>
            <w:pPr>
              <w:pStyle w:val="Compact"/>
              <w:jc w:val="center"/>
            </w:pPr>
            <m:oMath>
              <m:phant>
                <m:phantPr>
                  <m:show m:val="off"/>
                </m:phantPr>
                <m:e>
                  <m:r>
                    <m:rPr>
                      <m:sty m:val="p"/>
                    </m:rPr>
                    <m:t>−</m:t>
                  </m:r>
                </m:e>
              </m:phant>
              <m:r>
                <m:t>0.029</m:t>
              </m:r>
            </m:oMath>
          </w:p>
        </w:tc>
      </w:tr>
      <w:tr>
        <w:tc>
          <w:tcPr/>
          <w:p>
            <w:pPr>
              <w:pStyle w:val="Compact"/>
            </w:pPr>
          </w:p>
        </w:tc>
        <w:tc>
          <w:tcPr>
            <w:gridSpan w:val="2"/>
          </w:tcPr>
          <w:p>
            <w:pPr>
              <w:pStyle w:val="Compact"/>
              <w:jc w:val="center"/>
            </w:pPr>
            <m:oMath>
              <m:r>
                <m:rPr>
                  <m:sty m:val="p"/>
                </m:rPr>
                <m:t>(</m:t>
              </m:r>
              <m:r>
                <m:t>0.080</m:t>
              </m:r>
              <m:r>
                <m:rPr>
                  <m:sty m:val="p"/>
                </m:rPr>
                <m:t>)</m:t>
              </m:r>
            </m:oMath>
          </w:p>
        </w:tc>
        <w:tc>
          <w:tcPr>
            <w:gridSpan w:val="2"/>
          </w:tcPr>
          <w:p>
            <w:pPr>
              <w:pStyle w:val="Compact"/>
              <w:jc w:val="center"/>
            </w:pPr>
            <m:oMath>
              <m:r>
                <m:rPr>
                  <m:sty m:val="p"/>
                </m:rPr>
                <m:t>(</m:t>
              </m:r>
              <m:r>
                <m:t>0.077</m:t>
              </m:r>
              <m:r>
                <m:rPr>
                  <m:sty m:val="p"/>
                </m:rPr>
                <m:t>)</m:t>
              </m:r>
            </m:oMath>
          </w:p>
        </w:tc>
      </w:tr>
    </w:tbl>
    <w:bookmarkEnd w:id="38"/>
    <w:p>
      <w:pPr>
        <w:pStyle w:val="BodyText"/>
      </w:pPr>
      <w:r>
        <w:rPr>
          <w:i/>
          <w:iCs/>
        </w:rPr>
        <w:t xml:space="preserve">Notes:</w:t>
      </w:r>
      <w:r>
        <w:t xml:space="preserve"> </w:t>
      </w:r>
      <w:r>
        <w:t xml:space="preserve">Logit model for the binary</w:t>
      </w:r>
      <w:r>
        <w:t xml:space="preserve"> </w:t>
      </w:r>
      <w:r>
        <w:rPr>
          <w:i/>
          <w:iCs/>
        </w:rPr>
        <w:t xml:space="preserve">suspense</w:t>
      </w:r>
      <w:r>
        <w:t xml:space="preserve"> </w:t>
      </w:r>
      <w:r>
        <w:t xml:space="preserve">indicator estimated on the goal-level dataset. Coefficients are average marginal effects (AME). M4 controls for match-level Elo ratings (</w:t>
      </w:r>
      <w:r>
        <w:rPr>
          <w:i/>
          <w:iCs/>
        </w:rPr>
        <w:t xml:space="preserve">elo_fav</w:t>
      </w:r>
      <w:r>
        <w:t xml:space="preserve">,</w:t>
      </w:r>
      <w:r>
        <w:t xml:space="preserve"> </w:t>
      </w:r>
      <w:r>
        <w:rPr>
          <w:i/>
          <w:iCs/>
        </w:rPr>
        <w:t xml:space="preserve">elo_und</w:t>
      </w:r>
      <w:r>
        <w:t xml:space="preserve">); M5 uses group-level Elo ranks (</w:t>
      </w:r>
      <w:r>
        <w:rPr>
          <w:i/>
          <w:iCs/>
        </w:rPr>
        <w:t xml:space="preserve">elo1st</w:t>
      </w:r>
      <w:r>
        <w:t xml:space="preserve">–</w:t>
      </w:r>
      <w:r>
        <w:rPr>
          <w:i/>
          <w:iCs/>
        </w:rPr>
        <w:t xml:space="preserve">elo4th</w:t>
      </w:r>
      <w:r>
        <w:t xml:space="preserve">). Standard errors are clustered at the group (year </w:t>
      </w:r>
      <m:oMath>
        <m:r>
          <m:rPr>
            <m:sty m:val="p"/>
          </m:rPr>
          <m:t>×</m:t>
        </m:r>
      </m:oMath>
      <w:r>
        <w:t xml:space="preserve"> stage) level. Panel B robustness samples follow the same definitions as in Table </w:t>
      </w:r>
      <w:hyperlink w:anchor="tab:reg_grp">
        <w:r>
          <w:rPr>
            <w:rStyle w:val="Hyperlink"/>
          </w:rPr>
          <w:t xml:space="preserve">4</w:t>
        </w:r>
      </w:hyperlink>
      <w:r>
        <w:t xml:space="preserve">; all Panel B specifications include</w:t>
      </w:r>
      <w:r>
        <w:t xml:space="preserve"> </w:t>
      </w:r>
      <w:r>
        <w:rPr>
          <w:i/>
          <w:iCs/>
        </w:rPr>
        <w:t xml:space="preserve">year_c</w:t>
      </w:r>
      <w:r>
        <w:t xml:space="preserve">.</w:t>
      </w:r>
      <w:r>
        <w:t xml:space="preserve"> </w:t>
      </w:r>
      <m:oMath>
        <m:sSup>
          <m:e>
            <m:r>
              <m:t>​</m:t>
            </m:r>
          </m:e>
          <m:sup>
            <m:r>
              <m:rPr>
                <m:sty m:val="p"/>
              </m:rPr>
              <m:t>*</m:t>
            </m:r>
          </m:sup>
        </m:sSup>
        <m:r>
          <m:t>p</m:t>
        </m:r>
        <m:r>
          <m:rPr>
            <m:sty m:val="p"/>
          </m:rPr>
          <m:t>&lt;</m:t>
        </m:r>
        <m:r>
          <m:t>0.10</m:t>
        </m:r>
      </m:oMath>
      <w:r>
        <w:t xml:space="preserve">,</w:t>
      </w:r>
      <w:r>
        <w:t xml:space="preserve"> </w:t>
      </w:r>
      <m:oMath>
        <m:sSup>
          <m:e>
            <m:r>
              <m:t>​</m:t>
            </m:r>
          </m:e>
          <m:sup>
            <m:r>
              <m:rPr>
                <m:sty m:val="p"/>
              </m:rPr>
              <m:t>*</m:t>
            </m:r>
            <m:r>
              <m:rPr>
                <m:sty m:val="p"/>
              </m:rPr>
              <m:t>*</m:t>
            </m:r>
          </m:sup>
        </m:sSup>
        <m:r>
          <m:t>p</m:t>
        </m:r>
        <m:r>
          <m:rPr>
            <m:sty m:val="p"/>
          </m:rPr>
          <m:t>&lt;</m:t>
        </m:r>
        <m:r>
          <m:t>0.05</m:t>
        </m:r>
      </m:oMath>
      <w:r>
        <w:t xml:space="preserve">,</w:t>
      </w:r>
      <w:r>
        <w:t xml:space="preserve"> </w:t>
      </w:r>
      <m:oMath>
        <m:sSup>
          <m:e>
            <m:r>
              <m:t>​</m:t>
            </m:r>
          </m:e>
          <m:sup>
            <m:r>
              <m:rPr>
                <m:sty m:val="p"/>
              </m:rPr>
              <m:t>*</m:t>
            </m:r>
            <m:r>
              <m:rPr>
                <m:sty m:val="p"/>
              </m:rPr>
              <m:t>*</m:t>
            </m:r>
            <m:r>
              <m:rPr>
                <m:sty m:val="p"/>
              </m:rPr>
              <m:t>*</m:t>
            </m:r>
          </m:sup>
        </m:sSup>
        <m:r>
          <m:t>p</m:t>
        </m:r>
        <m:r>
          <m:rPr>
            <m:sty m:val="p"/>
          </m:rPr>
          <m:t>&lt;</m:t>
        </m:r>
        <m:r>
          <m:t>0.01</m:t>
        </m:r>
      </m:oMath>
      <w:r>
        <w:t xml:space="preserve">.</w:t>
      </w:r>
    </w:p>
    <w:bookmarkStart w:id="39" w:name="tab:reg_mbm"/>
    <w:p>
      <w:pPr>
        <w:pStyle w:val="TableCaption"/>
      </w:pPr>
      <w:r>
        <w:t xml:space="preserve">MBM logit models: effect of FIFA tie-breaking rule on suspense and qualification change</w:t>
      </w:r>
    </w:p>
    <w:tbl>
      <w:tblPr>
        <w:tblStyle w:val="Table"/>
        <w:tblW w:type="auto" w:w="0"/>
        <w:tblLook w:firstRow="1" w:lastRow="0" w:firstColumn="0" w:lastColumn="0" w:noHBand="0" w:noVBand="0" w:val="0020"/>
        <w:tblCaption w:val="MBM logit models: effect of FIFA tie-breaking rule on suspense and qualification change"/>
      </w:tblPr>
      <w:tblGrid>
        <w:gridCol w:w="1584"/>
        <w:gridCol w:w="1584"/>
        <w:gridCol w:w="1584"/>
        <w:gridCol w:w="1584"/>
        <w:gridCol w:w="1584"/>
      </w:tblGrid>
      <w:tr>
        <w:trPr>
          <w:tblHeader w:val="on"/>
        </w:trPr>
        <w:tc>
          <w:tcPr/>
          <w:p>
            <w:pPr>
              <w:pStyle w:val="Compact"/>
            </w:pPr>
          </w:p>
        </w:tc>
        <w:tc>
          <w:tcPr>
            <w:gridSpan w:val="2"/>
          </w:tcPr>
          <w:p>
            <w:pPr>
              <w:pStyle w:val="Compact"/>
              <w:jc w:val="center"/>
            </w:pPr>
            <w:r>
              <w:t xml:space="preserve">MBM-A:</w:t>
            </w:r>
            <w:r>
              <w:t xml:space="preserve"> </w:t>
            </w:r>
            <w:r>
              <w:rPr>
                <w:i/>
                <w:iCs/>
              </w:rPr>
              <w:t xml:space="preserve">suspense</w:t>
            </w:r>
          </w:p>
        </w:tc>
        <w:tc>
          <w:tcPr>
            <w:gridSpan w:val="2"/>
          </w:tcPr>
          <w:p>
            <w:pPr>
              <w:pStyle w:val="Compact"/>
              <w:jc w:val="center"/>
            </w:pPr>
            <w:r>
              <w:t xml:space="preserve">MBM-B:</w:t>
            </w:r>
            <w:r>
              <w:t xml:space="preserve"> </w:t>
            </w:r>
            <w:r>
              <w:rPr>
                <w:i/>
                <w:iCs/>
              </w:rPr>
              <w:t xml:space="preserve">qual_changed</w:t>
            </w:r>
          </w:p>
        </w:tc>
      </w:tr>
      <w:tr>
        <w:tc>
          <w:tcPr/>
          <w:p>
            <w:pPr>
              <w:pStyle w:val="Compact"/>
              <w:jc w:val="left"/>
            </w:pPr>
            <w:r>
              <w:t xml:space="preserve">2-3</w:t>
            </w:r>
            <w:r>
              <w:t xml:space="preserve">(lr)</w:t>
            </w:r>
            <w:r>
              <w:t xml:space="preserve">4-5</w:t>
            </w:r>
          </w:p>
        </w:tc>
        <w:tc>
          <w:tcPr/>
          <w:p>
            <w:pPr>
              <w:pStyle w:val="Compact"/>
              <w:jc w:val="center"/>
            </w:pPr>
            <w:r>
              <w:t xml:space="preserve">(1) Main</w:t>
            </w:r>
          </w:p>
        </w:tc>
        <w:tc>
          <w:tcPr/>
          <w:p>
            <w:pPr>
              <w:pStyle w:val="Compact"/>
              <w:jc w:val="center"/>
            </w:pPr>
            <w:r>
              <w:t xml:space="preserve">(2)</w:t>
            </w:r>
            <w:r>
              <w:t xml:space="preserve"> </w:t>
            </w:r>
            <m:oMath>
              <m:r>
                <m:rPr>
                  <m:sty m:val="p"/>
                </m:rPr>
                <m:t>+</m:t>
              </m:r>
            </m:oMath>
            <w:r>
              <w:t xml:space="preserve">Year</w:t>
            </w:r>
          </w:p>
        </w:tc>
        <w:tc>
          <w:tcPr/>
          <w:p>
            <w:pPr>
              <w:pStyle w:val="Compact"/>
              <w:jc w:val="center"/>
            </w:pPr>
            <w:r>
              <w:t xml:space="preserve">(3) Main</w:t>
            </w:r>
          </w:p>
        </w:tc>
        <w:tc>
          <w:tcPr/>
          <w:p>
            <w:pPr>
              <w:pStyle w:val="Compact"/>
              <w:jc w:val="center"/>
            </w:pPr>
            <w:r>
              <w:t xml:space="preserve">(4)</w:t>
            </w:r>
            <w:r>
              <w:t xml:space="preserve"> </w:t>
            </w:r>
            <m:oMath>
              <m:r>
                <m:rPr>
                  <m:sty m:val="p"/>
                </m:rPr>
                <m:t>+</m:t>
              </m:r>
            </m:oMath>
            <w:r>
              <w:t xml:space="preserve">Year</w:t>
            </w:r>
          </w:p>
        </w:tc>
      </w:tr>
      <w:tr>
        <w:tc>
          <w:tcPr>
            <w:gridSpan w:val="5"/>
          </w:tcPr>
          <w:p>
            <w:pPr>
              <w:pStyle w:val="Compact"/>
              <w:jc w:val="left"/>
            </w:pPr>
            <w:r>
              <w:rPr>
                <w:i/>
                <w:iCs/>
              </w:rPr>
              <w:t xml:space="preserve">Panel A: Main specifications</w:t>
            </w:r>
          </w:p>
        </w:tc>
      </w:tr>
      <w:tr>
        <w:tc>
          <w:tcPr/>
          <w:p>
            <w:pPr>
              <w:pStyle w:val="Compact"/>
              <w:jc w:val="left"/>
            </w:pPr>
            <w:r>
              <w:t xml:space="preserve">FIFA_rule</w:t>
            </w:r>
          </w:p>
        </w:tc>
        <w:tc>
          <w:tcPr/>
          <w:p>
            <w:pPr>
              <w:pStyle w:val="Compact"/>
              <w:jc w:val="center"/>
            </w:pPr>
            <m:oMath>
              <m:r>
                <m:rPr>
                  <m:sty m:val="p"/>
                </m:rPr>
                <m:t>−</m:t>
              </m:r>
              <m:r>
                <m:t>0.031</m:t>
              </m:r>
            </m:oMath>
          </w:p>
        </w:tc>
        <w:tc>
          <w:tcPr/>
          <w:p>
            <w:pPr>
              <w:pStyle w:val="Compact"/>
              <w:jc w:val="center"/>
            </w:pPr>
            <m:oMath>
              <m:phant>
                <m:phantPr>
                  <m:show m:val="off"/>
                </m:phantPr>
                <m:e>
                  <m:r>
                    <m:rPr>
                      <m:sty m:val="p"/>
                    </m:rPr>
                    <m:t>−</m:t>
                  </m:r>
                </m:e>
              </m:phant>
              <m:r>
                <m:t>0.001</m:t>
              </m:r>
            </m:oMath>
          </w:p>
        </w:tc>
        <w:tc>
          <w:tcPr/>
          <w:p>
            <w:pPr>
              <w:pStyle w:val="Compact"/>
              <w:jc w:val="center"/>
            </w:pPr>
            <m:oMath>
              <m:r>
                <m:rPr>
                  <m:sty m:val="p"/>
                </m:rPr>
                <m:t>−</m:t>
              </m:r>
              <m:sSup>
                <m:e>
                  <m:r>
                    <m:t>0.103</m:t>
                  </m:r>
                </m:e>
                <m:sup>
                  <m:r>
                    <m:rPr>
                      <m:sty m:val="p"/>
                    </m:rPr>
                    <m:t>*</m:t>
                  </m:r>
                  <m:r>
                    <m:rPr>
                      <m:sty m:val="p"/>
                    </m:rPr>
                    <m:t>*</m:t>
                  </m:r>
                </m:sup>
              </m:sSup>
            </m:oMath>
          </w:p>
        </w:tc>
        <w:tc>
          <w:tcPr/>
          <w:p>
            <w:pPr>
              <w:pStyle w:val="Compact"/>
              <w:jc w:val="center"/>
            </w:pPr>
            <m:oMath>
              <m:r>
                <m:rPr>
                  <m:sty m:val="p"/>
                </m:rPr>
                <m:t>−</m:t>
              </m:r>
              <m:sSup>
                <m:e>
                  <m:r>
                    <m:t>0.086</m:t>
                  </m:r>
                </m:e>
                <m:sup>
                  <m:r>
                    <m:rPr>
                      <m:sty m:val="p"/>
                    </m:rPr>
                    <m:t>*</m:t>
                  </m:r>
                </m:sup>
              </m:sSup>
            </m:oMath>
          </w:p>
        </w:tc>
      </w:tr>
      <w:tr>
        <w:tc>
          <w:tcPr/>
          <w:p>
            <w:pPr>
              <w:pStyle w:val="Compact"/>
            </w:pPr>
          </w:p>
        </w:tc>
        <w:tc>
          <w:tcPr/>
          <w:p>
            <w:pPr>
              <w:pStyle w:val="Compact"/>
              <w:jc w:val="center"/>
            </w:pPr>
            <m:oMath>
              <m:r>
                <m:rPr>
                  <m:sty m:val="p"/>
                </m:rPr>
                <m:t>(</m:t>
              </m:r>
              <m:r>
                <m:t>0.081</m:t>
              </m:r>
              <m:r>
                <m:rPr>
                  <m:sty m:val="p"/>
                </m:rPr>
                <m:t>)</m:t>
              </m:r>
            </m:oMath>
          </w:p>
        </w:tc>
        <w:tc>
          <w:tcPr/>
          <w:p>
            <w:pPr>
              <w:pStyle w:val="Compact"/>
              <w:jc w:val="center"/>
            </w:pPr>
            <m:oMath>
              <m:r>
                <m:rPr>
                  <m:sty m:val="p"/>
                </m:rPr>
                <m:t>(</m:t>
              </m:r>
              <m:r>
                <m:t>0.083</m:t>
              </m:r>
              <m:r>
                <m:rPr>
                  <m:sty m:val="p"/>
                </m:rPr>
                <m:t>)</m:t>
              </m:r>
            </m:oMath>
          </w:p>
        </w:tc>
        <w:tc>
          <w:tcPr/>
          <w:p>
            <w:pPr>
              <w:pStyle w:val="Compact"/>
              <w:jc w:val="center"/>
            </w:pPr>
            <m:oMath>
              <m:r>
                <m:rPr>
                  <m:sty m:val="p"/>
                </m:rPr>
                <m:t>(</m:t>
              </m:r>
              <m:r>
                <m:t>0.049</m:t>
              </m:r>
              <m:r>
                <m:rPr>
                  <m:sty m:val="p"/>
                </m:rPr>
                <m:t>)</m:t>
              </m:r>
            </m:oMath>
          </w:p>
        </w:tc>
        <w:tc>
          <w:tcPr/>
          <w:p>
            <w:pPr>
              <w:pStyle w:val="Compact"/>
              <w:jc w:val="center"/>
            </w:pPr>
            <m:oMath>
              <m:r>
                <m:rPr>
                  <m:sty m:val="p"/>
                </m:rPr>
                <m:t>(</m:t>
              </m:r>
              <m:r>
                <m:t>0.045</m:t>
              </m:r>
              <m:r>
                <m:rPr>
                  <m:sty m:val="p"/>
                </m:rPr>
                <m:t>)</m:t>
              </m:r>
            </m:oMath>
          </w:p>
        </w:tc>
      </w:tr>
      <w:tr>
        <w:tc>
          <w:tcPr/>
          <w:p>
            <w:pPr>
              <w:pStyle w:val="Compact"/>
              <w:jc w:val="left"/>
            </w:pPr>
            <w:r>
              <w:t xml:space="preserve">Group-level Elo controls</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Year trend</w:t>
            </w:r>
          </w:p>
        </w:tc>
        <w:tc>
          <w:tcPr/>
          <w:p>
            <w:pPr>
              <w:pStyle w:val="Compact"/>
              <w:jc w:val="center"/>
            </w:pPr>
            <w:r>
              <w:t xml:space="preserve">–</w:t>
            </w:r>
          </w:p>
        </w:tc>
        <w:tc>
          <w:tcPr/>
          <w:p>
            <w:pPr>
              <w:pStyle w:val="Compact"/>
            </w:pPr>
          </w:p>
        </w:tc>
        <w:tc>
          <w:tcPr/>
          <w:p>
            <w:pPr>
              <w:pStyle w:val="Compact"/>
              <w:jc w:val="center"/>
            </w:pPr>
            <w:r>
              <w:t xml:space="preserve">–</w:t>
            </w:r>
          </w:p>
        </w:tc>
        <w:tc>
          <w:tcPr/>
          <w:p>
            <w:pPr>
              <w:pStyle w:val="Compact"/>
            </w:pPr>
          </w:p>
        </w:tc>
      </w:tr>
      <w:tr>
        <w:tc>
          <w:tcPr/>
          <w:p>
            <w:pPr>
              <w:pStyle w:val="Compact"/>
              <w:jc w:val="left"/>
            </w:pPr>
            <w:r>
              <w:t xml:space="preserve">Observations</w:t>
            </w:r>
          </w:p>
        </w:tc>
        <w:tc>
          <w:tcPr/>
          <w:p>
            <w:pPr>
              <w:pStyle w:val="Compact"/>
              <w:jc w:val="center"/>
            </w:pPr>
            <w:r>
              <w:t xml:space="preserve">10</w:t>
            </w:r>
            <w:r>
              <w:t xml:space="preserve">,</w:t>
            </w:r>
            <w:r>
              <w:t xml:space="preserve">833</w:t>
            </w:r>
          </w:p>
        </w:tc>
        <w:tc>
          <w:tcPr/>
          <w:p>
            <w:pPr>
              <w:pStyle w:val="Compact"/>
              <w:jc w:val="center"/>
            </w:pPr>
            <w:r>
              <w:t xml:space="preserve">10</w:t>
            </w:r>
            <w:r>
              <w:t xml:space="preserve">,</w:t>
            </w:r>
            <w:r>
              <w:t xml:space="preserve">833</w:t>
            </w:r>
          </w:p>
        </w:tc>
        <w:tc>
          <w:tcPr/>
          <w:p>
            <w:pPr>
              <w:pStyle w:val="Compact"/>
              <w:jc w:val="center"/>
            </w:pPr>
            <w:r>
              <w:t xml:space="preserve">10</w:t>
            </w:r>
            <w:r>
              <w:t xml:space="preserve">,</w:t>
            </w:r>
            <w:r>
              <w:t xml:space="preserve">833</w:t>
            </w:r>
          </w:p>
        </w:tc>
        <w:tc>
          <w:tcPr/>
          <w:p>
            <w:pPr>
              <w:pStyle w:val="Compact"/>
              <w:jc w:val="center"/>
            </w:pPr>
            <w:r>
              <w:t xml:space="preserve">10</w:t>
            </w:r>
            <w:r>
              <w:t xml:space="preserve">,</w:t>
            </w:r>
            <w:r>
              <w:t xml:space="preserve">833</w:t>
            </w:r>
          </w:p>
        </w:tc>
      </w:tr>
      <w:tr>
        <w:tc>
          <w:tcPr>
            <w:gridSpan w:val="5"/>
          </w:tcPr>
          <w:p>
            <w:pPr>
              <w:pStyle w:val="Compact"/>
              <w:jc w:val="left"/>
            </w:pPr>
            <w:r>
              <w:rPr>
                <w:i/>
                <w:iCs/>
              </w:rPr>
              <w:t xml:space="preserve">Panel B: Robustness — FIFA_rule only (all specifications include year trend)</w:t>
            </w:r>
          </w:p>
        </w:tc>
      </w:tr>
      <w:tr>
        <w:tc>
          <w:tcPr/>
          <w:p>
            <w:pPr>
              <w:pStyle w:val="Compact"/>
            </w:pPr>
          </w:p>
        </w:tc>
        <w:tc>
          <w:tcPr>
            <w:gridSpan w:val="2"/>
          </w:tcPr>
          <w:p>
            <w:pPr>
              <w:pStyle w:val="Compact"/>
              <w:jc w:val="center"/>
            </w:pPr>
            <w:r>
              <w:t xml:space="preserve">MBM-A</w:t>
            </w:r>
          </w:p>
        </w:tc>
        <w:tc>
          <w:tcPr>
            <w:gridSpan w:val="2"/>
          </w:tcPr>
          <w:p>
            <w:pPr>
              <w:pStyle w:val="Compact"/>
              <w:jc w:val="center"/>
            </w:pPr>
            <w:r>
              <w:t xml:space="preserve">MBM-B</w:t>
            </w:r>
          </w:p>
        </w:tc>
      </w:tr>
      <w:tr>
        <w:tc>
          <w:tcPr/>
          <w:p>
            <w:pPr>
              <w:pStyle w:val="Compact"/>
              <w:jc w:val="left"/>
            </w:pPr>
            <w:r>
              <w:t xml:space="preserve">2-3</w:t>
            </w:r>
            <w:r>
              <w:t xml:space="preserve">(lr)</w:t>
            </w:r>
            <w:r>
              <w:t xml:space="preserve">4-5</w:t>
            </w:r>
            <w:r>
              <w:t xml:space="preserve"> </w:t>
            </w:r>
            <w:r>
              <w:t xml:space="preserve">Two qualifying teams</w:t>
            </w:r>
          </w:p>
        </w:tc>
        <w:tc>
          <w:tcPr>
            <w:gridSpan w:val="2"/>
          </w:tcPr>
          <w:p>
            <w:pPr>
              <w:pStyle w:val="Compact"/>
              <w:jc w:val="center"/>
            </w:pPr>
            <m:oMath>
              <m:r>
                <m:rPr>
                  <m:sty m:val="p"/>
                </m:rPr>
                <m:t>−</m:t>
              </m:r>
              <m:r>
                <m:t>0.084</m:t>
              </m:r>
            </m:oMath>
          </w:p>
        </w:tc>
        <w:tc>
          <w:tcPr>
            <w:gridSpan w:val="2"/>
          </w:tcPr>
          <w:p>
            <w:pPr>
              <w:pStyle w:val="Compact"/>
              <w:jc w:val="center"/>
            </w:pPr>
            <m:oMath>
              <m:r>
                <m:rPr>
                  <m:sty m:val="p"/>
                </m:rPr>
                <m:t>−</m:t>
              </m:r>
              <m:r>
                <m:t>0.049</m:t>
              </m:r>
            </m:oMath>
          </w:p>
        </w:tc>
      </w:tr>
      <w:tr>
        <w:tc>
          <w:tcPr/>
          <w:p>
            <w:pPr>
              <w:pStyle w:val="Compact"/>
            </w:pPr>
          </w:p>
        </w:tc>
        <w:tc>
          <w:tcPr>
            <w:gridSpan w:val="2"/>
          </w:tcPr>
          <w:p>
            <w:pPr>
              <w:pStyle w:val="Compact"/>
              <w:jc w:val="center"/>
            </w:pPr>
            <m:oMath>
              <m:r>
                <m:rPr>
                  <m:sty m:val="p"/>
                </m:rPr>
                <m:t>(</m:t>
              </m:r>
              <m:r>
                <m:t>0.095</m:t>
              </m:r>
              <m:r>
                <m:rPr>
                  <m:sty m:val="p"/>
                </m:rPr>
                <m:t>)</m:t>
              </m:r>
            </m:oMath>
          </w:p>
        </w:tc>
        <w:tc>
          <w:tcPr>
            <w:gridSpan w:val="2"/>
          </w:tcPr>
          <w:p>
            <w:pPr>
              <w:pStyle w:val="Compact"/>
              <w:jc w:val="center"/>
            </w:pPr>
            <m:oMath>
              <m:r>
                <m:rPr>
                  <m:sty m:val="p"/>
                </m:rPr>
                <m:t>(</m:t>
              </m:r>
              <m:r>
                <m:t>0.052</m:t>
              </m:r>
              <m:r>
                <m:rPr>
                  <m:sty m:val="p"/>
                </m:rPr>
                <m:t>)</m:t>
              </m:r>
            </m:oMath>
          </w:p>
        </w:tc>
      </w:tr>
      <w:tr>
        <w:tc>
          <w:tcPr/>
          <w:p>
            <w:pPr>
              <w:pStyle w:val="Compact"/>
              <w:jc w:val="left"/>
            </w:pPr>
            <w:r>
              <w:t xml:space="preserve">Three qualifying teams</w:t>
            </w:r>
          </w:p>
        </w:tc>
        <w:tc>
          <w:tcPr>
            <w:gridSpan w:val="2"/>
          </w:tcPr>
          <w:p>
            <w:pPr>
              <w:pStyle w:val="Compact"/>
              <w:jc w:val="center"/>
            </w:pPr>
            <m:oMath>
              <m:r>
                <m:rPr>
                  <m:sty m:val="p"/>
                </m:rPr>
                <m:t>−</m:t>
              </m:r>
              <m:r>
                <m:t>0.219</m:t>
              </m:r>
            </m:oMath>
          </w:p>
        </w:tc>
        <w:tc>
          <w:tcPr>
            <w:gridSpan w:val="2"/>
          </w:tcPr>
          <w:p>
            <w:pPr>
              <w:pStyle w:val="Compact"/>
              <w:jc w:val="center"/>
            </w:pPr>
            <m:oMath>
              <m:r>
                <m:rPr>
                  <m:sty m:val="p"/>
                </m:rPr>
                <m:t>−</m:t>
              </m:r>
              <m:r>
                <m:t>0.073</m:t>
              </m:r>
            </m:oMath>
          </w:p>
        </w:tc>
      </w:tr>
      <w:tr>
        <w:tc>
          <w:tcPr/>
          <w:p>
            <w:pPr>
              <w:pStyle w:val="Compact"/>
            </w:pPr>
          </w:p>
        </w:tc>
        <w:tc>
          <w:tcPr>
            <w:gridSpan w:val="2"/>
          </w:tcPr>
          <w:p>
            <w:pPr>
              <w:pStyle w:val="Compact"/>
              <w:jc w:val="center"/>
            </w:pPr>
            <m:oMath>
              <m:r>
                <m:rPr>
                  <m:sty m:val="p"/>
                </m:rPr>
                <m:t>(</m:t>
              </m:r>
              <m:r>
                <m:t>0.753</m:t>
              </m:r>
              <m:r>
                <m:rPr>
                  <m:sty m:val="p"/>
                </m:rPr>
                <m:t>)</m:t>
              </m:r>
            </m:oMath>
          </w:p>
        </w:tc>
        <w:tc>
          <w:tcPr>
            <w:gridSpan w:val="2"/>
          </w:tcPr>
          <w:p>
            <w:pPr>
              <w:pStyle w:val="Compact"/>
              <w:jc w:val="center"/>
            </w:pPr>
            <m:oMath>
              <m:r>
                <m:rPr>
                  <m:sty m:val="p"/>
                </m:rPr>
                <m:t>(</m:t>
              </m:r>
              <m:r>
                <m:t>0.525</m:t>
              </m:r>
              <m:r>
                <m:rPr>
                  <m:sty m:val="p"/>
                </m:rPr>
                <m:t>)</m:t>
              </m:r>
            </m:oMath>
          </w:p>
        </w:tc>
      </w:tr>
      <w:tr>
        <w:tc>
          <w:tcPr/>
          <w:p>
            <w:pPr>
              <w:pStyle w:val="Compact"/>
              <w:jc w:val="left"/>
            </w:pPr>
            <w:r>
              <w:t xml:space="preserve">2-points rule (</w:t>
            </w:r>
            <m:oMath>
              <m:r>
                <m:rPr>
                  <m:sty m:val="p"/>
                </m:rPr>
                <m:t>≤</m:t>
              </m:r>
              <m:r>
                <m:t>1992</m:t>
              </m:r>
            </m:oMath>
            <w:r>
              <w:t xml:space="preserve">)</w:t>
            </w:r>
          </w:p>
        </w:tc>
        <w:tc>
          <w:tcPr>
            <w:gridSpan w:val="2"/>
          </w:tcPr>
          <w:p>
            <w:pPr>
              <w:pStyle w:val="Compact"/>
              <w:jc w:val="center"/>
            </w:pPr>
            <m:oMath>
              <m:phant>
                <m:phantPr>
                  <m:show m:val="off"/>
                </m:phantPr>
                <m:e>
                  <m:r>
                    <m:rPr>
                      <m:sty m:val="p"/>
                    </m:rPr>
                    <m:t>−</m:t>
                  </m:r>
                </m:e>
              </m:phant>
              <m:r>
                <m:t>0.265</m:t>
              </m:r>
            </m:oMath>
          </w:p>
        </w:tc>
        <w:tc>
          <w:tcPr>
            <w:gridSpan w:val="2"/>
          </w:tcPr>
          <w:p>
            <w:pPr>
              <w:pStyle w:val="Compact"/>
              <w:jc w:val="center"/>
            </w:pPr>
            <m:oMath>
              <m:phant>
                <m:phantPr>
                  <m:show m:val="off"/>
                </m:phantPr>
                <m:e>
                  <m:r>
                    <m:rPr>
                      <m:sty m:val="p"/>
                    </m:rPr>
                    <m:t>−</m:t>
                  </m:r>
                </m:e>
              </m:phant>
              <m:sSup>
                <m:e>
                  <m:r>
                    <m:t>0.290</m:t>
                  </m:r>
                </m:e>
                <m:sup>
                  <m:r>
                    <m:rPr>
                      <m:sty m:val="p"/>
                    </m:rPr>
                    <m:t>*</m:t>
                  </m:r>
                  <m:r>
                    <m:rPr>
                      <m:sty m:val="p"/>
                    </m:rPr>
                    <m:t>*</m:t>
                  </m:r>
                </m:sup>
              </m:sSup>
            </m:oMath>
          </w:p>
        </w:tc>
      </w:tr>
      <w:tr>
        <w:tc>
          <w:tcPr/>
          <w:p>
            <w:pPr>
              <w:pStyle w:val="Compact"/>
            </w:pPr>
          </w:p>
        </w:tc>
        <w:tc>
          <w:tcPr>
            <w:gridSpan w:val="2"/>
          </w:tcPr>
          <w:p>
            <w:pPr>
              <w:pStyle w:val="Compact"/>
              <w:jc w:val="center"/>
            </w:pPr>
            <m:oMath>
              <m:r>
                <m:rPr>
                  <m:sty m:val="p"/>
                </m:rPr>
                <m:t>(</m:t>
              </m:r>
              <m:r>
                <m:t>0.278</m:t>
              </m:r>
              <m:r>
                <m:rPr>
                  <m:sty m:val="p"/>
                </m:rPr>
                <m:t>)</m:t>
              </m:r>
            </m:oMath>
          </w:p>
        </w:tc>
        <w:tc>
          <w:tcPr>
            <w:gridSpan w:val="2"/>
          </w:tcPr>
          <w:p>
            <w:pPr>
              <w:pStyle w:val="Compact"/>
              <w:jc w:val="center"/>
            </w:pPr>
            <m:oMath>
              <m:r>
                <m:rPr>
                  <m:sty m:val="p"/>
                </m:rPr>
                <m:t>(</m:t>
              </m:r>
              <m:r>
                <m:t>0.142</m:t>
              </m:r>
              <m:r>
                <m:rPr>
                  <m:sty m:val="p"/>
                </m:rPr>
                <m:t>)</m:t>
              </m:r>
            </m:oMath>
          </w:p>
        </w:tc>
      </w:tr>
      <w:tr>
        <w:tc>
          <w:tcPr/>
          <w:p>
            <w:pPr>
              <w:pStyle w:val="Compact"/>
              <w:jc w:val="left"/>
            </w:pPr>
            <w:r>
              <w:t xml:space="preserve">3-points rule (</w:t>
            </w:r>
            <m:oMath>
              <m:r>
                <m:rPr>
                  <m:sty m:val="p"/>
                </m:rPr>
                <m:t>&gt;</m:t>
              </m:r>
              <m:r>
                <m:t>1992</m:t>
              </m:r>
            </m:oMath>
            <w:r>
              <w:t xml:space="preserve">)</w:t>
            </w:r>
          </w:p>
        </w:tc>
        <w:tc>
          <w:tcPr>
            <w:gridSpan w:val="2"/>
          </w:tcPr>
          <w:p>
            <w:pPr>
              <w:pStyle w:val="Compact"/>
              <w:jc w:val="center"/>
            </w:pPr>
            <m:oMath>
              <m:phant>
                <m:phantPr>
                  <m:show m:val="off"/>
                </m:phantPr>
                <m:e>
                  <m:r>
                    <m:rPr>
                      <m:sty m:val="p"/>
                    </m:rPr>
                    <m:t>−</m:t>
                  </m:r>
                </m:e>
              </m:phant>
              <m:r>
                <m:t>0.014</m:t>
              </m:r>
            </m:oMath>
          </w:p>
        </w:tc>
        <w:tc>
          <w:tcPr>
            <w:gridSpan w:val="2"/>
          </w:tcPr>
          <w:p>
            <w:pPr>
              <w:pStyle w:val="Compact"/>
              <w:jc w:val="center"/>
            </w:pPr>
            <m:oMath>
              <m:r>
                <m:rPr>
                  <m:sty m:val="p"/>
                </m:rPr>
                <m:t>−</m:t>
              </m:r>
              <m:sSup>
                <m:e>
                  <m:r>
                    <m:t>0.105</m:t>
                  </m:r>
                </m:e>
                <m:sup>
                  <m:r>
                    <m:rPr>
                      <m:sty m:val="p"/>
                    </m:rPr>
                    <m:t>*</m:t>
                  </m:r>
                  <m:r>
                    <m:rPr>
                      <m:sty m:val="p"/>
                    </m:rPr>
                    <m:t>*</m:t>
                  </m:r>
                </m:sup>
              </m:sSup>
            </m:oMath>
          </w:p>
        </w:tc>
      </w:tr>
      <w:tr>
        <w:tc>
          <w:tcPr/>
          <w:p>
            <w:pPr>
              <w:pStyle w:val="Compact"/>
            </w:pPr>
          </w:p>
        </w:tc>
        <w:tc>
          <w:tcPr>
            <w:gridSpan w:val="2"/>
          </w:tcPr>
          <w:p>
            <w:pPr>
              <w:pStyle w:val="Compact"/>
              <w:jc w:val="center"/>
            </w:pPr>
            <m:oMath>
              <m:r>
                <m:rPr>
                  <m:sty m:val="p"/>
                </m:rPr>
                <m:t>(</m:t>
              </m:r>
              <m:r>
                <m:t>0.086</m:t>
              </m:r>
              <m:r>
                <m:rPr>
                  <m:sty m:val="p"/>
                </m:rPr>
                <m:t>)</m:t>
              </m:r>
            </m:oMath>
          </w:p>
        </w:tc>
        <w:tc>
          <w:tcPr>
            <w:gridSpan w:val="2"/>
          </w:tcPr>
          <w:p>
            <w:pPr>
              <w:pStyle w:val="Compact"/>
              <w:jc w:val="center"/>
            </w:pPr>
            <m:oMath>
              <m:r>
                <m:rPr>
                  <m:sty m:val="p"/>
                </m:rPr>
                <m:t>(</m:t>
              </m:r>
              <m:r>
                <m:t>0.046</m:t>
              </m:r>
              <m:r>
                <m:rPr>
                  <m:sty m:val="p"/>
                </m:rPr>
                <m:t>)</m:t>
              </m:r>
            </m:oMath>
          </w:p>
        </w:tc>
      </w:tr>
      <w:tr>
        <w:tc>
          <w:tcPr/>
          <w:p>
            <w:pPr>
              <w:pStyle w:val="Compact"/>
              <w:jc w:val="left"/>
            </w:pPr>
            <w:r>
              <w:t xml:space="preserve">Elo common support</w:t>
            </w:r>
          </w:p>
        </w:tc>
        <w:tc>
          <w:tcPr>
            <w:gridSpan w:val="2"/>
          </w:tcPr>
          <w:p>
            <w:pPr>
              <w:pStyle w:val="Compact"/>
              <w:jc w:val="center"/>
            </w:pPr>
            <m:oMath>
              <m:r>
                <m:rPr>
                  <m:sty m:val="p"/>
                </m:rPr>
                <m:t>−</m:t>
              </m:r>
              <m:r>
                <m:t>0.012</m:t>
              </m:r>
            </m:oMath>
          </w:p>
        </w:tc>
        <w:tc>
          <w:tcPr>
            <w:gridSpan w:val="2"/>
          </w:tcPr>
          <w:p>
            <w:pPr>
              <w:pStyle w:val="Compact"/>
              <w:jc w:val="center"/>
            </w:pPr>
            <m:oMath>
              <m:r>
                <m:rPr>
                  <m:sty m:val="p"/>
                </m:rPr>
                <m:t>−</m:t>
              </m:r>
              <m:sSup>
                <m:e>
                  <m:r>
                    <m:t>0.083</m:t>
                  </m:r>
                </m:e>
                <m:sup>
                  <m:r>
                    <m:rPr>
                      <m:sty m:val="p"/>
                    </m:rPr>
                    <m:t>*</m:t>
                  </m:r>
                </m:sup>
              </m:sSup>
            </m:oMath>
          </w:p>
        </w:tc>
      </w:tr>
      <w:tr>
        <w:tc>
          <w:tcPr/>
          <w:p>
            <w:pPr>
              <w:pStyle w:val="Compact"/>
            </w:pPr>
          </w:p>
        </w:tc>
        <w:tc>
          <w:tcPr>
            <w:gridSpan w:val="2"/>
          </w:tcPr>
          <w:p>
            <w:pPr>
              <w:pStyle w:val="Compact"/>
              <w:jc w:val="center"/>
            </w:pPr>
            <m:oMath>
              <m:r>
                <m:rPr>
                  <m:sty m:val="p"/>
                </m:rPr>
                <m:t>(</m:t>
              </m:r>
              <m:r>
                <m:t>0.084</m:t>
              </m:r>
              <m:r>
                <m:rPr>
                  <m:sty m:val="p"/>
                </m:rPr>
                <m:t>)</m:t>
              </m:r>
            </m:oMath>
          </w:p>
        </w:tc>
        <w:tc>
          <w:tcPr>
            <w:gridSpan w:val="2"/>
          </w:tcPr>
          <w:p>
            <w:pPr>
              <w:pStyle w:val="Compact"/>
              <w:jc w:val="center"/>
            </w:pPr>
            <m:oMath>
              <m:r>
                <m:rPr>
                  <m:sty m:val="p"/>
                </m:rPr>
                <m:t>(</m:t>
              </m:r>
              <m:r>
                <m:t>0.048</m:t>
              </m:r>
              <m:r>
                <m:rPr>
                  <m:sty m:val="p"/>
                </m:rPr>
                <m:t>)</m:t>
              </m:r>
            </m:oMath>
          </w:p>
        </w:tc>
      </w:tr>
    </w:tbl>
    <w:bookmarkEnd w:id="39"/>
    <w:p>
      <w:pPr>
        <w:pStyle w:val="BodyText"/>
      </w:pPr>
      <w:r>
        <w:rPr>
          <w:i/>
          <w:iCs/>
        </w:rPr>
        <w:t xml:space="preserve">Notes:</w:t>
      </w:r>
      <w:r>
        <w:t xml:space="preserve"> </w:t>
      </w:r>
      <w:r>
        <w:t xml:space="preserve">Logit models estimated on the minute-by-minute (MBM) dataset. MBM-A uses the binary</w:t>
      </w:r>
      <w:r>
        <w:t xml:space="preserve"> </w:t>
      </w:r>
      <w:r>
        <w:rPr>
          <w:i/>
          <w:iCs/>
        </w:rPr>
        <w:t xml:space="preserve">suspense</w:t>
      </w:r>
      <w:r>
        <w:t xml:space="preserve"> </w:t>
      </w:r>
      <w:r>
        <w:t xml:space="preserve">indicator as the dependent variable; MBM-B uses</w:t>
      </w:r>
      <w:r>
        <w:t xml:space="preserve"> </w:t>
      </w:r>
      <w:r>
        <w:rPr>
          <w:i/>
          <w:iCs/>
        </w:rPr>
        <w:t xml:space="preserve">qual_changed</w:t>
      </w:r>
      <w:r>
        <w:t xml:space="preserve">, a binary indicator equal to 1 when the qualifying composition changes at that minute. Group-level Elo ranks (</w:t>
      </w:r>
      <w:r>
        <w:rPr>
          <w:i/>
          <w:iCs/>
        </w:rPr>
        <w:t xml:space="preserve">elo1st</w:t>
      </w:r>
      <w:r>
        <w:t xml:space="preserve">–</w:t>
      </w:r>
      <w:r>
        <w:rPr>
          <w:i/>
          <w:iCs/>
        </w:rPr>
        <w:t xml:space="preserve">elo4th</w:t>
      </w:r>
      <w:r>
        <w:t xml:space="preserve">) are included as controls in all specifications. Standard errors are clustered at the group (year </w:t>
      </w:r>
      <m:oMath>
        <m:r>
          <m:rPr>
            <m:sty m:val="p"/>
          </m:rPr>
          <m:t>×</m:t>
        </m:r>
      </m:oMath>
      <w:r>
        <w:t xml:space="preserve"> stage) level. Panel B robustness samples follow the same definitions as in Table </w:t>
      </w:r>
      <w:hyperlink w:anchor="tab:reg_grp">
        <w:r>
          <w:rPr>
            <w:rStyle w:val="Hyperlink"/>
          </w:rPr>
          <w:t xml:space="preserve">4</w:t>
        </w:r>
      </w:hyperlink>
      <w:r>
        <w:t xml:space="preserve">.</w:t>
      </w:r>
      <w:r>
        <w:t xml:space="preserve"> </w:t>
      </w:r>
      <m:oMath>
        <m:sSup>
          <m:e>
            <m:r>
              <m:t>​</m:t>
            </m:r>
          </m:e>
          <m:sup>
            <m:r>
              <m:rPr>
                <m:sty m:val="p"/>
              </m:rPr>
              <m:t>*</m:t>
            </m:r>
          </m:sup>
        </m:sSup>
        <m:r>
          <m:t>p</m:t>
        </m:r>
        <m:r>
          <m:rPr>
            <m:sty m:val="p"/>
          </m:rPr>
          <m:t>&lt;</m:t>
        </m:r>
        <m:r>
          <m:t>0.10</m:t>
        </m:r>
      </m:oMath>
      <w:r>
        <w:t xml:space="preserve">,</w:t>
      </w:r>
      <w:r>
        <w:t xml:space="preserve"> </w:t>
      </w:r>
      <m:oMath>
        <m:sSup>
          <m:e>
            <m:r>
              <m:t>​</m:t>
            </m:r>
          </m:e>
          <m:sup>
            <m:r>
              <m:rPr>
                <m:sty m:val="p"/>
              </m:rPr>
              <m:t>*</m:t>
            </m:r>
            <m:r>
              <m:rPr>
                <m:sty m:val="p"/>
              </m:rPr>
              <m:t>*</m:t>
            </m:r>
          </m:sup>
        </m:sSup>
        <m:r>
          <m:t>p</m:t>
        </m:r>
        <m:r>
          <m:rPr>
            <m:sty m:val="p"/>
          </m:rPr>
          <m:t>&lt;</m:t>
        </m:r>
        <m:r>
          <m:t>0.05</m:t>
        </m:r>
      </m:oMath>
      <w:r>
        <w:t xml:space="preserve">,</w:t>
      </w:r>
      <w:r>
        <w:t xml:space="preserve"> </w:t>
      </w:r>
      <m:oMath>
        <m:sSup>
          <m:e>
            <m:r>
              <m:t>​</m:t>
            </m:r>
          </m:e>
          <m:sup>
            <m:r>
              <m:rPr>
                <m:sty m:val="p"/>
              </m:rPr>
              <m:t>*</m:t>
            </m:r>
            <m:r>
              <m:rPr>
                <m:sty m:val="p"/>
              </m:rPr>
              <m:t>*</m:t>
            </m:r>
            <m:r>
              <m:rPr>
                <m:sty m:val="p"/>
              </m:rPr>
              <m:t>*</m:t>
            </m:r>
          </m:sup>
        </m:sSup>
        <m:r>
          <m:t>p</m:t>
        </m:r>
        <m:r>
          <m:rPr>
            <m:sty m:val="p"/>
          </m:rPr>
          <m:t>&lt;</m:t>
        </m:r>
        <m:r>
          <m:t>0.01</m:t>
        </m:r>
      </m:oMath>
      <w:r>
        <w:t xml:space="preserve">.</w:t>
      </w:r>
    </w:p>
    <w:bookmarkEnd w:id="40"/>
    <w:bookmarkEnd w:id="41"/>
    <w:bookmarkEnd w:id="42"/>
    <w:bookmarkStart w:id="43" w:name="sec:conclusion"/>
    <w:p>
      <w:pPr>
        <w:pStyle w:val="Heading1"/>
      </w:pPr>
      <w:r>
        <w:t xml:space="preserve">Conclusion</w:t>
      </w:r>
    </w:p>
    <w:p>
      <w:pPr>
        <w:pStyle w:val="FirstParagraph"/>
      </w:pPr>
      <w:r>
        <w:t xml:space="preserve">This paper was motivated by the question of how alternative tie-breaking criteria shape the level of suspense in international football tournaments. Tie-breaking rules are not merely technical details: they influence the perceived attractiveness of games, with potential implications for revenues, stadium attendance, and viewership. By choosing one criterion over another, governing bodies implicitly decide how much uncertainty to preserve throughout the group stage.</w:t>
      </w:r>
    </w:p>
    <w:p>
      <w:pPr>
        <w:pStyle w:val="BodyText"/>
      </w:pPr>
      <w:r>
        <w:t xml:space="preserve">We compared the two main approaches in international football: the FIFA rule, which prioritises goal difference, and the UEFA rule, which prioritises head-to-head results. Our analysis combines two complementary perspectives. Within-group paired tests establish that applying FIFA rules to the same group generates significantly more suspense than the UEFA criterion in the World Cup (</w:t>
      </w:r>
      <m:oMath>
        <m:r>
          <m:t>p</m:t>
        </m:r>
        <m:r>
          <m:rPr>
            <m:sty m:val="p"/>
          </m:rPr>
          <m:t>&lt;</m:t>
        </m:r>
        <m:r>
          <m:t>0.01</m:t>
        </m:r>
      </m:oMath>
      <w:r>
        <w:t xml:space="preserve">), while the difference is insignificant in the European Championship. A cross-tournament regression controlling for competitive balance reveals another clear picture: World Cup goals are individually less likely to change the qualifying composition than European Championship goals, suggesting that the FIFA criterion distributes qualification uncertainty more evenly over the course of a group — keeping more scenarios open at any given moment — rather than concentrating it in a smaller number of pivotal goals.</w:t>
      </w:r>
    </w:p>
    <w:p>
      <w:pPr>
        <w:pStyle w:val="BodyText"/>
      </w:pPr>
      <w:r>
        <w:t xml:space="preserve">The European Championship serves as an informative contrast: neither the within-group tests nor the cross-tournament regression finds a statistically significant difference in suspense between the two rules. This null result underscores that the effect documented for the World Cup is specific to that competition and does not arise simply from how either rule operates in the abstract.</w:t>
      </w:r>
    </w:p>
    <w:p>
      <w:pPr>
        <w:pStyle w:val="BodyText"/>
      </w:pPr>
      <w:r>
        <w:t xml:space="preserve">Overall, our results establish that institutional design choices — specifically, the choice of tie-breaking criterion — have measurable consequences for the suspense experienced by the billions of fans who follow the World Cup. A rule that keeps more qualification scenarios alive for longer raises the entertainment value of each match. Our evidence points to FIFA’s goal-difference criterion as generating more sustained group-level uncertainty, a finding with direct relevance for governing bodies as they continue to revise tournament formats and seek to maximise the commercial and sporting value of their competitions.</w:t>
      </w:r>
    </w:p>
    <w:bookmarkEnd w:id="43"/>
    <w:bookmarkStart w:id="112" w:name="appendix"/>
    <w:p>
      <w:pPr>
        <w:pStyle w:val="Heading1"/>
      </w:pPr>
      <w:r>
        <w:t xml:space="preserve">Appendix</w:t>
      </w:r>
    </w:p>
    <w:bookmarkStart w:id="58" w:name="sec:suspense-criteria"/>
    <w:p>
      <w:pPr>
        <w:pStyle w:val="Heading2"/>
      </w:pPr>
      <w:r>
        <w:t xml:space="preserve">Suspense Criteria: Full Logic</w:t>
      </w:r>
    </w:p>
    <w:p>
      <w:pPr>
        <w:pStyle w:val="FirstParagraph"/>
      </w:pPr>
      <w:r>
        <w:t xml:space="preserve">The following rules describe the exact criteria we use to assign a suspense value of 1 (suspenseful moment) in both FIFA and UEFA group stages. A suspenseful moment is defined as one where a single goal may change the composition of teams qualifying for the knockout stage. These rules are applied after each goal and at each match minute during the group stage.</w:t>
      </w:r>
    </w:p>
    <w:bookmarkStart w:id="51" w:name="sec:suspense-fifa-implemented"/>
    <w:p>
      <w:pPr>
        <w:pStyle w:val="Heading3"/>
      </w:pPr>
      <w:r>
        <w:t xml:space="preserve">Suspense Criteria: FIFA</w:t>
      </w:r>
    </w:p>
    <w:p>
      <w:pPr>
        <w:pStyle w:val="FirstParagraph"/>
      </w:pPr>
      <w:r>
        <w:t xml:space="preserve">FIFA ranking within the group follows the tie-break hierarchy:</w:t>
      </w:r>
    </w:p>
    <w:p>
      <w:pPr>
        <w:pStyle w:val="BodyText"/>
      </w:pPr>
      <m:oMathPara>
        <m:oMathParaPr>
          <m:jc m:val="center"/>
        </m:oMathParaPr>
        <m:oMath>
          <m:r>
            <m:rPr>
              <m:nor/>
              <m:sty m:val="p"/>
            </m:rPr>
            <m:t>Points</m:t>
          </m:r>
          <m:r>
            <m:t> </m:t>
          </m:r>
          <m:r>
            <m:t> </m:t>
          </m:r>
          <m:r>
            <m:rPr>
              <m:sty m:val="p"/>
            </m:rPr>
            <m:t>→</m:t>
          </m:r>
          <m:r>
            <m:t> </m:t>
          </m:r>
          <m:r>
            <m:t> </m:t>
          </m:r>
          <m:r>
            <m:rPr>
              <m:nor/>
              <m:sty m:val="p"/>
            </m:rPr>
            <m:t>Overall Goal Difference</m:t>
          </m:r>
          <m:r>
            <m:t> </m:t>
          </m:r>
          <m:r>
            <m:t> </m:t>
          </m:r>
          <m:r>
            <m:rPr>
              <m:sty m:val="p"/>
            </m:rPr>
            <m:t>→</m:t>
          </m:r>
          <m:r>
            <m:t> </m:t>
          </m:r>
          <m:r>
            <m:t> </m:t>
          </m:r>
          <m:r>
            <m:rPr>
              <m:nor/>
              <m:sty m:val="p"/>
            </m:rPr>
            <m:t>Overall Goals Scored</m:t>
          </m:r>
          <m:r>
            <m:t> </m:t>
          </m:r>
          <m:r>
            <m:t> </m:t>
          </m:r>
          <m:r>
            <m:rPr>
              <m:sty m:val="p"/>
            </m:rPr>
            <m:t>→</m:t>
          </m:r>
          <m:r>
            <m:t> </m:t>
          </m:r>
          <m:r>
            <m:t> </m:t>
          </m:r>
          <m:r>
            <m:rPr>
              <m:nor/>
              <m:sty m:val="p"/>
            </m:rPr>
            <m:t>Head-to-Head (if required)</m:t>
          </m:r>
          <m:r>
            <m:rPr>
              <m:sty m:val="p"/>
            </m:rPr>
            <m:t>.</m:t>
          </m:r>
        </m:oMath>
      </m:oMathPara>
    </w:p>
    <w:p>
      <w:pPr>
        <w:pStyle w:val="FirstParagraph"/>
      </w:pPr>
      <w:r>
        <w:t xml:space="preserve">We evaluate suspense after each goal/minute observation using the pipeline below.</w:t>
      </w:r>
    </w:p>
    <w:bookmarkStart w:id="44" w:name="Xb147d1ca03e0f0af8fca1df8713f1e67a613620"/>
    <w:p>
      <w:pPr>
        <w:pStyle w:val="Heading4"/>
      </w:pPr>
      <w:r>
        <w:t xml:space="preserve">Step 0: Identify the cut-off pair (leading vs lagging).</w:t>
      </w:r>
    </w:p>
    <w:p>
      <w:pPr>
        <w:pStyle w:val="FirstParagraph"/>
      </w:pPr>
      <w:r>
        <w:t xml:space="preserve">Let</w:t>
      </w:r>
      <w:r>
        <w:t xml:space="preserve"> </w:t>
      </w:r>
      <w:r>
        <w:rPr>
          <w:rStyle w:val="VerbatimChar"/>
        </w:rPr>
        <w:t xml:space="preserve">third_qualify</w:t>
      </w:r>
      <w:r>
        <w:t xml:space="preserve"> </w:t>
      </w:r>
      <w:r>
        <w:t xml:space="preserve">indicate whether the relevant cut-off is:</w:t>
      </w:r>
    </w:p>
    <w:p>
      <w:pPr>
        <w:numPr>
          <w:ilvl w:val="0"/>
          <w:numId w:val="1003"/>
        </w:numPr>
      </w:pPr>
      <w:r>
        <w:rPr>
          <w:rStyle w:val="VerbatimChar"/>
        </w:rPr>
        <w:t xml:space="preserve">third_qualify = 0</w:t>
      </w:r>
      <w:r>
        <w:t xml:space="preserve">:</w:t>
      </w:r>
      <w:r>
        <w:t xml:space="preserve"> </w:t>
      </w:r>
      <w:r>
        <w:rPr>
          <w:b/>
          <w:bCs/>
        </w:rPr>
        <w:t xml:space="preserve">2nd</w:t>
      </w:r>
      <w:r>
        <w:t xml:space="preserve"> </w:t>
      </w:r>
      <w:r>
        <w:t xml:space="preserve">(leading, last qualified) vs</w:t>
      </w:r>
      <w:r>
        <w:t xml:space="preserve"> </w:t>
      </w:r>
      <w:r>
        <w:rPr>
          <w:b/>
          <w:bCs/>
        </w:rPr>
        <w:t xml:space="preserve">3rd</w:t>
      </w:r>
      <w:r>
        <w:t xml:space="preserve"> </w:t>
      </w:r>
      <w:r>
        <w:t xml:space="preserve">(lagging, first not qualified),</w:t>
      </w:r>
    </w:p>
    <w:p>
      <w:pPr>
        <w:numPr>
          <w:ilvl w:val="0"/>
          <w:numId w:val="1003"/>
        </w:numPr>
      </w:pPr>
      <w:r>
        <w:rPr>
          <w:rStyle w:val="VerbatimChar"/>
        </w:rPr>
        <w:t xml:space="preserve">third_qualify = 1</w:t>
      </w:r>
      <w:r>
        <w:t xml:space="preserve">:</w:t>
      </w:r>
      <w:r>
        <w:t xml:space="preserve"> </w:t>
      </w:r>
      <w:r>
        <w:rPr>
          <w:b/>
          <w:bCs/>
        </w:rPr>
        <w:t xml:space="preserve">3rd</w:t>
      </w:r>
      <w:r>
        <w:t xml:space="preserve"> </w:t>
      </w:r>
      <w:r>
        <w:t xml:space="preserve">(leading) vs</w:t>
      </w:r>
      <w:r>
        <w:t xml:space="preserve"> </w:t>
      </w:r>
      <w:r>
        <w:rPr>
          <w:b/>
          <w:bCs/>
        </w:rPr>
        <w:t xml:space="preserve">4th</w:t>
      </w:r>
      <w:r>
        <w:t xml:space="preserve"> </w:t>
      </w:r>
      <w:r>
        <w:t xml:space="preserve">(lagging).</w:t>
      </w:r>
    </w:p>
    <w:p>
      <w:pPr>
        <w:pStyle w:val="FirstParagraph"/>
      </w:pPr>
      <w:r>
        <w:t xml:space="preserve">We denote the lagging and leading teams’ current</w:t>
      </w:r>
      <w:r>
        <w:t xml:space="preserve"> </w:t>
      </w:r>
      <w:r>
        <w:rPr>
          <w:i/>
          <w:iCs/>
        </w:rPr>
        <w:t xml:space="preserve">overall</w:t>
      </w:r>
      <w:r>
        <w:t xml:space="preserve"> </w:t>
      </w:r>
      <w:r>
        <w:t xml:space="preserve">differences by:</w:t>
      </w:r>
    </w:p>
    <w:p>
      <w:pPr>
        <w:pStyle w:val="BodyText"/>
      </w:pPr>
      <m:oMathPara>
        <m:oMathParaPr>
          <m:jc m:val="center"/>
        </m:oMathParaPr>
        <m:oMath>
          <m:sSub>
            <m:e>
              <m:r>
                <m:rPr>
                  <m:nor/>
                  <m:scr m:val="monospace"/>
                  <m:sty m:val="p"/>
                </m:rPr>
                <m:t>pts_diff</m:t>
              </m:r>
            </m:e>
            <m:sub>
              <m:r>
                <m:t>0</m:t>
              </m:r>
            </m:sub>
          </m:sSub>
          <m:r>
            <m:rPr>
              <m:sty m:val="p"/>
            </m:rPr>
            <m:t>,</m:t>
          </m:r>
          <m:r>
            <m:t> </m:t>
          </m:r>
          <m:sSub>
            <m:e>
              <m:r>
                <m:rPr>
                  <m:nor/>
                  <m:scr m:val="monospace"/>
                  <m:sty m:val="p"/>
                </m:rPr>
                <m:t>gls_diff</m:t>
              </m:r>
            </m:e>
            <m:sub>
              <m:r>
                <m:t>0</m:t>
              </m:r>
            </m:sub>
          </m:sSub>
          <m:r>
            <m:rPr>
              <m:sty m:val="p"/>
            </m:rPr>
            <m:t>,</m:t>
          </m:r>
          <m:r>
            <m:t> </m:t>
          </m:r>
          <m:sSub>
            <m:e>
              <m:r>
                <m:rPr>
                  <m:nor/>
                  <m:scr m:val="monospace"/>
                  <m:sty m:val="p"/>
                </m:rPr>
                <m:t>gs_diff</m:t>
              </m:r>
            </m:e>
            <m:sub>
              <m:r>
                <m:t>0</m:t>
              </m:r>
            </m:sub>
          </m:sSub>
          <m:r>
            <m:rPr>
              <m:sty m:val="p"/>
            </m:rPr>
            <m:t>,</m:t>
          </m:r>
        </m:oMath>
      </m:oMathPara>
    </w:p>
    <w:p>
      <w:pPr>
        <w:pStyle w:val="FirstParagraph"/>
      </w:pPr>
      <w:r>
        <w:t xml:space="preserve">where</w:t>
      </w:r>
      <w:r>
        <w:t xml:space="preserve"> </w:t>
      </w:r>
      <w:r>
        <w:rPr>
          <w:rStyle w:val="VerbatimChar"/>
        </w:rPr>
        <w:t xml:space="preserve">gs_diff</w:t>
      </w:r>
      <w:r>
        <w:t xml:space="preserve"> </w:t>
      </w:r>
      <w:r>
        <w:t xml:space="preserve">is computed as goals scored by lagging minus goals scored by leading.</w:t>
      </w:r>
    </w:p>
    <w:bookmarkEnd w:id="44"/>
    <w:bookmarkStart w:id="45" w:name="X212b914995b68215482693d4c20eeb4ed723aa1"/>
    <w:p>
      <w:pPr>
        <w:pStyle w:val="Heading4"/>
      </w:pPr>
      <w:r>
        <w:t xml:space="preserve">Step 1: Infer current match points from match goal difference.</w:t>
      </w:r>
    </w:p>
    <w:p>
      <w:pPr>
        <w:pStyle w:val="FirstParagraph"/>
      </w:pPr>
      <w:r>
        <w:t xml:space="preserve">At every minute, each team has a match-specific goal difference (</w:t>
      </w:r>
      <w:r>
        <w:rPr>
          <w:rStyle w:val="VerbatimChar"/>
        </w:rPr>
        <w:t xml:space="preserve">last_game_goals_diff</w:t>
      </w:r>
      <w:r>
        <w:t xml:space="preserve">).</w:t>
      </w:r>
      <w:r>
        <w:t xml:space="preserve"> </w:t>
      </w:r>
      <w:r>
        <w:t xml:space="preserve">We infer match points robustly from this match GD:</w:t>
      </w:r>
    </w:p>
    <w:p>
      <w:pPr>
        <w:pStyle w:val="BodyText"/>
      </w:pPr>
      <m:oMathPara>
        <m:oMathParaPr>
          <m:jc m:val="center"/>
        </m:oMathParaPr>
        <m:oMath>
          <m:r>
            <m:rPr>
              <m:nor/>
              <m:scr m:val="monospace"/>
              <m:sty m:val="p"/>
            </m:rPr>
            <m:t>match_pts</m:t>
          </m:r>
          <m:r>
            <m:rPr>
              <m:sty m:val="p"/>
            </m:rPr>
            <m:t>=</m:t>
          </m:r>
          <m:d>
            <m:dPr>
              <m:begChr m:val="{"/>
              <m:sepChr m:val=""/>
              <m:endChr m:val=""/>
              <m:grow/>
            </m:dPr>
            <m:e>
              <m:m>
                <m:mPr>
                  <m:baseJc m:val="center"/>
                  <m:plcHide m:val="on"/>
                  <m:mcs>
                    <m:mc>
                      <m:mcPr>
                        <m:mcJc m:val="left"/>
                        <m:count m:val="1"/>
                      </m:mcPr>
                    </m:mc>
                    <m:mc>
                      <m:mcPr>
                        <m:mcJc m:val="left"/>
                        <m:count m:val="1"/>
                      </m:mcPr>
                    </m:mc>
                  </m:mcs>
                </m:mPr>
                <m:mr>
                  <m:e>
                    <m:r>
                      <m:rPr>
                        <m:nor/>
                        <m:scr m:val="monospace"/>
                        <m:sty m:val="p"/>
                      </m:rPr>
                      <m:t>win_pts</m:t>
                    </m:r>
                  </m:e>
                  <m:e>
                    <m:r>
                      <m:rPr>
                        <m:nor/>
                        <m:sty m:val="p"/>
                      </m:rPr>
                      <m:t>if match GD</m:t>
                    </m:r>
                    <m:r>
                      <m:rPr>
                        <m:sty m:val="p"/>
                      </m:rPr>
                      <m:t>&gt;</m:t>
                    </m:r>
                    <m:r>
                      <m:t>0</m:t>
                    </m:r>
                    <m:r>
                      <m:rPr>
                        <m:sty m:val="p"/>
                      </m:rPr>
                      <m:t>,</m:t>
                    </m:r>
                  </m:e>
                </m:mr>
                <m:mr>
                  <m:e>
                    <m:r>
                      <m:t>1</m:t>
                    </m:r>
                  </m:e>
                  <m:e>
                    <m:r>
                      <m:rPr>
                        <m:nor/>
                        <m:sty m:val="p"/>
                      </m:rPr>
                      <m:t>if match GD</m:t>
                    </m:r>
                    <m:r>
                      <m:rPr>
                        <m:sty m:val="p"/>
                      </m:rPr>
                      <m:t>=</m:t>
                    </m:r>
                    <m:r>
                      <m:t>0</m:t>
                    </m:r>
                    <m:r>
                      <m:rPr>
                        <m:sty m:val="p"/>
                      </m:rPr>
                      <m:t>,</m:t>
                    </m:r>
                  </m:e>
                </m:mr>
                <m:mr>
                  <m:e>
                    <m:r>
                      <m:t>0</m:t>
                    </m:r>
                  </m:e>
                  <m:e>
                    <m:r>
                      <m:rPr>
                        <m:nor/>
                        <m:sty m:val="p"/>
                      </m:rPr>
                      <m:t>if match GD</m:t>
                    </m:r>
                    <m:r>
                      <m:rPr>
                        <m:sty m:val="p"/>
                      </m:rPr>
                      <m:t>&lt;</m:t>
                    </m:r>
                    <m:r>
                      <m:t>0</m:t>
                    </m:r>
                    <m:r>
                      <m:rPr>
                        <m:sty m:val="p"/>
                      </m:rPr>
                      <m:t>,</m:t>
                    </m:r>
                  </m:e>
                </m:mr>
              </m:m>
            </m:e>
          </m:d>
        </m:oMath>
      </m:oMathPara>
    </w:p>
    <w:p>
      <w:pPr>
        <w:pStyle w:val="FirstParagraph"/>
      </w:pPr>
      <w:r>
        <w:t xml:space="preserve">with</w:t>
      </w:r>
      <w:r>
        <w:t xml:space="preserve"> </w:t>
      </w:r>
      <w:r>
        <w:rPr>
          <w:rStyle w:val="VerbatimChar"/>
        </w:rPr>
        <w:t xml:space="preserve">win_pts</w:t>
      </w:r>
      <w:r>
        <w:t xml:space="preserve"> </w:t>
      </w:r>
      <m:oMath>
        <m:r>
          <m:rPr>
            <m:sty m:val="p"/>
          </m:rPr>
          <m:t>=</m:t>
        </m:r>
        <m:r>
          <m:t>2</m:t>
        </m:r>
      </m:oMath>
      <w:r>
        <w:t xml:space="preserve"> </w:t>
      </w:r>
      <w:r>
        <w:t xml:space="preserve">if</w:t>
      </w:r>
      <w:r>
        <w:t xml:space="preserve"> </w:t>
      </w:r>
      <w:r>
        <w:rPr>
          <w:rStyle w:val="VerbatimChar"/>
        </w:rPr>
        <w:t xml:space="preserve">year </w:t>
      </w:r>
      <m:oMath>
        <m:r>
          <m:rPr>
            <m:sty m:val="p"/>
          </m:rPr>
          <m:t>≤</m:t>
        </m:r>
      </m:oMath>
      <w:r>
        <w:rPr>
          <w:rStyle w:val="VerbatimChar"/>
        </w:rPr>
        <w:t xml:space="preserve"> 1992</w:t>
      </w:r>
      <w:r>
        <w:t xml:space="preserve"> </w:t>
      </w:r>
      <w:r>
        <w:t xml:space="preserve">and</w:t>
      </w:r>
      <w:r>
        <w:t xml:space="preserve"> </w:t>
      </w:r>
      <w:r>
        <w:rPr>
          <w:rStyle w:val="VerbatimChar"/>
        </w:rPr>
        <w:t xml:space="preserve">win_pts</w:t>
      </w:r>
      <w:r>
        <w:t xml:space="preserve"> </w:t>
      </w:r>
      <m:oMath>
        <m:r>
          <m:rPr>
            <m:sty m:val="p"/>
          </m:rPr>
          <m:t>=</m:t>
        </m:r>
        <m:r>
          <m:t>3</m:t>
        </m:r>
      </m:oMath>
      <w:r>
        <w:t xml:space="preserve"> </w:t>
      </w:r>
      <w:r>
        <w:t xml:space="preserve">otherwise.</w:t>
      </w:r>
    </w:p>
    <w:bookmarkEnd w:id="45"/>
    <w:bookmarkStart w:id="46" w:name="step-2-evaluate-the-two-one-goal-shocks"/>
    <w:p>
      <w:pPr>
        <w:pStyle w:val="Heading4"/>
      </w:pPr>
      <w:r>
        <w:t xml:space="preserve">Step 2: Evaluate the two one-goal shocks</w:t>
      </w:r>
      <w:r>
        <w:t xml:space="preserve"> </w:t>
      </w:r>
    </w:p>
    <w:p>
      <w:pPr>
        <w:pStyle w:val="FirstParagraph"/>
      </w:pPr>
      <w:r>
        <w:t xml:space="preserve">We compute whether</w:t>
      </w:r>
      <w:r>
        <w:t xml:space="preserve"> </w:t>
      </w:r>
      <w:r>
        <w:rPr>
          <w:i/>
          <w:iCs/>
        </w:rPr>
        <w:t xml:space="preserve">either</w:t>
      </w:r>
      <w:r>
        <w:t xml:space="preserve"> </w:t>
      </w:r>
      <w:r>
        <w:t xml:space="preserve">of the following shocks makes lagging rank</w:t>
      </w:r>
      <w:r>
        <w:t xml:space="preserve"> </w:t>
      </w:r>
      <m:oMath>
        <m:r>
          <m:rPr>
            <m:sty m:val="p"/>
          </m:rPr>
          <m:t>≥</m:t>
        </m:r>
      </m:oMath>
      <w:r>
        <w:t xml:space="preserve"> </w:t>
      </w:r>
      <w:r>
        <w:t xml:space="preserve">leading under FIFA ordering:</w:t>
      </w:r>
    </w:p>
    <w:p>
      <w:pPr>
        <w:numPr>
          <w:ilvl w:val="0"/>
          <w:numId w:val="1004"/>
        </w:numPr>
      </w:pPr>
      <w:r>
        <w:rPr>
          <w:b/>
          <w:bCs/>
        </w:rPr>
        <w:t xml:space="preserve">Lagging scores (+1)</w:t>
      </w:r>
      <w:r>
        <w:t xml:space="preserve">.</w:t>
      </w:r>
    </w:p>
    <w:p>
      <w:pPr>
        <w:numPr>
          <w:ilvl w:val="0"/>
          <w:numId w:val="1004"/>
        </w:numPr>
      </w:pPr>
      <w:r>
        <w:rPr>
          <w:b/>
          <w:bCs/>
        </w:rPr>
        <w:t xml:space="preserve">Leading concedes (+1)</w:t>
      </w:r>
      <w:r>
        <w:t xml:space="preserve">.</w:t>
      </w:r>
    </w:p>
    <w:p>
      <w:pPr>
        <w:pStyle w:val="FirstParagraph"/>
      </w:pPr>
      <w:r>
        <w:t xml:space="preserve">The shocks update</w:t>
      </w:r>
      <w:r>
        <w:t xml:space="preserve"> </w:t>
      </w:r>
      <w:r>
        <w:rPr>
          <w:i/>
          <w:iCs/>
        </w:rPr>
        <w:t xml:space="preserve">both</w:t>
      </w:r>
      <w:r>
        <w:t xml:space="preserve"> </w:t>
      </w:r>
      <w:r>
        <w:t xml:space="preserve">(i) match states and (ii) overall differences:</w:t>
      </w:r>
    </w:p>
    <w:p>
      <w:pPr>
        <w:numPr>
          <w:ilvl w:val="0"/>
          <w:numId w:val="1005"/>
        </w:numPr>
      </w:pPr>
      <w:r>
        <w:t xml:space="preserve">If</w:t>
      </w:r>
      <w:r>
        <w:t xml:space="preserve"> </w:t>
      </w:r>
      <w:r>
        <w:rPr>
          <w:rStyle w:val="VerbatimChar"/>
        </w:rPr>
        <w:t xml:space="preserve">h2h = 0</w:t>
      </w:r>
      <w:r>
        <w:t xml:space="preserve"> </w:t>
      </w:r>
      <w:r>
        <w:t xml:space="preserve">(teams are in different matches), the shock affects only the relevant team’s match GD by</w:t>
      </w:r>
      <w:r>
        <w:t xml:space="preserve"> </w:t>
      </w:r>
      <m:oMath>
        <m:r>
          <m:rPr>
            <m:sty m:val="p"/>
          </m:rPr>
          <m:t>±</m:t>
        </m:r>
        <m:r>
          <m:t>1</m:t>
        </m:r>
      </m:oMath>
      <w:r>
        <w:t xml:space="preserve"> </w:t>
      </w:r>
      <w:r>
        <w:t xml:space="preserve">and hence may change match points. Overall GD changes by</w:t>
      </w:r>
      <w:r>
        <w:t xml:space="preserve"> </w:t>
      </w:r>
      <m:oMath>
        <m:r>
          <m:rPr>
            <m:sty m:val="p"/>
          </m:rPr>
          <m:t>+</m:t>
        </m:r>
        <m:r>
          <m:t>1</m:t>
        </m:r>
      </m:oMath>
      <w:r>
        <w:t xml:space="preserve"> </w:t>
      </w:r>
      <w:r>
        <w:t xml:space="preserve">in favor of lagging for either shock. Goals scored changes by</w:t>
      </w:r>
      <w:r>
        <w:t xml:space="preserve"> </w:t>
      </w:r>
      <m:oMath>
        <m:r>
          <m:rPr>
            <m:sty m:val="p"/>
          </m:rPr>
          <m:t>+</m:t>
        </m:r>
        <m:r>
          <m:t>1</m:t>
        </m:r>
      </m:oMath>
      <w:r>
        <w:t xml:space="preserve"> </w:t>
      </w:r>
      <w:r>
        <w:rPr>
          <w:i/>
          <w:iCs/>
        </w:rPr>
        <w:t xml:space="preserve">only</w:t>
      </w:r>
      <w:r>
        <w:t xml:space="preserve"> </w:t>
      </w:r>
      <w:r>
        <w:t xml:space="preserve">if lagging scores.</w:t>
      </w:r>
    </w:p>
    <w:p>
      <w:pPr>
        <w:numPr>
          <w:ilvl w:val="0"/>
          <w:numId w:val="1005"/>
        </w:numPr>
      </w:pPr>
      <w:r>
        <w:t xml:space="preserve">If</w:t>
      </w:r>
      <w:r>
        <w:t xml:space="preserve"> </w:t>
      </w:r>
      <w:r>
        <w:rPr>
          <w:rStyle w:val="VerbatimChar"/>
        </w:rPr>
        <w:t xml:space="preserve">h2h = 1</w:t>
      </w:r>
      <w:r>
        <w:t xml:space="preserve"> </w:t>
      </w:r>
      <w:r>
        <w:t xml:space="preserve">(teams are facing each other in the current match), a single goal simultaneously improves lagging’s match GD by</w:t>
      </w:r>
      <w:r>
        <w:t xml:space="preserve"> </w:t>
      </w:r>
      <m:oMath>
        <m:r>
          <m:rPr>
            <m:sty m:val="p"/>
          </m:rPr>
          <m:t>+</m:t>
        </m:r>
        <m:r>
          <m:t>1</m:t>
        </m:r>
      </m:oMath>
      <w:r>
        <w:t xml:space="preserve"> </w:t>
      </w:r>
      <w:r>
        <w:t xml:space="preserve">and worsens leading’s match GD by</w:t>
      </w:r>
      <w:r>
        <w:t xml:space="preserve"> </w:t>
      </w:r>
      <m:oMath>
        <m:r>
          <m:rPr>
            <m:sty m:val="p"/>
          </m:rPr>
          <m:t>−</m:t>
        </m:r>
        <m:r>
          <m:t>1</m:t>
        </m:r>
      </m:oMath>
      <w:r>
        <w:t xml:space="preserve">. Hence overall GD changes by</w:t>
      </w:r>
      <w:r>
        <w:t xml:space="preserve"> </w:t>
      </w:r>
      <m:oMath>
        <m:r>
          <m:rPr>
            <m:sty m:val="p"/>
          </m:rPr>
          <m:t>+</m:t>
        </m:r>
        <m:r>
          <m:t>2</m:t>
        </m:r>
      </m:oMath>
      <w:r>
        <w:t xml:space="preserve"> </w:t>
      </w:r>
      <w:r>
        <w:t xml:space="preserve">in favor of lagging. Goals scored of lagging increases by</w:t>
      </w:r>
      <w:r>
        <w:t xml:space="preserve"> </w:t>
      </w:r>
      <m:oMath>
        <m:r>
          <m:rPr>
            <m:sty m:val="p"/>
          </m:rPr>
          <m:t>+</m:t>
        </m:r>
        <m:r>
          <m:t>1</m:t>
        </m:r>
      </m:oMath>
      <w:r>
        <w:t xml:space="preserve">.</w:t>
      </w:r>
    </w:p>
    <w:p>
      <w:pPr>
        <w:pStyle w:val="FirstParagraph"/>
      </w:pPr>
      <w:r>
        <w:t xml:space="preserve">After updating points (through inferred match points), overall GD, and overall goals scored, suspense is set to 1 if lagging becomes</w:t>
      </w:r>
      <w:r>
        <w:t xml:space="preserve"> </w:t>
      </w:r>
      <w:r>
        <w:rPr>
          <w:i/>
          <w:iCs/>
        </w:rPr>
        <w:t xml:space="preserve">not behind</w:t>
      </w:r>
      <w:r>
        <w:t xml:space="preserve"> </w:t>
      </w:r>
      <w:r>
        <w:t xml:space="preserve">leading under:</w:t>
      </w:r>
    </w:p>
    <w:p>
      <w:pPr>
        <w:pStyle w:val="BodyText"/>
      </w:pPr>
      <m:oMathPara>
        <m:oMathParaPr>
          <m:jc m:val="center"/>
        </m:oMathParaPr>
        <m:oMath>
          <m:r>
            <m:rPr>
              <m:nor/>
              <m:sty m:val="p"/>
            </m:rPr>
            <m:t>Points</m:t>
          </m:r>
          <m:r>
            <m:rPr>
              <m:sty m:val="p"/>
            </m:rPr>
            <m:t>→</m:t>
          </m:r>
          <m:r>
            <m:rPr>
              <m:nor/>
              <m:sty m:val="p"/>
            </m:rPr>
            <m:t>Overall GD</m:t>
          </m:r>
          <m:r>
            <m:rPr>
              <m:sty m:val="p"/>
            </m:rPr>
            <m:t>→</m:t>
          </m:r>
          <m:r>
            <m:rPr>
              <m:nor/>
              <m:sty m:val="p"/>
            </m:rPr>
            <m:t>Overall GS</m:t>
          </m:r>
          <m:r>
            <m:rPr>
              <m:sty m:val="p"/>
            </m:rPr>
            <m:t>.</m:t>
          </m:r>
        </m:oMath>
      </m:oMathPara>
    </w:p>
    <w:p>
      <w:pPr>
        <w:pStyle w:val="FirstParagraph"/>
      </w:pPr>
      <w:r>
        <w:t xml:space="preserve">If the shock produces a full tie on all three dimensions, we still classify the moment as suspenseful (</w:t>
      </w:r>
      <w:r>
        <w:rPr>
          <w:rStyle w:val="VerbatimChar"/>
        </w:rPr>
        <w:t xml:space="preserve">suspense=1</w:t>
      </w:r>
      <w:r>
        <w:t xml:space="preserve">), since the next tie-break (e.g., head-to-head or lots) may decide qualification.</w:t>
      </w:r>
    </w:p>
    <w:bookmarkEnd w:id="46"/>
    <w:bookmarkStart w:id="47" w:name="step-3-flag-head-to-head-tie-break-cases"/>
    <w:p>
      <w:pPr>
        <w:pStyle w:val="Heading4"/>
      </w:pPr>
      <w:r>
        <w:t xml:space="preserve">Step 3: Flag head-to-head tie-break cases</w:t>
      </w:r>
      <w:r>
        <w:t xml:space="preserve"> </w:t>
      </w:r>
    </w:p>
    <w:p>
      <w:pPr>
        <w:pStyle w:val="FirstParagraph"/>
      </w:pPr>
      <w:r>
        <w:t xml:space="preserve">We create the indicator</w:t>
      </w:r>
      <w:r>
        <w:t xml:space="preserve"> </w:t>
      </w:r>
      <w:r>
        <w:rPr>
          <w:rStyle w:val="VerbatimChar"/>
        </w:rPr>
        <w:t xml:space="preserve">h2h_suspense</w:t>
      </w:r>
      <w:r>
        <w:t xml:space="preserve"> </w:t>
      </w:r>
      <w:r>
        <w:t xml:space="preserve">to identify the subset of observations where the qualification cut-off would be decided by the</w:t>
      </w:r>
      <w:r>
        <w:t xml:space="preserve"> </w:t>
      </w:r>
      <w:r>
        <w:rPr>
          <w:i/>
          <w:iCs/>
        </w:rPr>
        <w:t xml:space="preserve">head-to-head</w:t>
      </w:r>
      <w:r>
        <w:t xml:space="preserve"> </w:t>
      </w:r>
      <w:r>
        <w:t xml:space="preserve">tie-break between the lagging and leading teams.</w:t>
      </w:r>
      <w:r>
        <w:t xml:space="preserve"> </w:t>
      </w:r>
      <w:r>
        <w:t xml:space="preserve">Practically, we flag</w:t>
      </w:r>
      <w:r>
        <w:t xml:space="preserve"> </w:t>
      </w:r>
      <w:r>
        <w:rPr>
          <w:rStyle w:val="VerbatimChar"/>
        </w:rPr>
        <w:t xml:space="preserve">h2h_suspense=1</w:t>
      </w:r>
      <w:r>
        <w:t xml:space="preserve"> </w:t>
      </w:r>
      <w:r>
        <w:t xml:space="preserve">when a full tie on the</w:t>
      </w:r>
      <w:r>
        <w:t xml:space="preserve"> </w:t>
      </w:r>
      <w:r>
        <w:rPr>
          <w:i/>
          <w:iCs/>
        </w:rPr>
        <w:t xml:space="preserve">FIFA pre-H2H criteria</w:t>
      </w:r>
      <w:r>
        <w:t xml:space="preserve"> </w:t>
      </w:r>
      <w:r>
        <w:t xml:space="preserve">(points, overall goal difference, and overall goals scored) can be reached with a single-goal shock from</w:t>
      </w:r>
      <w:r>
        <w:t xml:space="preserve"> </w:t>
      </w:r>
      <w:r>
        <w:rPr>
          <w:i/>
          <w:iCs/>
        </w:rPr>
        <w:t xml:space="preserve">both</w:t>
      </w:r>
      <w:r>
        <w:t xml:space="preserve"> </w:t>
      </w:r>
      <w:r>
        <w:t xml:space="preserve">perspectives:</w:t>
      </w:r>
    </w:p>
    <w:p>
      <w:pPr>
        <w:numPr>
          <w:ilvl w:val="0"/>
          <w:numId w:val="1006"/>
        </w:numPr>
      </w:pPr>
      <w:r>
        <w:t xml:space="preserve">full tie after</w:t>
      </w:r>
      <w:r>
        <w:t xml:space="preserve"> </w:t>
      </w:r>
      <w:r>
        <w:rPr>
          <w:b/>
          <w:bCs/>
        </w:rPr>
        <w:t xml:space="preserve">lagging scores (+1)</w:t>
      </w:r>
      <w:r>
        <w:t xml:space="preserve">, and</w:t>
      </w:r>
    </w:p>
    <w:p>
      <w:pPr>
        <w:numPr>
          <w:ilvl w:val="0"/>
          <w:numId w:val="1006"/>
        </w:numPr>
      </w:pPr>
      <w:r>
        <w:t xml:space="preserve">full tie after</w:t>
      </w:r>
      <w:r>
        <w:t xml:space="preserve"> </w:t>
      </w:r>
      <w:r>
        <w:rPr>
          <w:b/>
          <w:bCs/>
        </w:rPr>
        <w:t xml:space="preserve">leading concedes (+1)</w:t>
      </w:r>
      <w:r>
        <w:t xml:space="preserve">.</w:t>
      </w:r>
    </w:p>
    <w:p>
      <w:pPr>
        <w:pStyle w:val="FirstParagraph"/>
      </w:pPr>
      <w:r>
        <w:t xml:space="preserve">Only for these cases we set</w:t>
      </w:r>
      <w:r>
        <w:t xml:space="preserve"> </w:t>
      </w:r>
      <w:r>
        <w:rPr>
          <w:rStyle w:val="VerbatimChar"/>
        </w:rPr>
        <w:t xml:space="preserve">suspense=1</w:t>
      </w:r>
      <w:r>
        <w:t xml:space="preserve"> </w:t>
      </w:r>
      <w:r>
        <w:t xml:space="preserve">and</w:t>
      </w:r>
      <w:r>
        <w:t xml:space="preserve"> </w:t>
      </w:r>
      <w:r>
        <w:rPr>
          <w:rStyle w:val="VerbatimChar"/>
        </w:rPr>
        <w:t xml:space="preserve">h2h_suspense=1</w:t>
      </w:r>
      <w:r>
        <w:t xml:space="preserve">.</w:t>
      </w:r>
      <w:r>
        <w:t xml:space="preserve"> </w:t>
      </w:r>
      <w:r>
        <w:t xml:space="preserve">This</w:t>
      </w:r>
      <w:r>
        <w:t xml:space="preserve"> </w:t>
      </w:r>
      <w:r>
        <w:t xml:space="preserve">“both perspectives”</w:t>
      </w:r>
      <w:r>
        <w:t xml:space="preserve"> </w:t>
      </w:r>
      <w:r>
        <w:t xml:space="preserve">requirement excludes situations where only one shock produces a full tie, while the other shock would already give one team a strict advantage on goals scored.</w:t>
      </w:r>
    </w:p>
    <w:bookmarkEnd w:id="47"/>
    <w:bookmarkStart w:id="48" w:name="Xb80459fe48730f8c14d8f1b928e9999352f4f28"/>
    <w:p>
      <w:pPr>
        <w:pStyle w:val="Heading4"/>
      </w:pPr>
      <w:r>
        <w:t xml:space="preserve">Step 4: Evaluate the relevant head-to-head match</w:t>
      </w:r>
    </w:p>
    <w:p>
      <w:pPr>
        <w:pStyle w:val="FirstParagraph"/>
      </w:pPr>
      <w:r>
        <w:t xml:space="preserve">For observations with</w:t>
      </w:r>
      <w:r>
        <w:t xml:space="preserve"> </w:t>
      </w:r>
      <w:r>
        <w:rPr>
          <w:rStyle w:val="VerbatimChar"/>
        </w:rPr>
        <w:t xml:space="preserve">h2h_suspense=1</w:t>
      </w:r>
      <w:r>
        <w:t xml:space="preserve">, we evaluate the head-to-head status between the lagging and leading teams to determine whether the tie-break can actually favor the lagging team.</w:t>
      </w:r>
      <w:r>
        <w:t xml:space="preserve"> </w:t>
      </w:r>
      <w:r>
        <w:t xml:space="preserve">There are two distinct cases:</w:t>
      </w:r>
    </w:p>
    <w:p>
      <w:pPr>
        <w:numPr>
          <w:ilvl w:val="0"/>
          <w:numId w:val="1007"/>
        </w:numPr>
      </w:pPr>
      <w:r>
        <w:rPr>
          <w:rStyle w:val="VerbatimChar"/>
          <w:b/>
          <w:bCs/>
        </w:rPr>
        <w:t xml:space="preserve">h2h = 1</w:t>
      </w:r>
      <w:r>
        <w:rPr>
          <w:b/>
          <w:bCs/>
        </w:rPr>
        <w:t xml:space="preserve"> </w:t>
      </w:r>
      <w:r>
        <w:rPr>
          <w:b/>
          <w:bCs/>
        </w:rPr>
        <w:t xml:space="preserve">(current match):</w:t>
      </w:r>
      <w:r>
        <w:t xml:space="preserve"> </w:t>
      </w:r>
      <w:r>
        <w:t xml:space="preserve">lagging and leading are facing each other in the ongoing match. In this case, the head-to-head outcome is determined by the</w:t>
      </w:r>
      <w:r>
        <w:t xml:space="preserve"> </w:t>
      </w:r>
      <w:r>
        <w:rPr>
          <w:i/>
          <w:iCs/>
        </w:rPr>
        <w:t xml:space="preserve">current score</w:t>
      </w:r>
      <w:r>
        <w:t xml:space="preserve"> </w:t>
      </w:r>
      <w:r>
        <w:t xml:space="preserve">at minute</w:t>
      </w:r>
      <w:r>
        <w:t xml:space="preserve"> </w:t>
      </w:r>
      <m:oMath>
        <m:r>
          <m:t>t</m:t>
        </m:r>
      </m:oMath>
      <w:r>
        <w:t xml:space="preserve"> </w:t>
      </w:r>
      <w:r>
        <w:t xml:space="preserve">(i.e., the current match goal difference for the lagging team).</w:t>
      </w:r>
    </w:p>
    <w:p>
      <w:pPr>
        <w:numPr>
          <w:ilvl w:val="0"/>
          <w:numId w:val="1007"/>
        </w:numPr>
      </w:pPr>
      <w:r>
        <w:rPr>
          <w:rStyle w:val="VerbatimChar"/>
          <w:b/>
          <w:bCs/>
        </w:rPr>
        <w:t xml:space="preserve">h2h = 0</w:t>
      </w:r>
      <w:r>
        <w:rPr>
          <w:b/>
          <w:bCs/>
        </w:rPr>
        <w:t xml:space="preserve"> </w:t>
      </w:r>
      <w:r>
        <w:rPr>
          <w:b/>
          <w:bCs/>
        </w:rPr>
        <w:t xml:space="preserve">(previous match):</w:t>
      </w:r>
      <w:r>
        <w:t xml:space="preserve"> </w:t>
      </w:r>
      <w:r>
        <w:t xml:space="preserve">lagging and leading are not playing each other in the current match minute; their head-to-head match is in one of the two</w:t>
      </w:r>
      <w:r>
        <w:t xml:space="preserve"> </w:t>
      </w:r>
      <w:r>
        <w:rPr>
          <w:i/>
          <w:iCs/>
        </w:rPr>
        <w:t xml:space="preserve">previous</w:t>
      </w:r>
      <w:r>
        <w:t xml:space="preserve"> </w:t>
      </w:r>
      <w:r>
        <w:t xml:space="preserve">fixtures in the same group stage. In this case the head-to-head outcome is fixed and can be retrieved from</w:t>
      </w:r>
      <w:r>
        <w:t xml:space="preserve"> </w:t>
      </w:r>
      <w:r>
        <w:rPr>
          <w:rStyle w:val="VerbatimChar"/>
        </w:rPr>
        <w:t xml:space="preserve">goals_df</w:t>
      </w:r>
      <w:r>
        <w:t xml:space="preserve"> </w:t>
      </w:r>
      <w:r>
        <w:t xml:space="preserve">using the match’s final score. If the lagging team loses the head-to-head match, we set</w:t>
      </w:r>
      <w:r>
        <w:t xml:space="preserve"> </w:t>
      </w:r>
      <w:r>
        <w:rPr>
          <w:rStyle w:val="VerbatimChar"/>
        </w:rPr>
        <w:t xml:space="preserve">suspense</w:t>
      </w:r>
      <w:r>
        <w:t xml:space="preserve"> </w:t>
      </w:r>
      <w:r>
        <w:t xml:space="preserve">back to 0 for that observation.</w:t>
      </w:r>
    </w:p>
    <w:bookmarkEnd w:id="48"/>
    <w:bookmarkStart w:id="49" w:name="step-5-draw-lots-adjustments."/>
    <w:p>
      <w:pPr>
        <w:pStyle w:val="Heading4"/>
      </w:pPr>
      <w:r>
        <w:t xml:space="preserve">Step 5: Draw-lots adjustments.</w:t>
      </w:r>
    </w:p>
    <w:p>
      <w:pPr>
        <w:pStyle w:val="FirstParagraph"/>
      </w:pPr>
      <w:r>
        <w:t xml:space="preserve">Finally, we manually set</w:t>
      </w:r>
      <w:r>
        <w:t xml:space="preserve"> </w:t>
      </w:r>
      <w:r>
        <w:rPr>
          <w:rStyle w:val="VerbatimChar"/>
        </w:rPr>
        <w:t xml:space="preserve">suspense=1</w:t>
      </w:r>
      <w:r>
        <w:t xml:space="preserve"> </w:t>
      </w:r>
      <w:r>
        <w:t xml:space="preserve">in a small set of edge cases where the FIFA rules imply qualification may be decided by lots.</w:t>
      </w:r>
    </w:p>
    <w:bookmarkEnd w:id="49"/>
    <w:bookmarkStart w:id="50" w:name="X3d10d7fddd3c98710a774d253adc8e14a4c1047"/>
    <w:p>
      <w:pPr>
        <w:pStyle w:val="Heading4"/>
      </w:pPr>
      <w:r>
        <w:t xml:space="preserve">Diagnostic audit: outside-team threat when</w:t>
      </w:r>
      <w:r>
        <w:t xml:space="preserve"> </w:t>
      </w:r>
      <w:r>
        <w:rPr>
          <w:rStyle w:val="VerbatimChar"/>
        </w:rPr>
        <w:t xml:space="preserve">suspense=0</w:t>
      </w:r>
    </w:p>
    <w:p>
      <w:pPr>
        <w:pStyle w:val="FirstParagraph"/>
      </w:pPr>
      <w:r>
        <w:t xml:space="preserve">Because the main suspense logic evaluates only the cut-off pair (leading vs lagging), we also run a diagnostic check for cases with</w:t>
      </w:r>
      <w:r>
        <w:t xml:space="preserve"> </w:t>
      </w:r>
      <w:r>
        <w:rPr>
          <w:rStyle w:val="VerbatimChar"/>
        </w:rPr>
        <w:t xml:space="preserve">suspense=0</w:t>
      </w:r>
      <w:r>
        <w:t xml:space="preserve"> </w:t>
      </w:r>
      <w:r>
        <w:t xml:space="preserve">and</w:t>
      </w:r>
      <w:r>
        <w:t xml:space="preserve"> </w:t>
      </w:r>
      <w:r>
        <w:rPr>
          <w:rStyle w:val="VerbatimChar"/>
        </w:rPr>
        <w:t xml:space="preserve">third_qualify=0</w:t>
      </w:r>
      <w:r>
        <w:t xml:space="preserve"> </w:t>
      </w:r>
      <w:r>
        <w:t xml:space="preserve">where the</w:t>
      </w:r>
      <w:r>
        <w:t xml:space="preserve"> </w:t>
      </w:r>
      <w:r>
        <w:rPr>
          <w:b/>
          <w:bCs/>
        </w:rPr>
        <w:t xml:space="preserve">4th</w:t>
      </w:r>
      <w:r>
        <w:t xml:space="preserve"> </w:t>
      </w:r>
      <w:r>
        <w:t xml:space="preserve">team can reach or overtake the</w:t>
      </w:r>
      <w:r>
        <w:t xml:space="preserve"> </w:t>
      </w:r>
      <w:r>
        <w:rPr>
          <w:b/>
          <w:bCs/>
        </w:rPr>
        <w:t xml:space="preserve">2nd</w:t>
      </w:r>
      <w:r>
        <w:t xml:space="preserve"> </w:t>
      </w:r>
      <w:r>
        <w:t xml:space="preserve">team with one goal shock under FIFA ordering.</w:t>
      </w:r>
    </w:p>
    <w:bookmarkEnd w:id="50"/>
    <w:bookmarkEnd w:id="51"/>
    <w:bookmarkStart w:id="57" w:name="sec:suspense-uefa-implemented"/>
    <w:p>
      <w:pPr>
        <w:pStyle w:val="Heading3"/>
      </w:pPr>
      <w:r>
        <w:t xml:space="preserve">Suspense Criteria: UEFA</w:t>
      </w:r>
    </w:p>
    <w:p>
      <w:pPr>
        <w:pStyle w:val="FirstParagraph"/>
      </w:pPr>
      <w:r>
        <w:t xml:space="preserve">For competitions governed by UEFA rules, team ranking within a group follows a different tie-breaking hierarchy:</w:t>
      </w:r>
    </w:p>
    <w:p>
      <w:pPr>
        <w:numPr>
          <w:ilvl w:val="0"/>
          <w:numId w:val="1008"/>
        </w:numPr>
      </w:pPr>
      <w:r>
        <w:t xml:space="preserve">total points,</w:t>
      </w:r>
    </w:p>
    <w:p>
      <w:pPr>
        <w:numPr>
          <w:ilvl w:val="0"/>
          <w:numId w:val="1008"/>
        </w:numPr>
      </w:pPr>
      <w:r>
        <w:t xml:space="preserve">head-to-head result between the tied teams,</w:t>
      </w:r>
    </w:p>
    <w:p>
      <w:pPr>
        <w:numPr>
          <w:ilvl w:val="0"/>
          <w:numId w:val="1008"/>
        </w:numPr>
      </w:pPr>
      <w:r>
        <w:t xml:space="preserve">overall goal difference,</w:t>
      </w:r>
    </w:p>
    <w:p>
      <w:pPr>
        <w:numPr>
          <w:ilvl w:val="0"/>
          <w:numId w:val="1008"/>
        </w:numPr>
      </w:pPr>
      <w:r>
        <w:t xml:space="preserve">overall goals scored.</w:t>
      </w:r>
    </w:p>
    <w:p>
      <w:pPr>
        <w:pStyle w:val="FirstParagraph"/>
      </w:pPr>
      <w:r>
        <w:t xml:space="preserve">Unlike the FIFA procedure, head-to-head is applied</w:t>
      </w:r>
      <w:r>
        <w:t xml:space="preserve"> </w:t>
      </w:r>
      <w:r>
        <w:rPr>
          <w:i/>
          <w:iCs/>
        </w:rPr>
        <w:t xml:space="preserve">before</w:t>
      </w:r>
      <w:r>
        <w:t xml:space="preserve"> </w:t>
      </w:r>
      <w:r>
        <w:t xml:space="preserve">overall goal difference and goals scored.</w:t>
      </w:r>
    </w:p>
    <w:bookmarkStart w:id="52" w:name="X524727ea7d9b6741e01b31d1f741e4b0b8e76a6"/>
    <w:p>
      <w:pPr>
        <w:pStyle w:val="Heading4"/>
      </w:pPr>
      <w:r>
        <w:t xml:space="preserve">Step 1: Identify the relevant ranking pair.</w:t>
      </w:r>
    </w:p>
    <w:p>
      <w:pPr>
        <w:pStyle w:val="FirstParagraph"/>
      </w:pPr>
      <w:r>
        <w:t xml:space="preserve">At each observation (defined by a goal minute within a group-stage match), we identify the pair of teams defining the qualification cut-off. When only the top two teams qualify (</w:t>
      </w:r>
      <w:r>
        <w:rPr>
          <w:rStyle w:val="VerbatimChar"/>
        </w:rPr>
        <w:t xml:space="preserve">third_qualify = 0</w:t>
      </w:r>
      <w:r>
        <w:t xml:space="preserve">), the relevant comparison is between the teams ranked second and third. When the third-placed team may also qualify (</w:t>
      </w:r>
      <w:r>
        <w:rPr>
          <w:rStyle w:val="VerbatimChar"/>
        </w:rPr>
        <w:t xml:space="preserve">third_qualify = 1</w:t>
      </w:r>
      <w:r>
        <w:t xml:space="preserve">), the relevant comparison is between the teams ranked third and fourth.</w:t>
      </w:r>
    </w:p>
    <w:bookmarkEnd w:id="52"/>
    <w:bookmarkStart w:id="53" w:name="step-2-evaluate-one-goal-shocks."/>
    <w:p>
      <w:pPr>
        <w:pStyle w:val="Heading4"/>
      </w:pPr>
      <w:r>
        <w:t xml:space="preserve">Step 2: Evaluate one-goal shocks.</w:t>
      </w:r>
    </w:p>
    <w:p>
      <w:pPr>
        <w:pStyle w:val="FirstParagraph"/>
      </w:pPr>
      <w:r>
        <w:t xml:space="preserve">For each observation we evaluate whether a single-goal shock could allow the lagging team to reach or overtake the leading team. Two possible shocks are considered: lagging scores one goal (+1) or leading concedes one goal (+1). Match points are inferred from the match goal difference using the appropriate points system.</w:t>
      </w:r>
    </w:p>
    <w:bookmarkEnd w:id="53"/>
    <w:bookmarkStart w:id="54" w:name="step-3-apply-uefa-tie-breaking-rules."/>
    <w:p>
      <w:pPr>
        <w:pStyle w:val="Heading4"/>
      </w:pPr>
      <w:r>
        <w:t xml:space="preserve">Step 3: Apply UEFA tie-breaking rules.</w:t>
      </w:r>
    </w:p>
    <w:p>
      <w:pPr>
        <w:pStyle w:val="FirstParagraph"/>
      </w:pPr>
      <w:r>
        <w:t xml:space="preserve">After applying the hypothetical shock, we compare the lagging and leading teams according to the UEFA ranking hierarchy: total points, then head-to-head, then overall goal difference, then overall goals scored. When the two teams are not currently facing each other, the head-to-head outcome is fixed from the previous fixture; when they are playing each other, the current score determines the head-to-head outcome.</w:t>
      </w:r>
    </w:p>
    <w:bookmarkEnd w:id="54"/>
    <w:bookmarkStart w:id="55" w:name="step-4-determine-suspense."/>
    <w:p>
      <w:pPr>
        <w:pStyle w:val="Heading4"/>
      </w:pPr>
      <w:r>
        <w:t xml:space="preserve">Step 4: Determine suspense.</w:t>
      </w:r>
    </w:p>
    <w:p>
      <w:pPr>
        <w:pStyle w:val="FirstParagraph"/>
      </w:pPr>
      <w:r>
        <w:t xml:space="preserve">If under either shock the lagging team becomes at least as well ranked as the leading team, we set</w:t>
      </w:r>
      <w:r>
        <w:t xml:space="preserve"> </w:t>
      </w:r>
      <w:r>
        <w:rPr>
          <w:rStyle w:val="VerbatimChar"/>
        </w:rPr>
        <w:t xml:space="preserve">suspense = 1</w:t>
      </w:r>
      <w:r>
        <w:t xml:space="preserve">.</w:t>
      </w:r>
    </w:p>
    <w:bookmarkEnd w:id="55"/>
    <w:bookmarkStart w:id="56" w:name="step-5-identify-outside-team-threats."/>
    <w:p>
      <w:pPr>
        <w:pStyle w:val="Heading4"/>
      </w:pPr>
      <w:r>
        <w:t xml:space="preserve">Step 5: Identify outside-team threats.</w:t>
      </w:r>
    </w:p>
    <w:p>
      <w:pPr>
        <w:pStyle w:val="FirstParagraph"/>
      </w:pPr>
      <w:r>
        <w:t xml:space="preserve">Finally, we check whether the fourth-placed team could reach or overtake the second-placed team with a single-goal shock, applying the full UEFA hierarchy. Observations satisfying this condition are edited separately.</w:t>
      </w:r>
    </w:p>
    <w:bookmarkEnd w:id="56"/>
    <w:bookmarkEnd w:id="57"/>
    <w:bookmarkEnd w:id="58"/>
    <w:bookmarkStart w:id="63" w:name="app:correlations"/>
    <w:p>
      <w:pPr>
        <w:pStyle w:val="Heading2"/>
      </w:pPr>
      <w:r>
        <w:t xml:space="preserve">Correlation Analysis</w:t>
      </w:r>
    </w:p>
    <w:p>
      <w:pPr>
        <w:pStyle w:val="FirstParagraph"/>
      </w:pPr>
      <w:r>
        <w:t xml:space="preserve">Tables </w:t>
      </w:r>
      <w:hyperlink w:anchor="tab:corr_eu">
        <w:r>
          <w:rPr>
            <w:rStyle w:val="Hyperlink"/>
          </w:rPr>
          <w:t xml:space="preserve">7</w:t>
        </w:r>
      </w:hyperlink>
      <w:r>
        <w:t xml:space="preserve">–</w:t>
      </w:r>
      <w:hyperlink w:anchor="tab:corr_wc_mbm">
        <w:r>
          <w:rPr>
            <w:rStyle w:val="Hyperlink"/>
          </w:rPr>
          <w:t xml:space="preserve">10</w:t>
        </w:r>
      </w:hyperlink>
      <w:r>
        <w:t xml:space="preserve"> </w:t>
      </w:r>
      <w:r>
        <w:t xml:space="preserve">report pairwise correlations between suspense, qualification turnover, and group-level competitive balance (Elo standard deviation) for both tournaments and both datasets.</w:t>
      </w:r>
    </w:p>
    <w:p>
      <w:pPr>
        <w:pStyle w:val="BodyText"/>
      </w:pPr>
      <w:r>
        <w:t xml:space="preserve">For the European Championship (Tables </w:t>
      </w:r>
      <w:hyperlink w:anchor="tab:corr_eu">
        <w:r>
          <w:rPr>
            <w:rStyle w:val="Hyperlink"/>
          </w:rPr>
          <w:t xml:space="preserve">7</w:t>
        </w:r>
      </w:hyperlink>
      <w:r>
        <w:t xml:space="preserve"> </w:t>
      </w:r>
      <w:r>
        <w:t xml:space="preserve">and </w:t>
      </w:r>
      <w:hyperlink w:anchor="tab:corr_eu_mbm">
        <w:r>
          <w:rPr>
            <w:rStyle w:val="Hyperlink"/>
          </w:rPr>
          <w:t xml:space="preserve">8</w:t>
        </w:r>
      </w:hyperlink>
      <w:r>
        <w:t xml:space="preserve">), the number of changes in the qualifying composition is positively associated with aggregate suspense in every specification, with the association stronger under FIFA rules. Regarding group imbalance, suspense increases with imbalance under both rules, while the relationship between imbalance and qualification turnover is weak and slightly negative. This is not surprising: qualification turnover captures only actual changes, whereas our suspense measure also accounts for potential changes.</w:t>
      </w:r>
    </w:p>
    <w:bookmarkStart w:id="59" w:name="tab:corr_eu"/>
    <w:p>
      <w:pPr>
        <w:pStyle w:val="TableCaption"/>
      </w:pPr>
      <w:r>
        <w:t xml:space="preserve">Correlation matrices for goals-based aggregation in UEFA European Championship</w:t>
      </w:r>
    </w:p>
    <w:tbl>
      <w:tblPr>
        <w:tblStyle w:val="Table"/>
        <w:tblW w:type="auto" w:w="0"/>
        <w:tblLook w:firstRow="1" w:lastRow="0" w:firstColumn="0" w:lastColumn="0" w:noHBand="0" w:noVBand="0" w:val="0020"/>
        <w:tblCaption w:val="Correlation matrices for goals-based aggregation in UEFA European Championship"/>
      </w:tblPr>
      <w:tblGrid>
        <w:gridCol w:w="1980"/>
        <w:gridCol w:w="1980"/>
        <w:gridCol w:w="1980"/>
        <w:gridCol w:w="1980"/>
      </w:tblGrid>
      <w:tr>
        <w:trPr>
          <w:tblHeader w:val="on"/>
        </w:trPr>
        <w:tc>
          <w:tcPr/>
          <w:p>
            <w:pPr>
              <w:pStyle w:val="Compact"/>
            </w:pPr>
          </w:p>
        </w:tc>
        <w:tc>
          <w:tcPr/>
          <w:p>
            <w:pPr>
              <w:pStyle w:val="Compact"/>
              <w:jc w:val="center"/>
            </w:pPr>
            <w:r>
              <w:t xml:space="preserve">Elo std</w:t>
            </w:r>
          </w:p>
        </w:tc>
        <w:tc>
          <w:tcPr/>
          <w:p>
            <w:pPr>
              <w:pStyle w:val="Compact"/>
              <w:jc w:val="center"/>
            </w:pPr>
            <w:r>
              <w:t xml:space="preserve">Avg. qual. count</w:t>
            </w:r>
          </w:p>
        </w:tc>
        <w:tc>
          <w:tcPr/>
          <w:p>
            <w:pPr>
              <w:pStyle w:val="Compact"/>
              <w:jc w:val="center"/>
            </w:pPr>
            <w:r>
              <w:t xml:space="preserve">Avg. suspense</w:t>
            </w:r>
          </w:p>
        </w:tc>
      </w:tr>
      <w:tr>
        <w:tc>
          <w:tcPr>
            <w:gridSpan w:val="4"/>
          </w:tcPr>
          <w:p>
            <w:pPr>
              <w:pStyle w:val="Compact"/>
              <w:jc w:val="left"/>
            </w:pPr>
            <w:r>
              <w:rPr>
                <w:b/>
                <w:bCs/>
              </w:rPr>
              <w:t xml:space="preserve">UEFA</w:t>
            </w:r>
          </w:p>
        </w:tc>
      </w:tr>
      <w:tr>
        <w:tc>
          <w:tcPr/>
          <w:p>
            <w:pPr>
              <w:pStyle w:val="Compact"/>
              <w:jc w:val="left"/>
            </w:pPr>
            <w:r>
              <w:t xml:space="preserve">Elo std</w:t>
            </w:r>
          </w:p>
        </w:tc>
        <w:tc>
          <w:tcPr/>
          <w:p>
            <w:pPr>
              <w:pStyle w:val="Compact"/>
              <w:jc w:val="center"/>
            </w:pPr>
            <w:r>
              <w:t xml:space="preserve">1.000</w:t>
            </w:r>
          </w:p>
        </w:tc>
        <w:tc>
          <w:tcPr/>
          <w:p>
            <w:pPr>
              <w:pStyle w:val="Compact"/>
              <w:jc w:val="center"/>
            </w:pPr>
            <w:r>
              <w:t xml:space="preserve">-0.089</w:t>
            </w:r>
          </w:p>
        </w:tc>
        <w:tc>
          <w:tcPr/>
          <w:p>
            <w:pPr>
              <w:pStyle w:val="Compact"/>
              <w:jc w:val="center"/>
            </w:pPr>
            <w:r>
              <w:t xml:space="preserve">0.251</w:t>
            </w:r>
          </w:p>
        </w:tc>
      </w:tr>
      <w:tr>
        <w:tc>
          <w:tcPr/>
          <w:p>
            <w:pPr>
              <w:pStyle w:val="Compact"/>
              <w:jc w:val="left"/>
            </w:pPr>
            <w:r>
              <w:t xml:space="preserve">Avg. qual. count</w:t>
            </w:r>
          </w:p>
        </w:tc>
        <w:tc>
          <w:tcPr/>
          <w:p>
            <w:pPr>
              <w:pStyle w:val="Compact"/>
              <w:jc w:val="center"/>
            </w:pPr>
            <w:r>
              <w:t xml:space="preserve">-0.089</w:t>
            </w:r>
          </w:p>
        </w:tc>
        <w:tc>
          <w:tcPr/>
          <w:p>
            <w:pPr>
              <w:pStyle w:val="Compact"/>
              <w:jc w:val="center"/>
            </w:pPr>
            <w:r>
              <w:t xml:space="preserve">1.000</w:t>
            </w:r>
          </w:p>
        </w:tc>
        <w:tc>
          <w:tcPr/>
          <w:p>
            <w:pPr>
              <w:pStyle w:val="Compact"/>
              <w:jc w:val="center"/>
            </w:pPr>
            <w:r>
              <w:t xml:space="preserve">0.391</w:t>
            </w:r>
          </w:p>
        </w:tc>
      </w:tr>
      <w:tr>
        <w:tc>
          <w:tcPr/>
          <w:p>
            <w:pPr>
              <w:pStyle w:val="Compact"/>
              <w:jc w:val="left"/>
            </w:pPr>
            <w:r>
              <w:t xml:space="preserve">Avg. suspense</w:t>
            </w:r>
          </w:p>
        </w:tc>
        <w:tc>
          <w:tcPr/>
          <w:p>
            <w:pPr>
              <w:pStyle w:val="Compact"/>
              <w:jc w:val="center"/>
            </w:pPr>
            <w:r>
              <w:t xml:space="preserve">0.251</w:t>
            </w:r>
          </w:p>
        </w:tc>
        <w:tc>
          <w:tcPr/>
          <w:p>
            <w:pPr>
              <w:pStyle w:val="Compact"/>
              <w:jc w:val="center"/>
            </w:pPr>
            <w:r>
              <w:t xml:space="preserve">0.391</w:t>
            </w:r>
          </w:p>
        </w:tc>
        <w:tc>
          <w:tcPr/>
          <w:p>
            <w:pPr>
              <w:pStyle w:val="Compact"/>
              <w:jc w:val="center"/>
            </w:pPr>
            <w:r>
              <w:t xml:space="preserve">1.000</w:t>
            </w:r>
          </w:p>
        </w:tc>
      </w:tr>
      <w:tr>
        <w:tc>
          <w:tcPr>
            <w:gridSpan w:val="4"/>
          </w:tcPr>
          <w:p>
            <w:pPr>
              <w:pStyle w:val="Compact"/>
              <w:jc w:val="left"/>
            </w:pPr>
            <w:r>
              <w:rPr>
                <w:b/>
                <w:bCs/>
              </w:rPr>
              <w:t xml:space="preserve">FIFA</w:t>
            </w:r>
          </w:p>
        </w:tc>
      </w:tr>
      <w:tr>
        <w:tc>
          <w:tcPr/>
          <w:p>
            <w:pPr>
              <w:pStyle w:val="Compact"/>
              <w:jc w:val="left"/>
            </w:pPr>
            <w:r>
              <w:t xml:space="preserve">Elo std</w:t>
            </w:r>
          </w:p>
        </w:tc>
        <w:tc>
          <w:tcPr/>
          <w:p>
            <w:pPr>
              <w:pStyle w:val="Compact"/>
              <w:jc w:val="center"/>
            </w:pPr>
            <w:r>
              <w:t xml:space="preserve">1.000</w:t>
            </w:r>
          </w:p>
        </w:tc>
        <w:tc>
          <w:tcPr/>
          <w:p>
            <w:pPr>
              <w:pStyle w:val="Compact"/>
              <w:jc w:val="center"/>
            </w:pPr>
            <w:r>
              <w:t xml:space="preserve">-0.061</w:t>
            </w:r>
          </w:p>
        </w:tc>
        <w:tc>
          <w:tcPr/>
          <w:p>
            <w:pPr>
              <w:pStyle w:val="Compact"/>
              <w:jc w:val="center"/>
            </w:pPr>
            <w:r>
              <w:t xml:space="preserve">0.264</w:t>
            </w:r>
          </w:p>
        </w:tc>
      </w:tr>
      <w:tr>
        <w:tc>
          <w:tcPr/>
          <w:p>
            <w:pPr>
              <w:pStyle w:val="Compact"/>
              <w:jc w:val="left"/>
            </w:pPr>
            <w:r>
              <w:t xml:space="preserve">Avg. qual. count</w:t>
            </w:r>
          </w:p>
        </w:tc>
        <w:tc>
          <w:tcPr/>
          <w:p>
            <w:pPr>
              <w:pStyle w:val="Compact"/>
              <w:jc w:val="center"/>
            </w:pPr>
            <w:r>
              <w:t xml:space="preserve">-0.061</w:t>
            </w:r>
          </w:p>
        </w:tc>
        <w:tc>
          <w:tcPr/>
          <w:p>
            <w:pPr>
              <w:pStyle w:val="Compact"/>
              <w:jc w:val="center"/>
            </w:pPr>
            <w:r>
              <w:t xml:space="preserve">1.000</w:t>
            </w:r>
          </w:p>
        </w:tc>
        <w:tc>
          <w:tcPr/>
          <w:p>
            <w:pPr>
              <w:pStyle w:val="Compact"/>
              <w:jc w:val="center"/>
            </w:pPr>
            <w:r>
              <w:t xml:space="preserve">0.406</w:t>
            </w:r>
          </w:p>
        </w:tc>
      </w:tr>
      <w:tr>
        <w:tc>
          <w:tcPr/>
          <w:p>
            <w:pPr>
              <w:pStyle w:val="Compact"/>
              <w:jc w:val="left"/>
            </w:pPr>
            <w:r>
              <w:t xml:space="preserve">Avg. suspense</w:t>
            </w:r>
          </w:p>
        </w:tc>
        <w:tc>
          <w:tcPr/>
          <w:p>
            <w:pPr>
              <w:pStyle w:val="Compact"/>
              <w:jc w:val="center"/>
            </w:pPr>
            <w:r>
              <w:t xml:space="preserve">0.264</w:t>
            </w:r>
          </w:p>
        </w:tc>
        <w:tc>
          <w:tcPr/>
          <w:p>
            <w:pPr>
              <w:pStyle w:val="Compact"/>
              <w:jc w:val="center"/>
            </w:pPr>
            <w:r>
              <w:t xml:space="preserve">0.406</w:t>
            </w:r>
          </w:p>
        </w:tc>
        <w:tc>
          <w:tcPr/>
          <w:p>
            <w:pPr>
              <w:pStyle w:val="Compact"/>
              <w:jc w:val="center"/>
            </w:pPr>
            <w:r>
              <w:t xml:space="preserve">1.000</w:t>
            </w:r>
          </w:p>
        </w:tc>
      </w:tr>
    </w:tbl>
    <w:bookmarkEnd w:id="59"/>
    <w:bookmarkStart w:id="60" w:name="tab:corr_eu_mbm"/>
    <w:p>
      <w:pPr>
        <w:pStyle w:val="TableCaption"/>
      </w:pPr>
      <w:r>
        <w:t xml:space="preserve">Correlation matrices for minute-by-minute aggregation in UEFA European Championship</w:t>
      </w:r>
    </w:p>
    <w:tbl>
      <w:tblPr>
        <w:tblStyle w:val="Table"/>
        <w:tblW w:type="auto" w:w="0"/>
        <w:tblLook w:firstRow="1" w:lastRow="0" w:firstColumn="0" w:lastColumn="0" w:noHBand="0" w:noVBand="0" w:val="0020"/>
        <w:tblCaption w:val="Correlation matrices for minute-by-minute aggregation in UEFA European Championship"/>
      </w:tblPr>
      <w:tblGrid>
        <w:gridCol w:w="1980"/>
        <w:gridCol w:w="1980"/>
        <w:gridCol w:w="1980"/>
        <w:gridCol w:w="1980"/>
      </w:tblGrid>
      <w:tr>
        <w:trPr>
          <w:tblHeader w:val="on"/>
        </w:trPr>
        <w:tc>
          <w:tcPr/>
          <w:p>
            <w:pPr>
              <w:pStyle w:val="Compact"/>
            </w:pPr>
          </w:p>
        </w:tc>
        <w:tc>
          <w:tcPr/>
          <w:p>
            <w:pPr>
              <w:pStyle w:val="Compact"/>
              <w:jc w:val="center"/>
            </w:pPr>
            <w:r>
              <w:t xml:space="preserve">Elo std</w:t>
            </w:r>
          </w:p>
        </w:tc>
        <w:tc>
          <w:tcPr/>
          <w:p>
            <w:pPr>
              <w:pStyle w:val="Compact"/>
              <w:jc w:val="center"/>
            </w:pPr>
            <w:r>
              <w:t xml:space="preserve">Avg. qual. count</w:t>
            </w:r>
          </w:p>
        </w:tc>
        <w:tc>
          <w:tcPr/>
          <w:p>
            <w:pPr>
              <w:pStyle w:val="Compact"/>
              <w:jc w:val="center"/>
            </w:pPr>
            <w:r>
              <w:t xml:space="preserve">Avg. suspense</w:t>
            </w:r>
          </w:p>
        </w:tc>
      </w:tr>
      <w:tr>
        <w:tc>
          <w:tcPr>
            <w:gridSpan w:val="4"/>
          </w:tcPr>
          <w:p>
            <w:pPr>
              <w:pStyle w:val="Compact"/>
              <w:jc w:val="left"/>
            </w:pPr>
            <w:r>
              <w:rPr>
                <w:b/>
                <w:bCs/>
              </w:rPr>
              <w:t xml:space="preserve">UEFA</w:t>
            </w:r>
          </w:p>
        </w:tc>
      </w:tr>
      <w:tr>
        <w:tc>
          <w:tcPr/>
          <w:p>
            <w:pPr>
              <w:pStyle w:val="Compact"/>
              <w:jc w:val="left"/>
            </w:pPr>
            <w:r>
              <w:t xml:space="preserve">Elo std</w:t>
            </w:r>
          </w:p>
        </w:tc>
        <w:tc>
          <w:tcPr/>
          <w:p>
            <w:pPr>
              <w:pStyle w:val="Compact"/>
              <w:jc w:val="center"/>
            </w:pPr>
            <w:r>
              <w:t xml:space="preserve">1.000</w:t>
            </w:r>
          </w:p>
        </w:tc>
        <w:tc>
          <w:tcPr/>
          <w:p>
            <w:pPr>
              <w:pStyle w:val="Compact"/>
              <w:jc w:val="center"/>
            </w:pPr>
            <w:r>
              <w:t xml:space="preserve">-0.102</w:t>
            </w:r>
          </w:p>
        </w:tc>
        <w:tc>
          <w:tcPr/>
          <w:p>
            <w:pPr>
              <w:pStyle w:val="Compact"/>
              <w:jc w:val="center"/>
            </w:pPr>
            <w:r>
              <w:t xml:space="preserve">0.175</w:t>
            </w:r>
          </w:p>
        </w:tc>
      </w:tr>
      <w:tr>
        <w:tc>
          <w:tcPr/>
          <w:p>
            <w:pPr>
              <w:pStyle w:val="Compact"/>
              <w:jc w:val="left"/>
            </w:pPr>
            <w:r>
              <w:t xml:space="preserve">Avg. qual. count</w:t>
            </w:r>
          </w:p>
        </w:tc>
        <w:tc>
          <w:tcPr/>
          <w:p>
            <w:pPr>
              <w:pStyle w:val="Compact"/>
              <w:jc w:val="center"/>
            </w:pPr>
            <w:r>
              <w:t xml:space="preserve">-0.102</w:t>
            </w:r>
          </w:p>
        </w:tc>
        <w:tc>
          <w:tcPr/>
          <w:p>
            <w:pPr>
              <w:pStyle w:val="Compact"/>
              <w:jc w:val="center"/>
            </w:pPr>
            <w:r>
              <w:t xml:space="preserve">1.000</w:t>
            </w:r>
          </w:p>
        </w:tc>
        <w:tc>
          <w:tcPr/>
          <w:p>
            <w:pPr>
              <w:pStyle w:val="Compact"/>
              <w:jc w:val="center"/>
            </w:pPr>
            <w:r>
              <w:t xml:space="preserve">0.299</w:t>
            </w:r>
          </w:p>
        </w:tc>
      </w:tr>
      <w:tr>
        <w:tc>
          <w:tcPr/>
          <w:p>
            <w:pPr>
              <w:pStyle w:val="Compact"/>
              <w:jc w:val="left"/>
            </w:pPr>
            <w:r>
              <w:t xml:space="preserve">Avg. suspense</w:t>
            </w:r>
          </w:p>
        </w:tc>
        <w:tc>
          <w:tcPr/>
          <w:p>
            <w:pPr>
              <w:pStyle w:val="Compact"/>
              <w:jc w:val="center"/>
            </w:pPr>
            <w:r>
              <w:t xml:space="preserve">0.175</w:t>
            </w:r>
          </w:p>
        </w:tc>
        <w:tc>
          <w:tcPr/>
          <w:p>
            <w:pPr>
              <w:pStyle w:val="Compact"/>
              <w:jc w:val="center"/>
            </w:pPr>
            <w:r>
              <w:t xml:space="preserve">0.299</w:t>
            </w:r>
          </w:p>
        </w:tc>
        <w:tc>
          <w:tcPr/>
          <w:p>
            <w:pPr>
              <w:pStyle w:val="Compact"/>
              <w:jc w:val="center"/>
            </w:pPr>
            <w:r>
              <w:t xml:space="preserve">1.000</w:t>
            </w:r>
          </w:p>
        </w:tc>
      </w:tr>
      <w:tr>
        <w:tc>
          <w:tcPr>
            <w:gridSpan w:val="4"/>
          </w:tcPr>
          <w:p>
            <w:pPr>
              <w:pStyle w:val="Compact"/>
              <w:jc w:val="left"/>
            </w:pPr>
            <w:r>
              <w:rPr>
                <w:b/>
                <w:bCs/>
              </w:rPr>
              <w:t xml:space="preserve">FIFA</w:t>
            </w:r>
          </w:p>
        </w:tc>
      </w:tr>
      <w:tr>
        <w:tc>
          <w:tcPr/>
          <w:p>
            <w:pPr>
              <w:pStyle w:val="Compact"/>
              <w:jc w:val="left"/>
            </w:pPr>
            <w:r>
              <w:t xml:space="preserve">Elo std</w:t>
            </w:r>
          </w:p>
        </w:tc>
        <w:tc>
          <w:tcPr/>
          <w:p>
            <w:pPr>
              <w:pStyle w:val="Compact"/>
              <w:jc w:val="center"/>
            </w:pPr>
            <w:r>
              <w:t xml:space="preserve">1.000</w:t>
            </w:r>
          </w:p>
        </w:tc>
        <w:tc>
          <w:tcPr/>
          <w:p>
            <w:pPr>
              <w:pStyle w:val="Compact"/>
              <w:jc w:val="center"/>
            </w:pPr>
            <w:r>
              <w:t xml:space="preserve">-0.036</w:t>
            </w:r>
          </w:p>
        </w:tc>
        <w:tc>
          <w:tcPr/>
          <w:p>
            <w:pPr>
              <w:pStyle w:val="Compact"/>
              <w:jc w:val="center"/>
            </w:pPr>
            <w:r>
              <w:t xml:space="preserve">0.153</w:t>
            </w:r>
          </w:p>
        </w:tc>
      </w:tr>
      <w:tr>
        <w:tc>
          <w:tcPr/>
          <w:p>
            <w:pPr>
              <w:pStyle w:val="Compact"/>
              <w:jc w:val="left"/>
            </w:pPr>
            <w:r>
              <w:t xml:space="preserve">Avg. qual. count</w:t>
            </w:r>
          </w:p>
        </w:tc>
        <w:tc>
          <w:tcPr/>
          <w:p>
            <w:pPr>
              <w:pStyle w:val="Compact"/>
              <w:jc w:val="center"/>
            </w:pPr>
            <w:r>
              <w:t xml:space="preserve">-0.036</w:t>
            </w:r>
          </w:p>
        </w:tc>
        <w:tc>
          <w:tcPr/>
          <w:p>
            <w:pPr>
              <w:pStyle w:val="Compact"/>
              <w:jc w:val="center"/>
            </w:pPr>
            <w:r>
              <w:t xml:space="preserve">1.000</w:t>
            </w:r>
          </w:p>
        </w:tc>
        <w:tc>
          <w:tcPr/>
          <w:p>
            <w:pPr>
              <w:pStyle w:val="Compact"/>
              <w:jc w:val="center"/>
            </w:pPr>
            <w:r>
              <w:t xml:space="preserve">0.351</w:t>
            </w:r>
          </w:p>
        </w:tc>
      </w:tr>
      <w:tr>
        <w:tc>
          <w:tcPr/>
          <w:p>
            <w:pPr>
              <w:pStyle w:val="Compact"/>
              <w:jc w:val="left"/>
            </w:pPr>
            <w:r>
              <w:t xml:space="preserve">Avg. suspense</w:t>
            </w:r>
          </w:p>
        </w:tc>
        <w:tc>
          <w:tcPr/>
          <w:p>
            <w:pPr>
              <w:pStyle w:val="Compact"/>
              <w:jc w:val="center"/>
            </w:pPr>
            <w:r>
              <w:t xml:space="preserve">0.153</w:t>
            </w:r>
          </w:p>
        </w:tc>
        <w:tc>
          <w:tcPr/>
          <w:p>
            <w:pPr>
              <w:pStyle w:val="Compact"/>
              <w:jc w:val="center"/>
            </w:pPr>
            <w:r>
              <w:t xml:space="preserve">0.351</w:t>
            </w:r>
          </w:p>
        </w:tc>
        <w:tc>
          <w:tcPr/>
          <w:p>
            <w:pPr>
              <w:pStyle w:val="Compact"/>
              <w:jc w:val="center"/>
            </w:pPr>
            <w:r>
              <w:t xml:space="preserve">1.000</w:t>
            </w:r>
          </w:p>
        </w:tc>
      </w:tr>
    </w:tbl>
    <w:bookmarkEnd w:id="60"/>
    <w:p>
      <w:pPr>
        <w:pStyle w:val="BodyText"/>
      </w:pPr>
      <w:r>
        <w:t xml:space="preserve">For the World Cup (Tables </w:t>
      </w:r>
      <w:hyperlink w:anchor="tab:corr_wc">
        <w:r>
          <w:rPr>
            <w:rStyle w:val="Hyperlink"/>
          </w:rPr>
          <w:t xml:space="preserve">9</w:t>
        </w:r>
      </w:hyperlink>
      <w:r>
        <w:t xml:space="preserve"> </w:t>
      </w:r>
      <w:r>
        <w:t xml:space="preserve">and </w:t>
      </w:r>
      <w:hyperlink w:anchor="tab:corr_wc_mbm">
        <w:r>
          <w:rPr>
            <w:rStyle w:val="Hyperlink"/>
          </w:rPr>
          <w:t xml:space="preserve">10</w:t>
        </w:r>
      </w:hyperlink>
      <w:r>
        <w:t xml:space="preserve">), the number of changes in the qualifying composition is positively associated with aggregate suspense (correlations around 0.43–0.56), and slightly stronger under FIFA rules. In contrast to the European Championship, suspense is negatively related to group imbalance, indicating that more balanced groups tend to generate higher suspense.</w:t>
      </w:r>
    </w:p>
    <w:bookmarkStart w:id="61" w:name="tab:corr_wc"/>
    <w:p>
      <w:pPr>
        <w:pStyle w:val="TableCaption"/>
      </w:pPr>
      <w:r>
        <w:t xml:space="preserve">Correlation matrices for goals-based aggregation in FIFA World Cup</w:t>
      </w:r>
    </w:p>
    <w:tbl>
      <w:tblPr>
        <w:tblStyle w:val="Table"/>
        <w:tblW w:type="auto" w:w="0"/>
        <w:tblLook w:firstRow="1" w:lastRow="0" w:firstColumn="0" w:lastColumn="0" w:noHBand="0" w:noVBand="0" w:val="0020"/>
        <w:tblCaption w:val="Correlation matrices for goals-based aggregation in FIFA World Cup"/>
      </w:tblPr>
      <w:tblGrid>
        <w:gridCol w:w="1980"/>
        <w:gridCol w:w="1980"/>
        <w:gridCol w:w="1980"/>
        <w:gridCol w:w="1980"/>
      </w:tblGrid>
      <w:tr>
        <w:trPr>
          <w:tblHeader w:val="on"/>
        </w:trPr>
        <w:tc>
          <w:tcPr/>
          <w:p>
            <w:pPr>
              <w:pStyle w:val="Compact"/>
            </w:pPr>
          </w:p>
        </w:tc>
        <w:tc>
          <w:tcPr/>
          <w:p>
            <w:pPr>
              <w:pStyle w:val="Compact"/>
              <w:jc w:val="center"/>
            </w:pPr>
            <w:r>
              <w:t xml:space="preserve">Elo std</w:t>
            </w:r>
          </w:p>
        </w:tc>
        <w:tc>
          <w:tcPr/>
          <w:p>
            <w:pPr>
              <w:pStyle w:val="Compact"/>
              <w:jc w:val="center"/>
            </w:pPr>
            <w:r>
              <w:t xml:space="preserve">Avg. qual. count</w:t>
            </w:r>
          </w:p>
        </w:tc>
        <w:tc>
          <w:tcPr/>
          <w:p>
            <w:pPr>
              <w:pStyle w:val="Compact"/>
              <w:jc w:val="center"/>
            </w:pPr>
            <w:r>
              <w:t xml:space="preserve">Avg. suspense</w:t>
            </w:r>
          </w:p>
        </w:tc>
      </w:tr>
      <w:tr>
        <w:tc>
          <w:tcPr>
            <w:gridSpan w:val="4"/>
          </w:tcPr>
          <w:p>
            <w:pPr>
              <w:pStyle w:val="Compact"/>
              <w:jc w:val="left"/>
            </w:pPr>
            <w:r>
              <w:rPr>
                <w:b/>
                <w:bCs/>
              </w:rPr>
              <w:t xml:space="preserve">UEFA rule</w:t>
            </w:r>
          </w:p>
        </w:tc>
      </w:tr>
      <w:tr>
        <w:tc>
          <w:tcPr/>
          <w:p>
            <w:pPr>
              <w:pStyle w:val="Compact"/>
              <w:jc w:val="left"/>
            </w:pPr>
            <w:r>
              <w:t xml:space="preserve">Elo std</w:t>
            </w:r>
          </w:p>
        </w:tc>
        <w:tc>
          <w:tcPr/>
          <w:p>
            <w:pPr>
              <w:pStyle w:val="Compact"/>
              <w:jc w:val="center"/>
            </w:pPr>
            <w:r>
              <w:t xml:space="preserve">1.000</w:t>
            </w:r>
          </w:p>
        </w:tc>
        <w:tc>
          <w:tcPr/>
          <w:p>
            <w:pPr>
              <w:pStyle w:val="Compact"/>
              <w:jc w:val="center"/>
            </w:pPr>
            <w:r>
              <w:t xml:space="preserve">-0.064</w:t>
            </w:r>
          </w:p>
        </w:tc>
        <w:tc>
          <w:tcPr/>
          <w:p>
            <w:pPr>
              <w:pStyle w:val="Compact"/>
              <w:jc w:val="center"/>
            </w:pPr>
            <w:r>
              <w:t xml:space="preserve">-0.184</w:t>
            </w:r>
          </w:p>
        </w:tc>
      </w:tr>
      <w:tr>
        <w:tc>
          <w:tcPr/>
          <w:p>
            <w:pPr>
              <w:pStyle w:val="Compact"/>
              <w:jc w:val="left"/>
            </w:pPr>
            <w:r>
              <w:t xml:space="preserve">Avg. qual. count</w:t>
            </w:r>
          </w:p>
        </w:tc>
        <w:tc>
          <w:tcPr/>
          <w:p>
            <w:pPr>
              <w:pStyle w:val="Compact"/>
              <w:jc w:val="center"/>
            </w:pPr>
            <w:r>
              <w:t xml:space="preserve">-0.064</w:t>
            </w:r>
          </w:p>
        </w:tc>
        <w:tc>
          <w:tcPr/>
          <w:p>
            <w:pPr>
              <w:pStyle w:val="Compact"/>
              <w:jc w:val="center"/>
            </w:pPr>
            <w:r>
              <w:t xml:space="preserve">1.000</w:t>
            </w:r>
          </w:p>
        </w:tc>
        <w:tc>
          <w:tcPr/>
          <w:p>
            <w:pPr>
              <w:pStyle w:val="Compact"/>
              <w:jc w:val="center"/>
            </w:pPr>
            <w:r>
              <w:t xml:space="preserve">0.456</w:t>
            </w:r>
          </w:p>
        </w:tc>
      </w:tr>
      <w:tr>
        <w:tc>
          <w:tcPr/>
          <w:p>
            <w:pPr>
              <w:pStyle w:val="Compact"/>
              <w:jc w:val="left"/>
            </w:pPr>
            <w:r>
              <w:t xml:space="preserve">Avg. suspense</w:t>
            </w:r>
          </w:p>
        </w:tc>
        <w:tc>
          <w:tcPr/>
          <w:p>
            <w:pPr>
              <w:pStyle w:val="Compact"/>
              <w:jc w:val="center"/>
            </w:pPr>
            <w:r>
              <w:t xml:space="preserve">-0.184</w:t>
            </w:r>
          </w:p>
        </w:tc>
        <w:tc>
          <w:tcPr/>
          <w:p>
            <w:pPr>
              <w:pStyle w:val="Compact"/>
              <w:jc w:val="center"/>
            </w:pPr>
            <w:r>
              <w:t xml:space="preserve">0.456</w:t>
            </w:r>
          </w:p>
        </w:tc>
        <w:tc>
          <w:tcPr/>
          <w:p>
            <w:pPr>
              <w:pStyle w:val="Compact"/>
              <w:jc w:val="center"/>
            </w:pPr>
            <w:r>
              <w:t xml:space="preserve">1.000</w:t>
            </w:r>
          </w:p>
        </w:tc>
      </w:tr>
      <w:tr>
        <w:tc>
          <w:tcPr>
            <w:gridSpan w:val="4"/>
          </w:tcPr>
          <w:p>
            <w:pPr>
              <w:pStyle w:val="Compact"/>
              <w:jc w:val="left"/>
            </w:pPr>
            <w:r>
              <w:rPr>
                <w:b/>
                <w:bCs/>
              </w:rPr>
              <w:t xml:space="preserve">FIFA rule</w:t>
            </w:r>
          </w:p>
        </w:tc>
      </w:tr>
      <w:tr>
        <w:tc>
          <w:tcPr/>
          <w:p>
            <w:pPr>
              <w:pStyle w:val="Compact"/>
              <w:jc w:val="left"/>
            </w:pPr>
            <w:r>
              <w:t xml:space="preserve">Elo std</w:t>
            </w:r>
          </w:p>
        </w:tc>
        <w:tc>
          <w:tcPr/>
          <w:p>
            <w:pPr>
              <w:pStyle w:val="Compact"/>
              <w:jc w:val="center"/>
            </w:pPr>
            <w:r>
              <w:t xml:space="preserve">1.000</w:t>
            </w:r>
          </w:p>
        </w:tc>
        <w:tc>
          <w:tcPr/>
          <w:p>
            <w:pPr>
              <w:pStyle w:val="Compact"/>
              <w:jc w:val="center"/>
            </w:pPr>
            <w:r>
              <w:t xml:space="preserve">-0.060</w:t>
            </w:r>
          </w:p>
        </w:tc>
        <w:tc>
          <w:tcPr/>
          <w:p>
            <w:pPr>
              <w:pStyle w:val="Compact"/>
              <w:jc w:val="center"/>
            </w:pPr>
            <w:r>
              <w:t xml:space="preserve">-0.278</w:t>
            </w:r>
          </w:p>
        </w:tc>
      </w:tr>
      <w:tr>
        <w:tc>
          <w:tcPr/>
          <w:p>
            <w:pPr>
              <w:pStyle w:val="Compact"/>
              <w:jc w:val="left"/>
            </w:pPr>
            <w:r>
              <w:t xml:space="preserve">Avg. qual. count</w:t>
            </w:r>
          </w:p>
        </w:tc>
        <w:tc>
          <w:tcPr/>
          <w:p>
            <w:pPr>
              <w:pStyle w:val="Compact"/>
              <w:jc w:val="center"/>
            </w:pPr>
            <w:r>
              <w:t xml:space="preserve">-0.060</w:t>
            </w:r>
          </w:p>
        </w:tc>
        <w:tc>
          <w:tcPr/>
          <w:p>
            <w:pPr>
              <w:pStyle w:val="Compact"/>
              <w:jc w:val="center"/>
            </w:pPr>
            <w:r>
              <w:t xml:space="preserve">1.000</w:t>
            </w:r>
          </w:p>
        </w:tc>
        <w:tc>
          <w:tcPr/>
          <w:p>
            <w:pPr>
              <w:pStyle w:val="Compact"/>
              <w:jc w:val="center"/>
            </w:pPr>
            <w:r>
              <w:t xml:space="preserve">0.588</w:t>
            </w:r>
          </w:p>
        </w:tc>
      </w:tr>
      <w:tr>
        <w:tc>
          <w:tcPr/>
          <w:p>
            <w:pPr>
              <w:pStyle w:val="Compact"/>
              <w:jc w:val="left"/>
            </w:pPr>
            <w:r>
              <w:t xml:space="preserve">Avg. suspense</w:t>
            </w:r>
          </w:p>
        </w:tc>
        <w:tc>
          <w:tcPr/>
          <w:p>
            <w:pPr>
              <w:pStyle w:val="Compact"/>
              <w:jc w:val="center"/>
            </w:pPr>
            <w:r>
              <w:t xml:space="preserve">-0.278</w:t>
            </w:r>
          </w:p>
        </w:tc>
        <w:tc>
          <w:tcPr/>
          <w:p>
            <w:pPr>
              <w:pStyle w:val="Compact"/>
              <w:jc w:val="center"/>
            </w:pPr>
            <w:r>
              <w:t xml:space="preserve">0.588</w:t>
            </w:r>
          </w:p>
        </w:tc>
        <w:tc>
          <w:tcPr/>
          <w:p>
            <w:pPr>
              <w:pStyle w:val="Compact"/>
              <w:jc w:val="center"/>
            </w:pPr>
            <w:r>
              <w:t xml:space="preserve">1.000</w:t>
            </w:r>
          </w:p>
        </w:tc>
      </w:tr>
    </w:tbl>
    <w:bookmarkEnd w:id="61"/>
    <w:bookmarkStart w:id="62" w:name="tab:corr_wc_mbm"/>
    <w:p>
      <w:pPr>
        <w:pStyle w:val="TableCaption"/>
      </w:pPr>
      <w:r>
        <w:t xml:space="preserve">Correlation matrices for minute-by-minute aggregation in FIFA World Cup</w:t>
      </w:r>
    </w:p>
    <w:tbl>
      <w:tblPr>
        <w:tblStyle w:val="Table"/>
        <w:tblW w:type="auto" w:w="0"/>
        <w:tblLook w:firstRow="1" w:lastRow="0" w:firstColumn="0" w:lastColumn="0" w:noHBand="0" w:noVBand="0" w:val="0020"/>
        <w:tblCaption w:val="Correlation matrices for minute-by-minute aggregation in FIFA World Cup"/>
      </w:tblPr>
      <w:tblGrid>
        <w:gridCol w:w="1980"/>
        <w:gridCol w:w="1980"/>
        <w:gridCol w:w="1980"/>
        <w:gridCol w:w="1980"/>
      </w:tblGrid>
      <w:tr>
        <w:trPr>
          <w:tblHeader w:val="on"/>
        </w:trPr>
        <w:tc>
          <w:tcPr/>
          <w:p>
            <w:pPr>
              <w:pStyle w:val="Compact"/>
            </w:pPr>
          </w:p>
        </w:tc>
        <w:tc>
          <w:tcPr/>
          <w:p>
            <w:pPr>
              <w:pStyle w:val="Compact"/>
              <w:jc w:val="center"/>
            </w:pPr>
            <w:r>
              <w:t xml:space="preserve">Elo std</w:t>
            </w:r>
          </w:p>
        </w:tc>
        <w:tc>
          <w:tcPr/>
          <w:p>
            <w:pPr>
              <w:pStyle w:val="Compact"/>
              <w:jc w:val="center"/>
            </w:pPr>
            <w:r>
              <w:t xml:space="preserve">Avg. qual. count</w:t>
            </w:r>
          </w:p>
        </w:tc>
        <w:tc>
          <w:tcPr/>
          <w:p>
            <w:pPr>
              <w:pStyle w:val="Compact"/>
              <w:jc w:val="center"/>
            </w:pPr>
            <w:r>
              <w:t xml:space="preserve">Avg. suspense</w:t>
            </w:r>
          </w:p>
        </w:tc>
      </w:tr>
      <w:tr>
        <w:tc>
          <w:tcPr>
            <w:gridSpan w:val="4"/>
          </w:tcPr>
          <w:p>
            <w:pPr>
              <w:pStyle w:val="Compact"/>
              <w:jc w:val="left"/>
            </w:pPr>
            <w:r>
              <w:rPr>
                <w:b/>
                <w:bCs/>
              </w:rPr>
              <w:t xml:space="preserve">UEFA rule</w:t>
            </w:r>
          </w:p>
        </w:tc>
      </w:tr>
      <w:tr>
        <w:tc>
          <w:tcPr/>
          <w:p>
            <w:pPr>
              <w:pStyle w:val="Compact"/>
              <w:jc w:val="left"/>
            </w:pPr>
            <w:r>
              <w:t xml:space="preserve">Elo std</w:t>
            </w:r>
          </w:p>
        </w:tc>
        <w:tc>
          <w:tcPr/>
          <w:p>
            <w:pPr>
              <w:pStyle w:val="Compact"/>
              <w:jc w:val="center"/>
            </w:pPr>
            <w:r>
              <w:t xml:space="preserve">1.000</w:t>
            </w:r>
          </w:p>
        </w:tc>
        <w:tc>
          <w:tcPr/>
          <w:p>
            <w:pPr>
              <w:pStyle w:val="Compact"/>
              <w:jc w:val="center"/>
            </w:pPr>
            <w:r>
              <w:t xml:space="preserve">-0.006</w:t>
            </w:r>
          </w:p>
        </w:tc>
        <w:tc>
          <w:tcPr/>
          <w:p>
            <w:pPr>
              <w:pStyle w:val="Compact"/>
              <w:jc w:val="center"/>
            </w:pPr>
            <w:r>
              <w:t xml:space="preserve">-0.222</w:t>
            </w:r>
          </w:p>
        </w:tc>
      </w:tr>
      <w:tr>
        <w:tc>
          <w:tcPr/>
          <w:p>
            <w:pPr>
              <w:pStyle w:val="Compact"/>
              <w:jc w:val="left"/>
            </w:pPr>
            <w:r>
              <w:t xml:space="preserve">Avg. qual. count</w:t>
            </w:r>
          </w:p>
        </w:tc>
        <w:tc>
          <w:tcPr/>
          <w:p>
            <w:pPr>
              <w:pStyle w:val="Compact"/>
              <w:jc w:val="center"/>
            </w:pPr>
            <w:r>
              <w:t xml:space="preserve">-0.006</w:t>
            </w:r>
          </w:p>
        </w:tc>
        <w:tc>
          <w:tcPr/>
          <w:p>
            <w:pPr>
              <w:pStyle w:val="Compact"/>
              <w:jc w:val="center"/>
            </w:pPr>
            <w:r>
              <w:t xml:space="preserve">1.000</w:t>
            </w:r>
          </w:p>
        </w:tc>
        <w:tc>
          <w:tcPr/>
          <w:p>
            <w:pPr>
              <w:pStyle w:val="Compact"/>
              <w:jc w:val="center"/>
            </w:pPr>
            <w:r>
              <w:t xml:space="preserve">0.403</w:t>
            </w:r>
          </w:p>
        </w:tc>
      </w:tr>
      <w:tr>
        <w:tc>
          <w:tcPr/>
          <w:p>
            <w:pPr>
              <w:pStyle w:val="Compact"/>
              <w:jc w:val="left"/>
            </w:pPr>
            <w:r>
              <w:t xml:space="preserve">Avg. suspense</w:t>
            </w:r>
          </w:p>
        </w:tc>
        <w:tc>
          <w:tcPr/>
          <w:p>
            <w:pPr>
              <w:pStyle w:val="Compact"/>
              <w:jc w:val="center"/>
            </w:pPr>
            <w:r>
              <w:t xml:space="preserve">-0.222</w:t>
            </w:r>
          </w:p>
        </w:tc>
        <w:tc>
          <w:tcPr/>
          <w:p>
            <w:pPr>
              <w:pStyle w:val="Compact"/>
              <w:jc w:val="center"/>
            </w:pPr>
            <w:r>
              <w:t xml:space="preserve">0.403</w:t>
            </w:r>
          </w:p>
        </w:tc>
        <w:tc>
          <w:tcPr/>
          <w:p>
            <w:pPr>
              <w:pStyle w:val="Compact"/>
              <w:jc w:val="center"/>
            </w:pPr>
            <w:r>
              <w:t xml:space="preserve">1.000</w:t>
            </w:r>
          </w:p>
        </w:tc>
      </w:tr>
      <w:tr>
        <w:tc>
          <w:tcPr>
            <w:gridSpan w:val="4"/>
          </w:tcPr>
          <w:p>
            <w:pPr>
              <w:pStyle w:val="Compact"/>
              <w:jc w:val="left"/>
            </w:pPr>
            <w:r>
              <w:rPr>
                <w:b/>
                <w:bCs/>
              </w:rPr>
              <w:t xml:space="preserve">FIFA rule</w:t>
            </w:r>
          </w:p>
        </w:tc>
      </w:tr>
      <w:tr>
        <w:tc>
          <w:tcPr/>
          <w:p>
            <w:pPr>
              <w:pStyle w:val="Compact"/>
              <w:jc w:val="left"/>
            </w:pPr>
            <w:r>
              <w:t xml:space="preserve">Elo std</w:t>
            </w:r>
          </w:p>
        </w:tc>
        <w:tc>
          <w:tcPr/>
          <w:p>
            <w:pPr>
              <w:pStyle w:val="Compact"/>
              <w:jc w:val="center"/>
            </w:pPr>
            <w:r>
              <w:t xml:space="preserve">1.000</w:t>
            </w:r>
          </w:p>
        </w:tc>
        <w:tc>
          <w:tcPr/>
          <w:p>
            <w:pPr>
              <w:pStyle w:val="Compact"/>
              <w:jc w:val="center"/>
            </w:pPr>
            <w:r>
              <w:t xml:space="preserve">-0.006</w:t>
            </w:r>
          </w:p>
        </w:tc>
        <w:tc>
          <w:tcPr/>
          <w:p>
            <w:pPr>
              <w:pStyle w:val="Compact"/>
              <w:jc w:val="center"/>
            </w:pPr>
            <w:r>
              <w:t xml:space="preserve">-0.276</w:t>
            </w:r>
          </w:p>
        </w:tc>
      </w:tr>
      <w:tr>
        <w:tc>
          <w:tcPr/>
          <w:p>
            <w:pPr>
              <w:pStyle w:val="Compact"/>
              <w:jc w:val="left"/>
            </w:pPr>
            <w:r>
              <w:t xml:space="preserve">Avg. qual. count</w:t>
            </w:r>
          </w:p>
        </w:tc>
        <w:tc>
          <w:tcPr/>
          <w:p>
            <w:pPr>
              <w:pStyle w:val="Compact"/>
              <w:jc w:val="center"/>
            </w:pPr>
            <w:r>
              <w:t xml:space="preserve">-0.006</w:t>
            </w:r>
          </w:p>
        </w:tc>
        <w:tc>
          <w:tcPr/>
          <w:p>
            <w:pPr>
              <w:pStyle w:val="Compact"/>
              <w:jc w:val="center"/>
            </w:pPr>
            <w:r>
              <w:t xml:space="preserve">1.000</w:t>
            </w:r>
          </w:p>
        </w:tc>
        <w:tc>
          <w:tcPr/>
          <w:p>
            <w:pPr>
              <w:pStyle w:val="Compact"/>
              <w:jc w:val="center"/>
            </w:pPr>
            <w:r>
              <w:t xml:space="preserve">0.476</w:t>
            </w:r>
          </w:p>
        </w:tc>
      </w:tr>
      <w:tr>
        <w:tc>
          <w:tcPr/>
          <w:p>
            <w:pPr>
              <w:pStyle w:val="Compact"/>
              <w:jc w:val="left"/>
            </w:pPr>
            <w:r>
              <w:t xml:space="preserve">Avg. suspense</w:t>
            </w:r>
          </w:p>
        </w:tc>
        <w:tc>
          <w:tcPr/>
          <w:p>
            <w:pPr>
              <w:pStyle w:val="Compact"/>
              <w:jc w:val="center"/>
            </w:pPr>
            <w:r>
              <w:t xml:space="preserve">-0.276</w:t>
            </w:r>
          </w:p>
        </w:tc>
        <w:tc>
          <w:tcPr/>
          <w:p>
            <w:pPr>
              <w:pStyle w:val="Compact"/>
              <w:jc w:val="center"/>
            </w:pPr>
            <w:r>
              <w:t xml:space="preserve">0.476</w:t>
            </w:r>
          </w:p>
        </w:tc>
        <w:tc>
          <w:tcPr/>
          <w:p>
            <w:pPr>
              <w:pStyle w:val="Compact"/>
              <w:jc w:val="center"/>
            </w:pPr>
            <w:r>
              <w:t xml:space="preserve">1.000</w:t>
            </w:r>
          </w:p>
        </w:tc>
      </w:tr>
    </w:tbl>
    <w:bookmarkEnd w:id="62"/>
    <w:bookmarkEnd w:id="63"/>
    <w:bookmarkStart w:id="72" w:name="app:wc_trajectories"/>
    <w:p>
      <w:pPr>
        <w:pStyle w:val="Heading2"/>
      </w:pPr>
      <w:r>
        <w:t xml:space="preserve">World Cup Suspense Trajectories by Group Type</w:t>
      </w:r>
    </w:p>
    <w:p>
      <w:pPr>
        <w:pStyle w:val="FirstParagraph"/>
      </w:pPr>
      <w:r>
        <w:t xml:space="preserve">To examine whether the FIFA advantage translates into a more sustained distribution of suspense across the match, we classify World Cup groups as</w:t>
      </w:r>
      <w:r>
        <w:t xml:space="preserve"> </w:t>
      </w:r>
      <w:r>
        <w:rPr>
          <w:i/>
          <w:iCs/>
        </w:rPr>
        <w:t xml:space="preserve">stable</w:t>
      </w:r>
      <w:r>
        <w:t xml:space="preserve"> </w:t>
      </w:r>
      <w:r>
        <w:t xml:space="preserve">or</w:t>
      </w:r>
      <w:r>
        <w:t xml:space="preserve"> </w:t>
      </w:r>
      <w:r>
        <w:rPr>
          <w:i/>
          <w:iCs/>
        </w:rPr>
        <w:t xml:space="preserve">volatile</w:t>
      </w:r>
      <w:r>
        <w:t xml:space="preserve"> </w:t>
      </w:r>
      <w:r>
        <w:t xml:space="preserve">depending on whether their average number of qualification changes lies below or above the median, and trace the minute-by-minute suspense trajectory separately for each type.</w:t>
      </w:r>
    </w:p>
    <w:p>
      <w:pPr>
        <w:pStyle w:val="BodyText"/>
      </w:pPr>
      <w:r>
        <w:t xml:space="preserve">Volatile groups exhibit higher levels of suspense than stable ones under both rules. Under FIFA’s rules (Figure </w:t>
      </w:r>
      <w:hyperlink w:anchor="fig:susp_traj_wc_fifa">
        <w:r>
          <w:rPr>
            <w:rStyle w:val="Hyperlink"/>
          </w:rPr>
          <w:t xml:space="preserve">4</w:t>
        </w:r>
      </w:hyperlink>
      <w:r>
        <w:t xml:space="preserve">), the gap between stable and volatile groups is already substantial at kick-off (around 0.4 points) and remains large throughout, as both trajectories gradually decline over time. Under UEFA’s rules (Figure </w:t>
      </w:r>
      <w:hyperlink w:anchor="fig:susp_traj_wc_uefa">
        <w:r>
          <w:rPr>
            <w:rStyle w:val="Hyperlink"/>
          </w:rPr>
          <w:t xml:space="preserve">5</w:t>
        </w:r>
      </w:hyperlink>
      <w:r>
        <w:t xml:space="preserve">), the initial gap is more moderate (approximately 0.2 points) but widens considerably as the match progresses.</w:t>
      </w:r>
    </w:p>
    <w:bookmarkStart w:id="67" w:name="fig:susp_traj_wc_fifa"/>
    <w:p>
      <w:pPr>
        <w:pStyle w:val="CaptionedFigure"/>
      </w:pPr>
      <w:r>
        <w:drawing>
          <wp:inline>
            <wp:extent cx="5334000" cy="3185283"/>
            <wp:effectExtent b="0" l="0" r="0" t="0"/>
            <wp:docPr descr="" title="" id="65" name="Picture"/>
            <a:graphic>
              <a:graphicData uri="http://schemas.openxmlformats.org/drawingml/2006/picture">
                <pic:pic>
                  <pic:nvPicPr>
                    <pic:cNvPr descr="images/susp_traj_wc_fifa.png" id="66" name="Picture"/>
                    <pic:cNvPicPr>
                      <a:picLocks noChangeArrowheads="1" noChangeAspect="1"/>
                    </pic:cNvPicPr>
                  </pic:nvPicPr>
                  <pic:blipFill>
                    <a:blip r:embed="rId64"/>
                    <a:stretch>
                      <a:fillRect/>
                    </a:stretch>
                  </pic:blipFill>
                  <pic:spPr bwMode="auto">
                    <a:xfrm>
                      <a:off x="0" y="0"/>
                      <a:ext cx="5334000" cy="3185283"/>
                    </a:xfrm>
                    <a:prstGeom prst="rect">
                      <a:avLst/>
                    </a:prstGeom>
                    <a:noFill/>
                    <a:ln w="9525">
                      <a:noFill/>
                      <a:headEnd/>
                      <a:tailEnd/>
                    </a:ln>
                  </pic:spPr>
                </pic:pic>
              </a:graphicData>
            </a:graphic>
          </wp:inline>
        </w:drawing>
      </w:r>
    </w:p>
    <w:p>
      <w:pPr>
        <w:pStyle w:val="ImageCaption"/>
      </w:pPr>
      <w:r>
        <w:t xml:space="preserve">Suspense trajectories in World Cup groups (stable vs. volatile) under FIFA rules.</w:t>
      </w:r>
    </w:p>
    <w:bookmarkEnd w:id="67"/>
    <w:bookmarkStart w:id="71" w:name="fig:susp_traj_wc_uefa"/>
    <w:p>
      <w:pPr>
        <w:pStyle w:val="CaptionedFigure"/>
      </w:pPr>
      <w:r>
        <w:drawing>
          <wp:inline>
            <wp:extent cx="5334000" cy="3185283"/>
            <wp:effectExtent b="0" l="0" r="0" t="0"/>
            <wp:docPr descr="" title="" id="69" name="Picture"/>
            <a:graphic>
              <a:graphicData uri="http://schemas.openxmlformats.org/drawingml/2006/picture">
                <pic:pic>
                  <pic:nvPicPr>
                    <pic:cNvPr descr="images/susp_traj_wc_uefa.png" id="70" name="Picture"/>
                    <pic:cNvPicPr>
                      <a:picLocks noChangeArrowheads="1" noChangeAspect="1"/>
                    </pic:cNvPicPr>
                  </pic:nvPicPr>
                  <pic:blipFill>
                    <a:blip r:embed="rId68"/>
                    <a:stretch>
                      <a:fillRect/>
                    </a:stretch>
                  </pic:blipFill>
                  <pic:spPr bwMode="auto">
                    <a:xfrm>
                      <a:off x="0" y="0"/>
                      <a:ext cx="5334000" cy="3185283"/>
                    </a:xfrm>
                    <a:prstGeom prst="rect">
                      <a:avLst/>
                    </a:prstGeom>
                    <a:noFill/>
                    <a:ln w="9525">
                      <a:noFill/>
                      <a:headEnd/>
                      <a:tailEnd/>
                    </a:ln>
                  </pic:spPr>
                </pic:pic>
              </a:graphicData>
            </a:graphic>
          </wp:inline>
        </w:drawing>
      </w:r>
    </w:p>
    <w:p>
      <w:pPr>
        <w:pStyle w:val="ImageCaption"/>
      </w:pPr>
      <w:r>
        <w:t xml:space="preserve">Suspense trajectories in World Cup groups (stable vs. volatile) under UEFA rules.</w:t>
      </w:r>
    </w:p>
    <w:bookmarkEnd w:id="71"/>
    <w:bookmarkEnd w:id="72"/>
    <w:bookmarkStart w:id="111" w:name="app:euro_trajectories"/>
    <w:p>
      <w:pPr>
        <w:pStyle w:val="Heading2"/>
      </w:pPr>
      <w:r>
        <w:t xml:space="preserve">European Championship Suspense Trajectories</w:t>
      </w:r>
    </w:p>
    <w:p>
      <w:pPr>
        <w:pStyle w:val="FirstParagraph"/>
      </w:pPr>
      <w:r>
        <w:t xml:space="preserve">Figures </w:t>
      </w:r>
      <w:hyperlink w:anchor="fig:susp_traj_eu_uefa">
        <w:r>
          <w:rPr>
            <w:rStyle w:val="Hyperlink"/>
          </w:rPr>
          <w:t xml:space="preserve">6</w:t>
        </w:r>
      </w:hyperlink>
      <w:r>
        <w:t xml:space="preserve"> </w:t>
      </w:r>
      <w:r>
        <w:t xml:space="preserve">and </w:t>
      </w:r>
      <w:hyperlink w:anchor="fig:susp_traj_eu_fifa">
        <w:r>
          <w:rPr>
            <w:rStyle w:val="Hyperlink"/>
          </w:rPr>
          <w:t xml:space="preserve">7</w:t>
        </w:r>
      </w:hyperlink>
      <w:r>
        <w:t xml:space="preserve"> </w:t>
      </w:r>
      <w:r>
        <w:t xml:space="preserve">display the suspense trajectories for stable and volatile groups in the European Championship under UEFA and FIFA rules respectively. Under UEFA’s criteria (Figure </w:t>
      </w:r>
      <w:hyperlink w:anchor="fig:susp_traj_eu_uefa">
        <w:r>
          <w:rPr>
            <w:rStyle w:val="Hyperlink"/>
          </w:rPr>
          <w:t xml:space="preserve">6</w:t>
        </w:r>
      </w:hyperlink>
      <w:r>
        <w:t xml:space="preserve">), the difference between the two trajectories is minimal at the start and end of matches, with the largest gap emerging between the 30th and 50th minutes. Under FIFA’s criteria (Figure </w:t>
      </w:r>
      <w:hyperlink w:anchor="fig:susp_traj_eu_fifa">
        <w:r>
          <w:rPr>
            <w:rStyle w:val="Hyperlink"/>
          </w:rPr>
          <w:t xml:space="preserve">7</w:t>
        </w:r>
      </w:hyperlink>
      <w:r>
        <w:t xml:space="preserve">), the gap starts at about 0.3 points and gradually narrows toward 0.2 points. In both cases, the differences are smaller in magnitude than those observed in the World Cup, consistent with the null result from the statistical tests and the regression estimation.</w:t>
      </w:r>
    </w:p>
    <w:bookmarkStart w:id="76" w:name="fig:susp_traj_eu_uefa"/>
    <w:p>
      <w:pPr>
        <w:pStyle w:val="CaptionedFigure"/>
      </w:pPr>
      <w:r>
        <w:drawing>
          <wp:inline>
            <wp:extent cx="5334000" cy="3182062"/>
            <wp:effectExtent b="0" l="0" r="0" t="0"/>
            <wp:docPr descr="" title="" id="74" name="Picture"/>
            <a:graphic>
              <a:graphicData uri="http://schemas.openxmlformats.org/drawingml/2006/picture">
                <pic:pic>
                  <pic:nvPicPr>
                    <pic:cNvPr descr="images/susp_traj_eu_uefa.png" id="75" name="Picture"/>
                    <pic:cNvPicPr>
                      <a:picLocks noChangeArrowheads="1" noChangeAspect="1"/>
                    </pic:cNvPicPr>
                  </pic:nvPicPr>
                  <pic:blipFill>
                    <a:blip r:embed="rId73"/>
                    <a:stretch>
                      <a:fillRect/>
                    </a:stretch>
                  </pic:blipFill>
                  <pic:spPr bwMode="auto">
                    <a:xfrm>
                      <a:off x="0" y="0"/>
                      <a:ext cx="5334000" cy="3182062"/>
                    </a:xfrm>
                    <a:prstGeom prst="rect">
                      <a:avLst/>
                    </a:prstGeom>
                    <a:noFill/>
                    <a:ln w="9525">
                      <a:noFill/>
                      <a:headEnd/>
                      <a:tailEnd/>
                    </a:ln>
                  </pic:spPr>
                </pic:pic>
              </a:graphicData>
            </a:graphic>
          </wp:inline>
        </w:drawing>
      </w:r>
    </w:p>
    <w:p>
      <w:pPr>
        <w:pStyle w:val="ImageCaption"/>
      </w:pPr>
      <w:r>
        <w:t xml:space="preserve">Suspense trajectories in European Championship groups (stable vs. volatile) under UEFA rules.</w:t>
      </w:r>
    </w:p>
    <w:bookmarkEnd w:id="76"/>
    <w:bookmarkStart w:id="80" w:name="fig:susp_traj_eu_fifa"/>
    <w:p>
      <w:pPr>
        <w:pStyle w:val="CaptionedFigure"/>
      </w:pPr>
      <w:r>
        <w:drawing>
          <wp:inline>
            <wp:extent cx="5334000" cy="3182062"/>
            <wp:effectExtent b="0" l="0" r="0" t="0"/>
            <wp:docPr descr="" title="" id="78" name="Picture"/>
            <a:graphic>
              <a:graphicData uri="http://schemas.openxmlformats.org/drawingml/2006/picture">
                <pic:pic>
                  <pic:nvPicPr>
                    <pic:cNvPr descr="images/susp_traj_eu_fifa.png" id="79" name="Picture"/>
                    <pic:cNvPicPr>
                      <a:picLocks noChangeArrowheads="1" noChangeAspect="1"/>
                    </pic:cNvPicPr>
                  </pic:nvPicPr>
                  <pic:blipFill>
                    <a:blip r:embed="rId77"/>
                    <a:stretch>
                      <a:fillRect/>
                    </a:stretch>
                  </pic:blipFill>
                  <pic:spPr bwMode="auto">
                    <a:xfrm>
                      <a:off x="0" y="0"/>
                      <a:ext cx="5334000" cy="3182062"/>
                    </a:xfrm>
                    <a:prstGeom prst="rect">
                      <a:avLst/>
                    </a:prstGeom>
                    <a:noFill/>
                    <a:ln w="9525">
                      <a:noFill/>
                      <a:headEnd/>
                      <a:tailEnd/>
                    </a:ln>
                  </pic:spPr>
                </pic:pic>
              </a:graphicData>
            </a:graphic>
          </wp:inline>
        </w:drawing>
      </w:r>
    </w:p>
    <w:p>
      <w:pPr>
        <w:pStyle w:val="ImageCaption"/>
      </w:pPr>
      <w:r>
        <w:t xml:space="preserve">Suspense trajectories in European Championship groups (stable vs. volatile) under FIFA rules.</w:t>
      </w:r>
    </w:p>
    <w:bookmarkEnd w:id="80"/>
    <w:bookmarkStart w:id="110" w:name="refs"/>
    <w:bookmarkStart w:id="81" w:name="ref-alavy2010edge"/>
    <w:p>
      <w:pPr>
        <w:pStyle w:val="Bibliography"/>
      </w:pPr>
      <w:r>
        <w:t xml:space="preserve">Alavy, K., Gaskell, A., Leach, S., &amp; Szymanski, S. (2010). On the edge of your seat: Demand for football on television and the uncertainty of outcome hypothesis.</w:t>
      </w:r>
      <w:r>
        <w:t xml:space="preserve"> </w:t>
      </w:r>
      <w:r>
        <w:rPr>
          <w:i/>
          <w:iCs/>
        </w:rPr>
        <w:t xml:space="preserve">International Journal of Sport Finance</w:t>
      </w:r>
      <w:r>
        <w:t xml:space="preserve">,</w:t>
      </w:r>
      <w:r>
        <w:t xml:space="preserve"> </w:t>
      </w:r>
      <w:r>
        <w:rPr>
          <w:i/>
          <w:iCs/>
        </w:rPr>
        <w:t xml:space="preserve">5</w:t>
      </w:r>
      <w:r>
        <w:t xml:space="preserve">(2), 75.</w:t>
      </w:r>
    </w:p>
    <w:bookmarkEnd w:id="81"/>
    <w:bookmarkStart w:id="82" w:name="ref-berker2014tie"/>
    <w:p>
      <w:pPr>
        <w:pStyle w:val="Bibliography"/>
      </w:pPr>
      <w:r>
        <w:t xml:space="preserve">Berker, Y. (2014). Tie-breaking in round-robin soccer tournaments and its influence on the autonomy of relative rankings: UEFA vs. FIFA regulations.</w:t>
      </w:r>
      <w:r>
        <w:t xml:space="preserve"> </w:t>
      </w:r>
      <w:r>
        <w:rPr>
          <w:i/>
          <w:iCs/>
        </w:rPr>
        <w:t xml:space="preserve">European Sport Management Quarterly</w:t>
      </w:r>
      <w:r>
        <w:t xml:space="preserve">,</w:t>
      </w:r>
      <w:r>
        <w:t xml:space="preserve"> </w:t>
      </w:r>
      <w:r>
        <w:rPr>
          <w:i/>
          <w:iCs/>
        </w:rPr>
        <w:t xml:space="preserve">14</w:t>
      </w:r>
      <w:r>
        <w:t xml:space="preserve">(2), 194–210.</w:t>
      </w:r>
    </w:p>
    <w:bookmarkEnd w:id="82"/>
    <w:bookmarkStart w:id="83" w:name="ref-bizzozero2016importance"/>
    <w:p>
      <w:pPr>
        <w:pStyle w:val="Bibliography"/>
      </w:pPr>
      <w:r>
        <w:t xml:space="preserve">Bizzozero, P., Flepp, R., &amp; Franck, E. (2016). The importance of suspense and surprise in entertainment demand: Evidence from wimbledon.</w:t>
      </w:r>
      <w:r>
        <w:t xml:space="preserve"> </w:t>
      </w:r>
      <w:r>
        <w:rPr>
          <w:i/>
          <w:iCs/>
        </w:rPr>
        <w:t xml:space="preserve">Journal of Economic Behavior &amp; Organization</w:t>
      </w:r>
      <w:r>
        <w:t xml:space="preserve">,</w:t>
      </w:r>
      <w:r>
        <w:t xml:space="preserve"> </w:t>
      </w:r>
      <w:r>
        <w:rPr>
          <w:i/>
          <w:iCs/>
        </w:rPr>
        <w:t xml:space="preserve">130</w:t>
      </w:r>
      <w:r>
        <w:t xml:space="preserve">, 47–63.</w:t>
      </w:r>
    </w:p>
    <w:bookmarkEnd w:id="83"/>
    <w:bookmarkStart w:id="84" w:name="ref-buraimo2020unscripted"/>
    <w:p>
      <w:pPr>
        <w:pStyle w:val="Bibliography"/>
      </w:pPr>
      <w:r>
        <w:t xml:space="preserve">Buraimo, B., Forrest, D., McHale, I. G., &amp; Tena, J. de D. (2020). Unscripted drama: Soccer audience response to suspense, surprise, and shock.</w:t>
      </w:r>
      <w:r>
        <w:t xml:space="preserve"> </w:t>
      </w:r>
      <w:r>
        <w:rPr>
          <w:i/>
          <w:iCs/>
        </w:rPr>
        <w:t xml:space="preserve">Economic Inquiry</w:t>
      </w:r>
      <w:r>
        <w:t xml:space="preserve">,</w:t>
      </w:r>
      <w:r>
        <w:t xml:space="preserve"> </w:t>
      </w:r>
      <w:r>
        <w:rPr>
          <w:i/>
          <w:iCs/>
        </w:rPr>
        <w:t xml:space="preserve">58</w:t>
      </w:r>
      <w:r>
        <w:t xml:space="preserve">(2), 881–896.</w:t>
      </w:r>
    </w:p>
    <w:bookmarkEnd w:id="84"/>
    <w:bookmarkStart w:id="85" w:name="ref-buraimo2022armchair"/>
    <w:p>
      <w:pPr>
        <w:pStyle w:val="Bibliography"/>
      </w:pPr>
      <w:r>
        <w:t xml:space="preserve">Buraimo, B., Forrest, D., McHale, I. G., &amp; Tena, J. de D. (2022). Armchair fans: Modelling audience size for televised football matches.</w:t>
      </w:r>
      <w:r>
        <w:t xml:space="preserve"> </w:t>
      </w:r>
      <w:r>
        <w:rPr>
          <w:i/>
          <w:iCs/>
        </w:rPr>
        <w:t xml:space="preserve">European Journal of Operational Research</w:t>
      </w:r>
      <w:r>
        <w:t xml:space="preserve">,</w:t>
      </w:r>
      <w:r>
        <w:t xml:space="preserve"> </w:t>
      </w:r>
      <w:r>
        <w:rPr>
          <w:i/>
          <w:iCs/>
        </w:rPr>
        <w:t xml:space="preserve">298</w:t>
      </w:r>
      <w:r>
        <w:t xml:space="preserve">(2), 644–655.</w:t>
      </w:r>
    </w:p>
    <w:bookmarkEnd w:id="85"/>
    <w:bookmarkStart w:id="86" w:name="ref-chater2021fixing"/>
    <w:p>
      <w:pPr>
        <w:pStyle w:val="Bibliography"/>
      </w:pPr>
      <w:r>
        <w:t xml:space="preserve">Chater, M., Arrondel, L., Gayant, J.-P., &amp; Laslier, J.-F. (2021). Fixing match-fixing: Optimal schedules to promote competitiveness.</w:t>
      </w:r>
      <w:r>
        <w:t xml:space="preserve"> </w:t>
      </w:r>
      <w:r>
        <w:rPr>
          <w:i/>
          <w:iCs/>
        </w:rPr>
        <w:t xml:space="preserve">European Journal of Operational Research</w:t>
      </w:r>
      <w:r>
        <w:t xml:space="preserve">,</w:t>
      </w:r>
      <w:r>
        <w:t xml:space="preserve"> </w:t>
      </w:r>
      <w:r>
        <w:rPr>
          <w:i/>
          <w:iCs/>
        </w:rPr>
        <w:t xml:space="preserve">294</w:t>
      </w:r>
      <w:r>
        <w:t xml:space="preserve">(2), 673–683.</w:t>
      </w:r>
    </w:p>
    <w:bookmarkEnd w:id="86"/>
    <w:bookmarkStart w:id="87" w:name="ref-csato2020neither"/>
    <w:p>
      <w:pPr>
        <w:pStyle w:val="Bibliography"/>
      </w:pPr>
      <w:r>
        <w:t xml:space="preserve">Csató, L. (2020). When neither team wants to win: A flaw of recent UEFA qualification rules.</w:t>
      </w:r>
      <w:r>
        <w:t xml:space="preserve"> </w:t>
      </w:r>
      <w:r>
        <w:rPr>
          <w:i/>
          <w:iCs/>
        </w:rPr>
        <w:t xml:space="preserve">International Journal of Sports Science &amp; Coaching</w:t>
      </w:r>
      <w:r>
        <w:t xml:space="preserve">,</w:t>
      </w:r>
      <w:r>
        <w:t xml:space="preserve"> </w:t>
      </w:r>
      <w:r>
        <w:rPr>
          <w:i/>
          <w:iCs/>
        </w:rPr>
        <w:t xml:space="preserve">15</w:t>
      </w:r>
      <w:r>
        <w:t xml:space="preserve">(4), 526–532.</w:t>
      </w:r>
    </w:p>
    <w:bookmarkEnd w:id="87"/>
    <w:bookmarkStart w:id="88" w:name="ref-csato2023avoid"/>
    <w:p>
      <w:pPr>
        <w:pStyle w:val="Bibliography"/>
      </w:pPr>
      <w:r>
        <w:t xml:space="preserve">Csató, L. (2023). How to avoid uncompetitive games? The importance of tie-breaking rules.</w:t>
      </w:r>
      <w:r>
        <w:t xml:space="preserve"> </w:t>
      </w:r>
      <w:r>
        <w:rPr>
          <w:i/>
          <w:iCs/>
        </w:rPr>
        <w:t xml:space="preserve">European Journal of Operational Research</w:t>
      </w:r>
      <w:r>
        <w:t xml:space="preserve">,</w:t>
      </w:r>
      <w:r>
        <w:t xml:space="preserve"> </w:t>
      </w:r>
      <w:r>
        <w:rPr>
          <w:i/>
          <w:iCs/>
        </w:rPr>
        <w:t xml:space="preserve">307</w:t>
      </w:r>
      <w:r>
        <w:t xml:space="preserve">(3), 1260–1269.</w:t>
      </w:r>
    </w:p>
    <w:bookmarkEnd w:id="88"/>
    <w:bookmarkStart w:id="89" w:name="ref-csato2025increasing"/>
    <w:p>
      <w:pPr>
        <w:pStyle w:val="Bibliography"/>
      </w:pPr>
      <w:r>
        <w:t xml:space="preserve">Csató, L., &amp; Gyimesi, A. (2025). Increasing competitiveness by imbalanced groups: The example of the 48-team FIFA world cup.</w:t>
      </w:r>
      <w:r>
        <w:t xml:space="preserve"> </w:t>
      </w:r>
      <w:r>
        <w:rPr>
          <w:i/>
          <w:iCs/>
        </w:rPr>
        <w:t xml:space="preserve">arXiv Preprint arXiv:2502.08565</w:t>
      </w:r>
      <w:r>
        <w:t xml:space="preserve">.</w:t>
      </w:r>
    </w:p>
    <w:bookmarkEnd w:id="89"/>
    <w:bookmarkStart w:id="90" w:name="ref-csato2026match"/>
    <w:p>
      <w:pPr>
        <w:pStyle w:val="Bibliography"/>
      </w:pPr>
      <w:r>
        <w:t xml:space="preserve">Csató, L., &amp; Gyimesi, A. (2026). Match classification in the last round of four-team round-robin tournaments.</w:t>
      </w:r>
      <w:r>
        <w:t xml:space="preserve"> </w:t>
      </w:r>
      <w:r>
        <w:rPr>
          <w:i/>
          <w:iCs/>
        </w:rPr>
        <w:t xml:space="preserve">arXiv Preprint arXiv:2605.25610</w:t>
      </w:r>
      <w:r>
        <w:t xml:space="preserve">.</w:t>
      </w:r>
    </w:p>
    <w:bookmarkEnd w:id="90"/>
    <w:bookmarkStart w:id="91" w:name="ref-ely2015suspense"/>
    <w:p>
      <w:pPr>
        <w:pStyle w:val="Bibliography"/>
      </w:pPr>
      <w:r>
        <w:t xml:space="preserve">Ely, J., Frankel, A., &amp; Kamenica, E. (2015). Suspense and surprise.</w:t>
      </w:r>
      <w:r>
        <w:t xml:space="preserve"> </w:t>
      </w:r>
      <w:r>
        <w:rPr>
          <w:i/>
          <w:iCs/>
        </w:rPr>
        <w:t xml:space="preserve">Journal of Political Economy</w:t>
      </w:r>
      <w:r>
        <w:t xml:space="preserve">,</w:t>
      </w:r>
      <w:r>
        <w:t xml:space="preserve"> </w:t>
      </w:r>
      <w:r>
        <w:rPr>
          <w:i/>
          <w:iCs/>
        </w:rPr>
        <w:t xml:space="preserve">123</w:t>
      </w:r>
      <w:r>
        <w:t xml:space="preserve">(1), 215–260.</w:t>
      </w:r>
    </w:p>
    <w:bookmarkEnd w:id="91"/>
    <w:bookmarkStart w:id="93" w:name="ref-fifa2022finance"/>
    <w:p>
      <w:pPr>
        <w:pStyle w:val="Bibliography"/>
      </w:pPr>
      <w:r>
        <w:t xml:space="preserve">FIFA. (2022).</w:t>
      </w:r>
      <w:r>
        <w:t xml:space="preserve"> </w:t>
      </w:r>
      <w:r>
        <w:rPr>
          <w:i/>
          <w:iCs/>
        </w:rPr>
        <w:t xml:space="preserve">FIFA annual report 2022: 2019–2022 cycle in review</w:t>
      </w:r>
      <w:r>
        <w:t xml:space="preserve">.</w:t>
      </w:r>
      <w:r>
        <w:t xml:space="preserve"> </w:t>
      </w:r>
      <w:hyperlink r:id="rId92">
        <w:r>
          <w:rPr>
            <w:rStyle w:val="Hyperlink"/>
          </w:rPr>
          <w:t xml:space="preserve">https://publications.fifa.com/en/annual-report-2022/finances/2019-2022-cycle-in-review/2019-2022-revenue</w:t>
        </w:r>
      </w:hyperlink>
      <w:r>
        <w:t xml:space="preserve">.</w:t>
      </w:r>
    </w:p>
    <w:bookmarkEnd w:id="93"/>
    <w:bookmarkStart w:id="95" w:name="ref-fifa2022engagement"/>
    <w:p>
      <w:pPr>
        <w:pStyle w:val="Bibliography"/>
      </w:pPr>
      <w:r>
        <w:t xml:space="preserve">FIFA. (2023a).</w:t>
      </w:r>
      <w:r>
        <w:t xml:space="preserve"> </w:t>
      </w:r>
      <w:r>
        <w:rPr>
          <w:i/>
          <w:iCs/>
        </w:rPr>
        <w:t xml:space="preserve">FIFA world cup qatar 2022: Total media engagement report</w:t>
      </w:r>
      <w:r>
        <w:t xml:space="preserve">.</w:t>
      </w:r>
      <w:r>
        <w:t xml:space="preserve"> </w:t>
      </w:r>
      <w:hyperlink r:id="rId94">
        <w:r>
          <w:rPr>
            <w:rStyle w:val="Hyperlink"/>
          </w:rPr>
          <w:t xml:space="preserve">https://inside.fifa.com/tournament-organisation/audience-reports/qatar-2022/total-media-engagement</w:t>
        </w:r>
      </w:hyperlink>
      <w:r>
        <w:t xml:space="preserve">.</w:t>
      </w:r>
    </w:p>
    <w:bookmarkEnd w:id="95"/>
    <w:bookmarkStart w:id="97" w:name="ref-fifa2022audience"/>
    <w:p>
      <w:pPr>
        <w:pStyle w:val="Bibliography"/>
      </w:pPr>
      <w:r>
        <w:t xml:space="preserve">FIFA. (2023b).</w:t>
      </w:r>
      <w:r>
        <w:t xml:space="preserve"> </w:t>
      </w:r>
      <w:r>
        <w:rPr>
          <w:i/>
          <w:iCs/>
        </w:rPr>
        <w:t xml:space="preserve">Global engagement &amp; audience report (executive summary)</w:t>
      </w:r>
      <w:r>
        <w:t xml:space="preserve">.</w:t>
      </w:r>
      <w:r>
        <w:t xml:space="preserve"> </w:t>
      </w:r>
      <w:hyperlink r:id="rId96">
        <w:r>
          <w:rPr>
            <w:rStyle w:val="Hyperlink"/>
          </w:rPr>
          <w:t xml:space="preserve">https://inside.fifa.com/tournament-organisation/audience-reports/qatar-2022</w:t>
        </w:r>
      </w:hyperlink>
      <w:r>
        <w:t xml:space="preserve">.</w:t>
      </w:r>
    </w:p>
    <w:bookmarkEnd w:id="97"/>
    <w:bookmarkStart w:id="98" w:name="ref-flepp2026suspense"/>
    <w:p>
      <w:pPr>
        <w:pStyle w:val="Bibliography"/>
      </w:pPr>
      <w:r>
        <w:t xml:space="preserve">Flepp, R., Pawlowski, T., &amp; Richardson, T. (2026). Suspense and surprise in european football.</w:t>
      </w:r>
      <w:r>
        <w:t xml:space="preserve"> </w:t>
      </w:r>
      <w:r>
        <w:rPr>
          <w:i/>
          <w:iCs/>
        </w:rPr>
        <w:t xml:space="preserve">European Journal of Operational Research</w:t>
      </w:r>
      <w:r>
        <w:t xml:space="preserve">.</w:t>
      </w:r>
    </w:p>
    <w:bookmarkEnd w:id="98"/>
    <w:bookmarkStart w:id="99" w:name="ref-guajardo2024tournament"/>
    <w:p>
      <w:pPr>
        <w:pStyle w:val="Bibliography"/>
      </w:pPr>
      <w:r>
        <w:t xml:space="preserve">Guajardo, M., &amp; Krumer, A. (2024). Tournament design for a FIFA world cup with 12 four-team groups: Every win matters. In</w:t>
      </w:r>
      <w:r>
        <w:t xml:space="preserve"> </w:t>
      </w:r>
      <w:r>
        <w:rPr>
          <w:i/>
          <w:iCs/>
        </w:rPr>
        <w:t xml:space="preserve">The palgrave handbook on the economics of manipulation in sport</w:t>
      </w:r>
      <w:r>
        <w:t xml:space="preserve"> </w:t>
      </w:r>
      <w:r>
        <w:t xml:space="preserve">(pp. 207–230). Springer.</w:t>
      </w:r>
    </w:p>
    <w:bookmarkEnd w:id="99"/>
    <w:bookmarkStart w:id="100" w:name="ref-lapre2022quantifying"/>
    <w:p>
      <w:pPr>
        <w:pStyle w:val="Bibliography"/>
      </w:pPr>
      <w:r>
        <w:t xml:space="preserve">Lapré, M. A., &amp; Palazzolo, E. M. (2022). Quantifying the impact of imbalanced groups in FIFA women’s world cup tournaments 1991–2019.</w:t>
      </w:r>
      <w:r>
        <w:t xml:space="preserve"> </w:t>
      </w:r>
      <w:r>
        <w:rPr>
          <w:i/>
          <w:iCs/>
        </w:rPr>
        <w:t xml:space="preserve">Journal of Quantitative Analysis in Sports</w:t>
      </w:r>
      <w:r>
        <w:t xml:space="preserve">,</w:t>
      </w:r>
      <w:r>
        <w:t xml:space="preserve"> </w:t>
      </w:r>
      <w:r>
        <w:rPr>
          <w:i/>
          <w:iCs/>
        </w:rPr>
        <w:t xml:space="preserve">18</w:t>
      </w:r>
      <w:r>
        <w:t xml:space="preserve">(3), 187–199.</w:t>
      </w:r>
    </w:p>
    <w:bookmarkEnd w:id="100"/>
    <w:bookmarkStart w:id="101" w:name="ref-lapre2023evolution"/>
    <w:p>
      <w:pPr>
        <w:pStyle w:val="Bibliography"/>
      </w:pPr>
      <w:r>
        <w:t xml:space="preserve">Lapré, M. A., &amp; Palazzolo, E. M. (2023). The evolution of seeding systems and the impact of imbalanced groups in FIFA men’s world cup tournaments 1954–2022.</w:t>
      </w:r>
      <w:r>
        <w:t xml:space="preserve"> </w:t>
      </w:r>
      <w:r>
        <w:rPr>
          <w:i/>
          <w:iCs/>
        </w:rPr>
        <w:t xml:space="preserve">Journal of Quantitative Analysis in Sports</w:t>
      </w:r>
      <w:r>
        <w:t xml:space="preserve">,</w:t>
      </w:r>
      <w:r>
        <w:t xml:space="preserve"> </w:t>
      </w:r>
      <w:r>
        <w:rPr>
          <w:i/>
          <w:iCs/>
        </w:rPr>
        <w:t xml:space="preserve">19</w:t>
      </w:r>
      <w:r>
        <w:t xml:space="preserve">(4), 317–332.</w:t>
      </w:r>
    </w:p>
    <w:bookmarkEnd w:id="101"/>
    <w:bookmarkStart w:id="102" w:name="ref-renno2023double"/>
    <w:p>
      <w:pPr>
        <w:pStyle w:val="Bibliography"/>
      </w:pPr>
      <w:r>
        <w:t xml:space="preserve">Rennó-Costa, C. (2023). A double-elimination format for a 48-team FIFA world cup.</w:t>
      </w:r>
      <w:r>
        <w:t xml:space="preserve"> </w:t>
      </w:r>
      <w:r>
        <w:rPr>
          <w:i/>
          <w:iCs/>
        </w:rPr>
        <w:t xml:space="preserve">arXiv Preprint arXiv:2301.03411</w:t>
      </w:r>
      <w:r>
        <w:t xml:space="preserve">.</w:t>
      </w:r>
    </w:p>
    <w:bookmarkEnd w:id="102"/>
    <w:bookmarkStart w:id="104" w:name="ref-uefa2024numbers"/>
    <w:p>
      <w:pPr>
        <w:pStyle w:val="Bibliography"/>
      </w:pPr>
      <w:r>
        <w:t xml:space="preserve">SportsPro Media. (2024).</w:t>
      </w:r>
      <w:r>
        <w:t xml:space="preserve"> </w:t>
      </w:r>
      <w:r>
        <w:rPr>
          <w:i/>
          <w:iCs/>
        </w:rPr>
        <w:t xml:space="preserve">Euro 2024 in numbers: Attendance, TV ratings, and social media impact</w:t>
      </w:r>
      <w:r>
        <w:t xml:space="preserve">.</w:t>
      </w:r>
      <w:r>
        <w:t xml:space="preserve"> </w:t>
      </w:r>
      <w:hyperlink r:id="rId103">
        <w:r>
          <w:rPr>
            <w:rStyle w:val="Hyperlink"/>
          </w:rPr>
          <w:t xml:space="preserve">https://www.sportspro.com/insights/analysis/euro-2024-stats-tv-ratings-viewership-attendance-social-media-sales</w:t>
        </w:r>
      </w:hyperlink>
      <w:r>
        <w:t xml:space="preserve">.</w:t>
      </w:r>
    </w:p>
    <w:bookmarkEnd w:id="104"/>
    <w:bookmarkStart w:id="105" w:name="ref-szczecinski2022fifa"/>
    <w:p>
      <w:pPr>
        <w:pStyle w:val="Bibliography"/>
      </w:pPr>
      <w:r>
        <w:t xml:space="preserve">Szczecinski, L., &amp; Roatis, I.-I. (2022). FIFA ranking: Evaluation and path forward.</w:t>
      </w:r>
      <w:r>
        <w:t xml:space="preserve"> </w:t>
      </w:r>
      <w:r>
        <w:rPr>
          <w:i/>
          <w:iCs/>
        </w:rPr>
        <w:t xml:space="preserve">Journal of Sports Analytics</w:t>
      </w:r>
      <w:r>
        <w:t xml:space="preserve">,</w:t>
      </w:r>
      <w:r>
        <w:t xml:space="preserve"> </w:t>
      </w:r>
      <w:r>
        <w:rPr>
          <w:i/>
          <w:iCs/>
        </w:rPr>
        <w:t xml:space="preserve">8</w:t>
      </w:r>
      <w:r>
        <w:t xml:space="preserve">(4), 231–250.</w:t>
      </w:r>
    </w:p>
    <w:bookmarkEnd w:id="105"/>
    <w:bookmarkStart w:id="106" w:name="ref-troyano2023new"/>
    <w:p>
      <w:pPr>
        <w:pStyle w:val="Bibliography"/>
      </w:pPr>
      <w:r>
        <w:t xml:space="preserve">Troyano, J. A. (2023). A new competition format to avoid collusion in three-team sports tournaments.</w:t>
      </w:r>
      <w:r>
        <w:t xml:space="preserve"> </w:t>
      </w:r>
      <w:r>
        <w:rPr>
          <w:i/>
          <w:iCs/>
        </w:rPr>
        <w:t xml:space="preserve">arXiv Preprint arXiv:2308.02507</w:t>
      </w:r>
      <w:r>
        <w:t xml:space="preserve">.</w:t>
      </w:r>
    </w:p>
    <w:bookmarkEnd w:id="106"/>
    <w:bookmarkStart w:id="107" w:name="ref-uefa2024remember"/>
    <w:p>
      <w:pPr>
        <w:pStyle w:val="Bibliography"/>
      </w:pPr>
      <w:r>
        <w:t xml:space="preserve">UEFA. (2024).</w:t>
      </w:r>
      <w:r>
        <w:t xml:space="preserve"> </w:t>
      </w:r>
      <w:r>
        <w:rPr>
          <w:i/>
          <w:iCs/>
        </w:rPr>
        <w:t xml:space="preserve">A EURO to remember</w:t>
      </w:r>
      <w:r>
        <w:t xml:space="preserve">. https://www.uefa.com/uefaeuro/history/news/0290-1ba5adefab2e-16914ae7e74f-1000–a-euro-to-remember/.</w:t>
      </w:r>
    </w:p>
    <w:bookmarkEnd w:id="107"/>
    <w:bookmarkStart w:id="108" w:name="ref-vorderer2004enjoyment"/>
    <w:p>
      <w:pPr>
        <w:pStyle w:val="Bibliography"/>
      </w:pPr>
      <w:r>
        <w:t xml:space="preserve">Vorderer, P., Klimmt, C., &amp; Ritterfeld, U. (2004). Enjoyment: At the heart of media entertainment.</w:t>
      </w:r>
      <w:r>
        <w:t xml:space="preserve"> </w:t>
      </w:r>
      <w:r>
        <w:rPr>
          <w:i/>
          <w:iCs/>
        </w:rPr>
        <w:t xml:space="preserve">Communication Theory</w:t>
      </w:r>
      <w:r>
        <w:t xml:space="preserve">,</w:t>
      </w:r>
      <w:r>
        <w:t xml:space="preserve"> </w:t>
      </w:r>
      <w:r>
        <w:rPr>
          <w:i/>
          <w:iCs/>
        </w:rPr>
        <w:t xml:space="preserve">14</w:t>
      </w:r>
      <w:r>
        <w:t xml:space="preserve">(4), 388–408.</w:t>
      </w:r>
    </w:p>
    <w:bookmarkEnd w:id="108"/>
    <w:bookmarkStart w:id="109" w:name="ref-zillmann2013psychology"/>
    <w:p>
      <w:pPr>
        <w:pStyle w:val="Bibliography"/>
      </w:pPr>
      <w:r>
        <w:t xml:space="preserve">Zillmann, D. (2013). The psychology of suspense in dramatic exposition. In</w:t>
      </w:r>
      <w:r>
        <w:t xml:space="preserve"> </w:t>
      </w:r>
      <w:r>
        <w:rPr>
          <w:i/>
          <w:iCs/>
        </w:rPr>
        <w:t xml:space="preserve">Suspense</w:t>
      </w:r>
      <w:r>
        <w:t xml:space="preserve"> </w:t>
      </w:r>
      <w:r>
        <w:t xml:space="preserve">(pp. 199–231). Routledge.</w:t>
      </w:r>
    </w:p>
    <w:bookmarkEnd w:id="109"/>
    <w:bookmarkEnd w:id="110"/>
    <w:bookmarkEnd w:id="111"/>
    <w:bookmarkEnd w:id="1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77" Target="media/rId77.png" /><Relationship Type="http://schemas.openxmlformats.org/officeDocument/2006/relationships/image" Id="rId73" Target="media/rId73.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hyperlink" Id="rId96" Target="https://inside.fifa.com/tournament-organisation/audience-reports/qatar-2022" TargetMode="External" /><Relationship Type="http://schemas.openxmlformats.org/officeDocument/2006/relationships/hyperlink" Id="rId94" Target="https://inside.fifa.com/tournament-organisation/audience-reports/qatar-2022/total-media-engagement" TargetMode="External" /><Relationship Type="http://schemas.openxmlformats.org/officeDocument/2006/relationships/hyperlink" Id="rId92" Target="https://publications.fifa.com/en/annual-report-2022/finances/2019-2022-cycle-in-review/2019-2022-revenue" TargetMode="External" /><Relationship Type="http://schemas.openxmlformats.org/officeDocument/2006/relationships/hyperlink" Id="rId11" Target="https://www.international-football.net/" TargetMode="External" /><Relationship Type="http://schemas.openxmlformats.org/officeDocument/2006/relationships/hyperlink" Id="rId103" Target="https://www.sportspro.com/insights/analysis/euro-2024-stats-tv-ratings-viewership-attendance-social-media-sales" TargetMode="External" /></Relationships>
</file>

<file path=word/_rels/footnotes.xml.rels><?xml version="1.0" encoding="UTF-8"?><Relationships xmlns="http://schemas.openxmlformats.org/package/2006/relationships"><Relationship Type="http://schemas.openxmlformats.org/officeDocument/2006/relationships/hyperlink" Id="rId96" Target="https://inside.fifa.com/tournament-organisation/audience-reports/qatar-2022" TargetMode="External" /><Relationship Type="http://schemas.openxmlformats.org/officeDocument/2006/relationships/hyperlink" Id="rId94" Target="https://inside.fifa.com/tournament-organisation/audience-reports/qatar-2022/total-media-engagement" TargetMode="External" /><Relationship Type="http://schemas.openxmlformats.org/officeDocument/2006/relationships/hyperlink" Id="rId92" Target="https://publications.fifa.com/en/annual-report-2022/finances/2019-2022-cycle-in-review/2019-2022-revenue" TargetMode="External" /><Relationship Type="http://schemas.openxmlformats.org/officeDocument/2006/relationships/hyperlink" Id="rId11" Target="https://www.international-football.net/" TargetMode="External" /><Relationship Type="http://schemas.openxmlformats.org/officeDocument/2006/relationships/hyperlink" Id="rId103" Target="https://www.sportspro.com/insights/analysis/euro-2024-stats-tv-ratings-viewership-attendance-social-media-sa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UEFA vs FIFA Tie Break: Which Creates More Suspense?</dc:title>
  <dc:creator>Alessandro Di Mattia and Alex Krumer</dc:creator>
  <cp:keywords/>
  <dcterms:created xsi:type="dcterms:W3CDTF">2026-07-23T10:47:13Z</dcterms:created>
  <dcterms:modified xsi:type="dcterms:W3CDTF">2026-07-23T10:47:13Z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provides empirical evidence on how tie-breaking rules shape group-level suspense in international football tournaments. By comparing the goal-difference criterion used by FIFA in the World Cup with the head-to-head criterion used by UEFA in the European Championship, we construct a binary suspense indicator that captures whether a single goal could alter the composition of teams qualifying for the knockout stage. Within-group paired tests show that FIFA rules generate significantly higher group-level suspense in the World Cup (p &lt; 0.01), while the difference is insignificant in the European Championship. A cross-tournament logit regression controlling for competitive balance finds that World Cup goals are individually less likely to change the qualifying composition — consistent with the FIFA criterion distributing uncertainty more evenly over the group stage rather than concentrating it in a few decisive goals. We further show that suspense under FIFA rules is more stable and persistent over the 90 minutes of play. Together, the evidence points to FIFA’s goal-difference criterion as generating more sustained group-level uncertainty in the World Cup.</vt:lpwstr>
  </property>
  <property fmtid="{D5CDD505-2E9C-101B-9397-08002B2CF9AE}" pid="3" name="bibliography">
    <vt:lpwstr>reference.bib</vt:lpwstr>
  </property>
  <property fmtid="{D5CDD505-2E9C-101B-9397-08002B2CF9AE}" pid="4" name="csl">
    <vt:lpwstr>apa.csl</vt:lpwstr>
  </property>
  <property fmtid="{D5CDD505-2E9C-101B-9397-08002B2CF9AE}" pid="5" name="date">
    <vt:lpwstr/>
  </property>
</Properties>
</file>