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410"/>
        <w:gridCol w:w="1253"/>
        <w:gridCol w:w="1462"/>
        <w:gridCol w:w="2669"/>
        <w:gridCol w:w="2863"/>
        <w:gridCol w:w="1754"/>
      </w:tblGrid>
      <w:tr w:rsidR="00A26BEB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E25B24">
        <w:trPr>
          <w:trHeight w:val="2100"/>
        </w:trPr>
        <w:tc>
          <w:tcPr>
            <w:tcW w:w="698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698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69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8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810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698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9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E25B24">
        <w:trPr>
          <w:trHeight w:val="2100"/>
        </w:trPr>
        <w:tc>
          <w:tcPr>
            <w:tcW w:w="698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698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698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98" w:type="pct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810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698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99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</w:t>
            </w:r>
            <w:r>
              <w:lastRenderedPageBreak/>
              <w:t xml:space="preserve">contribute to 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E25B24">
        <w:trPr>
          <w:trHeight w:val="2100"/>
        </w:trPr>
        <w:tc>
          <w:tcPr>
            <w:tcW w:w="698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698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proofErr w:type="spellStart"/>
            <w:r w:rsidRPr="00173192">
              <w:rPr>
                <w:lang w:val="nb-NO"/>
              </w:rPr>
              <w:t>Jerey</w:t>
            </w:r>
            <w:proofErr w:type="spellEnd"/>
            <w:r w:rsidRPr="00173192">
              <w:rPr>
                <w:lang w:val="nb-NO"/>
              </w:rPr>
              <w:t xml:space="preserve"> </w:t>
            </w:r>
            <w:proofErr w:type="spellStart"/>
            <w:r w:rsidRPr="00173192">
              <w:rPr>
                <w:lang w:val="nb-NO"/>
              </w:rPr>
              <w:t>Ely</w:t>
            </w:r>
            <w:proofErr w:type="spellEnd"/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Alexander </w:t>
            </w:r>
            <w:proofErr w:type="spellStart"/>
            <w:r w:rsidRPr="00173192">
              <w:rPr>
                <w:lang w:val="nb-NO"/>
              </w:rPr>
              <w:t>Frankel</w:t>
            </w:r>
            <w:proofErr w:type="spellEnd"/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Emir </w:t>
            </w:r>
            <w:proofErr w:type="spellStart"/>
            <w:r w:rsidRPr="00173192">
              <w:rPr>
                <w:lang w:val="nb-NO"/>
              </w:rPr>
              <w:t>Kamenica</w:t>
            </w:r>
            <w:proofErr w:type="spellEnd"/>
          </w:p>
        </w:tc>
        <w:tc>
          <w:tcPr>
            <w:tcW w:w="698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698" w:type="pct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</w:t>
            </w:r>
            <w:proofErr w:type="spellStart"/>
            <w:r>
              <w:rPr>
                <w:lang w:val="nb-NO"/>
              </w:rPr>
              <w:t>of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Political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Economy</w:t>
            </w:r>
            <w:proofErr w:type="spellEnd"/>
            <w:r>
              <w:rPr>
                <w:lang w:val="nb-NO"/>
              </w:rPr>
              <w:t xml:space="preserve"> </w:t>
            </w:r>
          </w:p>
        </w:tc>
        <w:tc>
          <w:tcPr>
            <w:tcW w:w="810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698" w:type="pct"/>
          </w:tcPr>
          <w:p w14:paraId="5FF857B3" w14:textId="6E870A8E" w:rsidR="00173192" w:rsidRPr="00453AF1" w:rsidRDefault="00173192">
            <w:pPr>
              <w:rPr>
                <w:lang w:val="it-IT"/>
              </w:rPr>
            </w:pPr>
            <w:r>
              <w:t xml:space="preserve">Definition of surprise and suspense </w:t>
            </w:r>
          </w:p>
        </w:tc>
        <w:tc>
          <w:tcPr>
            <w:tcW w:w="699" w:type="pct"/>
          </w:tcPr>
          <w:p w14:paraId="55494AF0" w14:textId="77777777" w:rsidR="00173192" w:rsidRDefault="00173192"/>
        </w:tc>
      </w:tr>
    </w:tbl>
    <w:p w14:paraId="177B73D2" w14:textId="77777777" w:rsidR="008317BB" w:rsidRDefault="008317BB"/>
    <w:p w14:paraId="24A9A577" w14:textId="09B72F93" w:rsidR="00057ADC" w:rsidRPr="008B0B24" w:rsidRDefault="007F424D" w:rsidP="00057ADC">
      <w:r>
        <w:br w:type="page"/>
      </w:r>
    </w:p>
    <w:p w14:paraId="7A172318" w14:textId="2D690BE6" w:rsidR="00E27998" w:rsidRDefault="006378A5" w:rsidP="00E26F24"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(</w:t>
      </w:r>
      <w:r w:rsidR="001278F7" w:rsidRPr="006378A5">
        <w:t>bizzozero2016importance</w:t>
      </w:r>
      <w:r w:rsidR="001278F7">
        <w:t xml:space="preserve">) </w:t>
      </w:r>
      <w:r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08664546" w14:textId="703327BA" w:rsidR="00485692" w:rsidRPr="006A56B5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(</w:t>
      </w:r>
      <w:r w:rsidR="001278F7" w:rsidRPr="006378A5">
        <w:t>bizzozero2016importance</w:t>
      </w:r>
      <w:r w:rsidR="001278F7">
        <w:t>)</w:t>
      </w:r>
      <w:r>
        <w:t xml:space="preserve">: an unexpected event, or the feeling cause when something unexpected happens. </w:t>
      </w:r>
      <w:r w:rsidR="005E7A65">
        <w:t>A backward</w:t>
      </w:r>
      <w:r w:rsidR="006A56B5">
        <w:t>-looking approach that evolves</w:t>
      </w:r>
      <w:r w:rsidR="006A56B5">
        <w:t xml:space="preserve"> by assessing past events/predictions.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74E20AAF" w14:textId="2C04F52C" w:rsidR="001278F7" w:rsidRPr="00714C5F" w:rsidRDefault="001278F7" w:rsidP="00E26F24">
      <w:pPr>
        <w:rPr>
          <w:lang w:val="it-IT"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(</w:t>
      </w:r>
      <w:r w:rsidRPr="001278F7">
        <w:t>buraimo2020unscripted</w:t>
      </w:r>
      <w:r>
        <w:rPr>
          <w:b/>
          <w:bCs/>
        </w:rPr>
        <w:t>)</w:t>
      </w:r>
      <w:r w:rsidR="00737BA1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043F3CDF" w14:textId="77777777" w:rsidR="001278F7" w:rsidRDefault="001278F7" w:rsidP="00E26F24"/>
    <w:p w14:paraId="1A104890" w14:textId="1832A093" w:rsidR="001278F7" w:rsidRDefault="001278F7" w:rsidP="00E26F24">
      <w:r>
        <w:t xml:space="preserve">Suspense by </w:t>
      </w:r>
      <w:r w:rsidRPr="00737BA1">
        <w:rPr>
          <w:u w:val="single"/>
        </w:rPr>
        <w:t xml:space="preserve">Ely, Frankel, and </w:t>
      </w:r>
      <w:proofErr w:type="spellStart"/>
      <w:r w:rsidRPr="00737BA1">
        <w:rPr>
          <w:u w:val="single"/>
        </w:rPr>
        <w:t>Kamenica</w:t>
      </w:r>
      <w:proofErr w:type="spellEnd"/>
      <w:r>
        <w:t xml:space="preserve"> (2015): suspense as consumers looking forward to how outcome probabilities might change in t+1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relates uncertainty of outcomes to suspense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1278F7"/>
    <w:rsid w:val="00132B0F"/>
    <w:rsid w:val="00166AE6"/>
    <w:rsid w:val="00173192"/>
    <w:rsid w:val="00220A47"/>
    <w:rsid w:val="00271915"/>
    <w:rsid w:val="002F6BA6"/>
    <w:rsid w:val="00323E1C"/>
    <w:rsid w:val="00390A48"/>
    <w:rsid w:val="003D7702"/>
    <w:rsid w:val="00453AF1"/>
    <w:rsid w:val="00485692"/>
    <w:rsid w:val="004D1413"/>
    <w:rsid w:val="00510CAF"/>
    <w:rsid w:val="00597768"/>
    <w:rsid w:val="005E7A65"/>
    <w:rsid w:val="006378A5"/>
    <w:rsid w:val="006A56B5"/>
    <w:rsid w:val="006D0BC3"/>
    <w:rsid w:val="006E7190"/>
    <w:rsid w:val="00714C5F"/>
    <w:rsid w:val="00723F38"/>
    <w:rsid w:val="00737BA1"/>
    <w:rsid w:val="0078295E"/>
    <w:rsid w:val="007F424D"/>
    <w:rsid w:val="008222AF"/>
    <w:rsid w:val="008317BB"/>
    <w:rsid w:val="008B0B24"/>
    <w:rsid w:val="00997FDF"/>
    <w:rsid w:val="009D0D34"/>
    <w:rsid w:val="009D5049"/>
    <w:rsid w:val="00A26BEB"/>
    <w:rsid w:val="00AF325E"/>
    <w:rsid w:val="00B12512"/>
    <w:rsid w:val="00B5238D"/>
    <w:rsid w:val="00BA2256"/>
    <w:rsid w:val="00C22D3F"/>
    <w:rsid w:val="00C248A5"/>
    <w:rsid w:val="00C9622D"/>
    <w:rsid w:val="00CC5BC2"/>
    <w:rsid w:val="00CD1940"/>
    <w:rsid w:val="00CE06EA"/>
    <w:rsid w:val="00D20A9B"/>
    <w:rsid w:val="00D318EA"/>
    <w:rsid w:val="00E25B24"/>
    <w:rsid w:val="00E26F24"/>
    <w:rsid w:val="00E27998"/>
    <w:rsid w:val="00E55076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8F357D4A-D76D-420D-A346-670A0D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11603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David Di Mattia</cp:lastModifiedBy>
  <cp:revision>19</cp:revision>
  <dcterms:created xsi:type="dcterms:W3CDTF">2024-10-15T08:32:00Z</dcterms:created>
  <dcterms:modified xsi:type="dcterms:W3CDTF">2024-12-03T14:03:00Z</dcterms:modified>
</cp:coreProperties>
</file>