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ACF4" w14:textId="77777777" w:rsidR="00D35D27" w:rsidRPr="006A2E33" w:rsidRDefault="00000000" w:rsidP="006A2E33">
      <w:pPr>
        <w:pStyle w:val="Title"/>
        <w:widowControl w:val="0"/>
        <w:autoSpaceDE w:val="0"/>
        <w:autoSpaceDN w:val="0"/>
        <w:spacing w:before="40" w:after="0" w:line="266" w:lineRule="auto"/>
        <w:ind w:left="85" w:right="81"/>
        <w:contextualSpacing w:val="0"/>
        <w:rPr>
          <w:rFonts w:ascii="Times New Roman" w:eastAsia="Times New Roman" w:hAnsi="Times New Roman" w:cs="Times New Roman"/>
          <w:sz w:val="28"/>
          <w:szCs w:val="28"/>
          <w:lang w:val="en-GB"/>
        </w:rPr>
      </w:pPr>
      <w:r w:rsidRPr="006A2E33">
        <w:rPr>
          <w:rFonts w:ascii="Times New Roman" w:eastAsia="Times New Roman" w:hAnsi="Times New Roman" w:cs="Times New Roman"/>
          <w:sz w:val="28"/>
          <w:szCs w:val="28"/>
          <w:lang w:val="en-GB"/>
        </w:rPr>
        <w:t>UEFA vs FIFA Tie Break: Which Creates More Suspense?</w:t>
      </w:r>
    </w:p>
    <w:p w14:paraId="7786C908" w14:textId="77777777" w:rsidR="00D35D27" w:rsidRPr="00E71122" w:rsidRDefault="00000000" w:rsidP="006A2E33">
      <w:pPr>
        <w:pStyle w:val="Title"/>
        <w:widowControl w:val="0"/>
        <w:autoSpaceDE w:val="0"/>
        <w:autoSpaceDN w:val="0"/>
        <w:spacing w:before="40" w:after="0" w:line="266" w:lineRule="auto"/>
        <w:ind w:left="85" w:right="81"/>
        <w:contextualSpacing w:val="0"/>
        <w:rPr>
          <w:rFonts w:ascii="Times New Roman" w:eastAsia="Times New Roman" w:hAnsi="Times New Roman" w:cs="Times New Roman"/>
          <w:sz w:val="28"/>
          <w:szCs w:val="28"/>
          <w:lang w:val="it-IT"/>
        </w:rPr>
      </w:pPr>
      <w:r w:rsidRPr="00E71122">
        <w:rPr>
          <w:rFonts w:ascii="Times New Roman" w:eastAsia="Times New Roman" w:hAnsi="Times New Roman" w:cs="Times New Roman"/>
          <w:sz w:val="28"/>
          <w:szCs w:val="28"/>
          <w:lang w:val="it-IT"/>
        </w:rPr>
        <w:t>Alessandro Di Mattia and Alex Krumer</w:t>
      </w:r>
    </w:p>
    <w:p w14:paraId="3293EF13" w14:textId="77777777" w:rsidR="00DD0A30" w:rsidRPr="00B95262" w:rsidRDefault="00DD0A30" w:rsidP="00DD0A30">
      <w:pPr>
        <w:pStyle w:val="BodyText"/>
        <w:widowControl w:val="0"/>
        <w:autoSpaceDE w:val="0"/>
        <w:autoSpaceDN w:val="0"/>
        <w:spacing w:before="0" w:after="0"/>
        <w:jc w:val="center"/>
        <w:rPr>
          <w:rFonts w:asciiTheme="majorBidi" w:eastAsia="Georgia" w:hAnsiTheme="majorBidi" w:cstheme="majorBidi"/>
          <w:lang w:val="it-IT"/>
        </w:rPr>
      </w:pPr>
      <w:r w:rsidRPr="00B95262">
        <w:rPr>
          <w:rFonts w:asciiTheme="majorBidi" w:eastAsia="Georgia" w:hAnsiTheme="majorBidi" w:cstheme="majorBidi"/>
          <w:noProof/>
          <w:lang w:val="it-IT"/>
        </w:rPr>
        <w:drawing>
          <wp:inline distT="0" distB="0" distL="0" distR="0" wp14:anchorId="7A196016" wp14:editId="3A883171">
            <wp:extent cx="3610277" cy="616087"/>
            <wp:effectExtent l="0" t="0" r="0" b="0"/>
            <wp:docPr id="1"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ue text on a black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626865" cy="618918"/>
                    </a:xfrm>
                    <a:prstGeom prst="rect">
                      <a:avLst/>
                    </a:prstGeom>
                  </pic:spPr>
                </pic:pic>
              </a:graphicData>
            </a:graphic>
          </wp:inline>
        </w:drawing>
      </w:r>
    </w:p>
    <w:p w14:paraId="704770FC" w14:textId="77777777" w:rsidR="00DD0A30" w:rsidRPr="00B95262" w:rsidRDefault="00DD0A30" w:rsidP="00DD0A30">
      <w:pPr>
        <w:pStyle w:val="BodyText"/>
        <w:widowControl w:val="0"/>
        <w:autoSpaceDE w:val="0"/>
        <w:autoSpaceDN w:val="0"/>
        <w:spacing w:before="0" w:after="0"/>
        <w:jc w:val="center"/>
        <w:rPr>
          <w:rFonts w:asciiTheme="majorBidi" w:eastAsia="Georgia" w:hAnsiTheme="majorBidi" w:cstheme="majorBidi"/>
          <w:lang w:val="it-IT"/>
        </w:rPr>
      </w:pPr>
    </w:p>
    <w:p w14:paraId="7FC65F84" w14:textId="77777777" w:rsidR="00DD0A30" w:rsidRPr="00B95262" w:rsidRDefault="00DD0A30" w:rsidP="00DD0A30">
      <w:pPr>
        <w:widowControl w:val="0"/>
        <w:autoSpaceDE w:val="0"/>
        <w:autoSpaceDN w:val="0"/>
        <w:spacing w:after="120"/>
        <w:jc w:val="center"/>
        <w:rPr>
          <w:rFonts w:ascii="Times New Roman" w:eastAsia="Georgia" w:hAnsi="Times New Roman" w:cs="Times New Roman"/>
          <w:sz w:val="22"/>
          <w:szCs w:val="22"/>
          <w:lang w:val="en-GB"/>
        </w:rPr>
      </w:pPr>
      <w:bookmarkStart w:id="0" w:name="_Hlk219991191"/>
      <w:r w:rsidRPr="00B95262">
        <w:rPr>
          <w:rFonts w:ascii="Times New Roman" w:eastAsia="Georgia" w:hAnsi="Times New Roman" w:cs="Times New Roman"/>
          <w:sz w:val="22"/>
          <w:szCs w:val="22"/>
          <w:lang w:val="en-GB"/>
        </w:rPr>
        <w:t xml:space="preserve">This version: </w:t>
      </w:r>
      <w:r>
        <w:rPr>
          <w:rFonts w:ascii="Times New Roman" w:eastAsia="Georgia" w:hAnsi="Times New Roman" w:cs="Times New Roman"/>
          <w:sz w:val="22"/>
          <w:szCs w:val="22"/>
          <w:lang w:val="en-GB"/>
        </w:rPr>
        <w:t>July</w:t>
      </w:r>
      <w:r w:rsidRPr="00B95262">
        <w:rPr>
          <w:rFonts w:ascii="Times New Roman" w:eastAsia="Georgia" w:hAnsi="Times New Roman" w:cs="Times New Roman"/>
          <w:sz w:val="22"/>
          <w:szCs w:val="22"/>
          <w:lang w:val="en-GB"/>
        </w:rPr>
        <w:t xml:space="preserve"> 2026</w:t>
      </w:r>
    </w:p>
    <w:p w14:paraId="2BD20198" w14:textId="1CCE6FD4" w:rsidR="00DD0A30" w:rsidRPr="00DD0A30" w:rsidRDefault="00DD0A30" w:rsidP="00DD0A30">
      <w:pPr>
        <w:widowControl w:val="0"/>
        <w:autoSpaceDE w:val="0"/>
        <w:autoSpaceDN w:val="0"/>
        <w:spacing w:after="120"/>
        <w:jc w:val="center"/>
        <w:rPr>
          <w:rFonts w:ascii="Times New Roman" w:eastAsia="Georgia" w:hAnsi="Times New Roman" w:cs="Times New Roman"/>
          <w:sz w:val="22"/>
          <w:szCs w:val="22"/>
          <w:lang w:val="en-GB"/>
        </w:rPr>
      </w:pPr>
      <w:r w:rsidRPr="00B95262">
        <w:rPr>
          <w:rFonts w:ascii="Times New Roman" w:eastAsia="Georgia" w:hAnsi="Times New Roman" w:cs="Times New Roman"/>
          <w:sz w:val="22"/>
          <w:szCs w:val="22"/>
          <w:lang w:val="en-GB"/>
        </w:rPr>
        <w:t xml:space="preserve">Date this version was printed: </w:t>
      </w:r>
      <w:r w:rsidRPr="00B95262">
        <w:rPr>
          <w:rFonts w:ascii="Times New Roman" w:eastAsia="Georgia" w:hAnsi="Times New Roman" w:cs="Times New Roman"/>
          <w:sz w:val="22"/>
          <w:szCs w:val="22"/>
          <w:lang w:val="en-GB"/>
        </w:rPr>
        <w:fldChar w:fldCharType="begin"/>
      </w:r>
      <w:r w:rsidRPr="00B95262">
        <w:rPr>
          <w:rFonts w:ascii="Times New Roman" w:eastAsia="Georgia" w:hAnsi="Times New Roman" w:cs="Times New Roman"/>
          <w:sz w:val="22"/>
          <w:szCs w:val="22"/>
          <w:lang w:val="en-GB"/>
        </w:rPr>
        <w:instrText xml:space="preserve"> TIME \@ "dd MMMM yyyy" </w:instrText>
      </w:r>
      <w:r w:rsidRPr="00B95262">
        <w:rPr>
          <w:rFonts w:ascii="Times New Roman" w:eastAsia="Georgia" w:hAnsi="Times New Roman" w:cs="Times New Roman"/>
          <w:sz w:val="22"/>
          <w:szCs w:val="22"/>
          <w:lang w:val="en-GB"/>
        </w:rPr>
        <w:fldChar w:fldCharType="separate"/>
      </w:r>
      <w:r w:rsidR="00E71122">
        <w:rPr>
          <w:rFonts w:ascii="Times New Roman" w:eastAsia="Georgia" w:hAnsi="Times New Roman" w:cs="Times New Roman"/>
          <w:noProof/>
          <w:sz w:val="22"/>
          <w:szCs w:val="22"/>
          <w:lang w:val="en-GB"/>
        </w:rPr>
        <w:t>23 July 2026</w:t>
      </w:r>
      <w:r w:rsidRPr="00B95262">
        <w:rPr>
          <w:rFonts w:ascii="Times New Roman" w:eastAsia="Georgia" w:hAnsi="Times New Roman" w:cs="Times New Roman"/>
          <w:sz w:val="22"/>
          <w:szCs w:val="22"/>
          <w:lang w:val="en-GB"/>
        </w:rPr>
        <w:fldChar w:fldCharType="end"/>
      </w:r>
      <w:bookmarkEnd w:id="0"/>
    </w:p>
    <w:p w14:paraId="08DB212F" w14:textId="77777777" w:rsidR="00D35D27" w:rsidRPr="006A2E33" w:rsidRDefault="00000000" w:rsidP="006A2E33">
      <w:pPr>
        <w:pStyle w:val="Heading1"/>
        <w:spacing w:line="360" w:lineRule="auto"/>
        <w:jc w:val="both"/>
        <w:rPr>
          <w:rFonts w:ascii="Times New Roman" w:hAnsi="Times New Roman" w:cs="Times New Roman"/>
          <w:b/>
          <w:bCs/>
          <w:color w:val="auto"/>
          <w:sz w:val="22"/>
          <w:szCs w:val="22"/>
        </w:rPr>
      </w:pPr>
      <w:r w:rsidRPr="006A2E33">
        <w:rPr>
          <w:rFonts w:ascii="Times New Roman" w:hAnsi="Times New Roman" w:cs="Times New Roman"/>
          <w:b/>
          <w:bCs/>
          <w:color w:val="auto"/>
          <w:sz w:val="22"/>
          <w:szCs w:val="22"/>
        </w:rPr>
        <w:t>Abstract</w:t>
      </w:r>
    </w:p>
    <w:p w14:paraId="5994C37E" w14:textId="6706E0F4" w:rsidR="00D35D27" w:rsidRDefault="00000000" w:rsidP="00DD0A30">
      <w:pPr>
        <w:pStyle w:val="Abstr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This study provides empirical evidence on how tie-breaking rules shape group-level suspense in international football tournaments. By comparing the goal-difference criterion used by FIFA in the World Cup with the head-to-head criterion used by UEFA in the European Championship, we construct a binary suspense indicator that captures whether a single goal could alter the composition of teams qualifying for the knockout stage. Within-group paired tests show that FIFA rules generate significantly higher group-level suspense in the World Cup (</w:t>
      </w:r>
      <m:oMath>
        <m:r>
          <w:rPr>
            <w:rFonts w:ascii="Cambria Math" w:hAnsi="Cambria Math" w:cs="Times New Roman"/>
            <w:sz w:val="22"/>
            <w:szCs w:val="22"/>
          </w:rPr>
          <m:t>p</m:t>
        </m:r>
        <m:r>
          <m:rPr>
            <m:sty m:val="p"/>
          </m:rPr>
          <w:rPr>
            <w:rFonts w:ascii="Cambria Math" w:hAnsi="Cambria Math" w:cs="Times New Roman"/>
            <w:sz w:val="22"/>
            <w:szCs w:val="22"/>
          </w:rPr>
          <m:t>&lt;</m:t>
        </m:r>
        <m:r>
          <w:rPr>
            <w:rFonts w:ascii="Cambria Math" w:hAnsi="Cambria Math" w:cs="Times New Roman"/>
            <w:sz w:val="22"/>
            <w:szCs w:val="22"/>
          </w:rPr>
          <m:t>0.01</m:t>
        </m:r>
      </m:oMath>
      <w:r w:rsidRPr="00DD0A30">
        <w:rPr>
          <w:rFonts w:ascii="Times New Roman" w:hAnsi="Times New Roman" w:cs="Times New Roman"/>
          <w:sz w:val="22"/>
          <w:szCs w:val="22"/>
        </w:rPr>
        <w:t>), while the difference is insignificant in the European Championship. A cross-tournament logit regression controlling for competitive balance finds that World Cup goals are individually less likely to change the qualifying composition — consistent with the FIFA criterion distributing uncertainty more evenly over the group stage rather than concentrating it in a few decisive goals. We further show that suspense under FIFA rules is more stable and persistent over the 90 minutes of play. Together, the evidence points to FIFA’s goal-difference criterion as generating more sustained group-level uncertainty in the World Cup.</w:t>
      </w:r>
      <w:r w:rsidR="006A2E33">
        <w:rPr>
          <w:rFonts w:ascii="Times New Roman" w:hAnsi="Times New Roman" w:cs="Times New Roman"/>
          <w:sz w:val="22"/>
          <w:szCs w:val="22"/>
        </w:rPr>
        <w:t xml:space="preserve"> </w:t>
      </w:r>
    </w:p>
    <w:p w14:paraId="4FFFAB44" w14:textId="1F159B1F" w:rsidR="006A2E33" w:rsidRDefault="006A2E33" w:rsidP="006A2E33">
      <w:pPr>
        <w:pStyle w:val="BodyText"/>
        <w:spacing w:before="0" w:after="0"/>
        <w:jc w:val="both"/>
        <w:rPr>
          <w:rFonts w:ascii="Times New Roman" w:hAnsi="Times New Roman" w:cs="Times New Roman"/>
          <w:iCs/>
          <w:sz w:val="22"/>
          <w:szCs w:val="22"/>
          <w:lang w:val="en-GB"/>
        </w:rPr>
      </w:pPr>
      <w:r w:rsidRPr="00B95262">
        <w:rPr>
          <w:rFonts w:asciiTheme="majorBidi" w:hAnsiTheme="majorBidi" w:cstheme="majorBidi"/>
          <w:b/>
          <w:bCs/>
          <w:iCs/>
          <w:sz w:val="22"/>
          <w:szCs w:val="22"/>
          <w:lang w:val="en-GB"/>
        </w:rPr>
        <w:t>Keywords:</w:t>
      </w:r>
      <w:r w:rsidRPr="00B95262">
        <w:rPr>
          <w:rFonts w:asciiTheme="majorBidi" w:hAnsiTheme="majorBidi" w:cstheme="majorBidi"/>
          <w:iCs/>
          <w:sz w:val="22"/>
          <w:szCs w:val="22"/>
          <w:lang w:val="en-GB"/>
        </w:rPr>
        <w:t xml:space="preserve"> </w:t>
      </w:r>
      <w:r>
        <w:rPr>
          <w:rFonts w:ascii="Times New Roman" w:hAnsi="Times New Roman" w:cs="Times New Roman"/>
          <w:iCs/>
          <w:sz w:val="22"/>
          <w:szCs w:val="22"/>
          <w:lang w:val="en-GB"/>
        </w:rPr>
        <w:t>Consumption of sport</w:t>
      </w:r>
      <w:r w:rsidRPr="00B95262">
        <w:rPr>
          <w:rFonts w:ascii="Times New Roman" w:hAnsi="Times New Roman" w:cs="Times New Roman"/>
          <w:iCs/>
          <w:sz w:val="22"/>
          <w:szCs w:val="22"/>
          <w:lang w:val="en-GB"/>
        </w:rPr>
        <w:t xml:space="preserve">, </w:t>
      </w:r>
      <w:r>
        <w:rPr>
          <w:rFonts w:ascii="Times New Roman" w:hAnsi="Times New Roman" w:cs="Times New Roman"/>
          <w:iCs/>
          <w:sz w:val="22"/>
          <w:szCs w:val="22"/>
          <w:lang w:val="en-GB"/>
        </w:rPr>
        <w:t>Suspense</w:t>
      </w:r>
      <w:r w:rsidRPr="00B95262">
        <w:rPr>
          <w:rFonts w:ascii="Times New Roman" w:hAnsi="Times New Roman" w:cs="Times New Roman"/>
          <w:iCs/>
          <w:sz w:val="22"/>
          <w:szCs w:val="22"/>
          <w:lang w:val="en-GB"/>
        </w:rPr>
        <w:t xml:space="preserve">, </w:t>
      </w:r>
      <w:r>
        <w:rPr>
          <w:rFonts w:ascii="Times New Roman" w:hAnsi="Times New Roman" w:cs="Times New Roman"/>
          <w:iCs/>
          <w:sz w:val="22"/>
          <w:szCs w:val="22"/>
          <w:lang w:val="en-GB"/>
        </w:rPr>
        <w:t>OR in sports, group stage, football</w:t>
      </w:r>
    </w:p>
    <w:p w14:paraId="1E5A220D" w14:textId="77777777" w:rsidR="006A2E33" w:rsidRPr="008B274B" w:rsidRDefault="006A2E33" w:rsidP="006A2E33">
      <w:pPr>
        <w:pStyle w:val="BodyText"/>
        <w:spacing w:before="0" w:after="0"/>
        <w:jc w:val="both"/>
        <w:rPr>
          <w:rFonts w:asciiTheme="majorBidi" w:hAnsiTheme="majorBidi" w:cstheme="majorBidi"/>
          <w:sz w:val="22"/>
          <w:szCs w:val="22"/>
          <w:lang w:val="en-GB"/>
        </w:rPr>
      </w:pPr>
    </w:p>
    <w:p w14:paraId="5730134B" w14:textId="0CCF4F2D" w:rsidR="006A2E33" w:rsidRPr="006A2E33" w:rsidRDefault="006A2E33" w:rsidP="006A2E33">
      <w:pPr>
        <w:pStyle w:val="BodyText"/>
        <w:rPr>
          <w:rFonts w:ascii="Times New Roman" w:hAnsi="Times New Roman" w:cs="Times New Roman"/>
          <w:sz w:val="22"/>
          <w:szCs w:val="22"/>
          <w:lang w:val="en-GB"/>
        </w:rPr>
      </w:pPr>
      <w:r w:rsidRPr="00B95262">
        <w:rPr>
          <w:rFonts w:ascii="Times New Roman" w:hAnsi="Times New Roman" w:cs="Times New Roman"/>
          <w:b/>
          <w:sz w:val="22"/>
          <w:szCs w:val="22"/>
          <w:lang w:val="en-GB"/>
        </w:rPr>
        <w:t>Address for correspondence</w:t>
      </w:r>
      <w:r w:rsidRPr="00B95262">
        <w:rPr>
          <w:rFonts w:ascii="Times New Roman" w:hAnsi="Times New Roman" w:cs="Times New Roman"/>
          <w:sz w:val="22"/>
          <w:szCs w:val="22"/>
          <w:lang w:val="en-GB"/>
        </w:rPr>
        <w:t xml:space="preserve">: </w:t>
      </w:r>
      <w:r w:rsidRPr="00B95262">
        <w:rPr>
          <w:rFonts w:ascii="Times New Roman" w:hAnsi="Times New Roman" w:cs="Times New Roman"/>
          <w:sz w:val="22"/>
          <w:szCs w:val="22"/>
          <w:lang w:val="en-GB"/>
        </w:rPr>
        <w:br/>
      </w:r>
      <w:r w:rsidRPr="00B95262">
        <w:rPr>
          <w:rFonts w:ascii="Times New Roman" w:hAnsi="Times New Roman" w:cs="Times New Roman"/>
          <w:sz w:val="20"/>
          <w:szCs w:val="20"/>
          <w:lang w:val="en-GB"/>
        </w:rPr>
        <w:t xml:space="preserve">Alessandro Di Mattia, Faculty of Business Administration and Social Sciences, Molde University College, </w:t>
      </w:r>
      <w:proofErr w:type="spellStart"/>
      <w:r w:rsidRPr="00B95262">
        <w:rPr>
          <w:rFonts w:ascii="Times New Roman" w:hAnsi="Times New Roman" w:cs="Times New Roman"/>
          <w:sz w:val="20"/>
          <w:szCs w:val="20"/>
          <w:lang w:val="en-GB"/>
        </w:rPr>
        <w:t>Britvegen</w:t>
      </w:r>
      <w:proofErr w:type="spellEnd"/>
      <w:r w:rsidRPr="00B95262">
        <w:rPr>
          <w:rFonts w:ascii="Times New Roman" w:hAnsi="Times New Roman" w:cs="Times New Roman"/>
          <w:sz w:val="20"/>
          <w:szCs w:val="20"/>
          <w:lang w:val="en-GB"/>
        </w:rPr>
        <w:t xml:space="preserve"> 2, Molde, 6402, Norway, </w:t>
      </w:r>
      <w:hyperlink r:id="rId6" w:history="1">
        <w:r w:rsidRPr="0064546F">
          <w:rPr>
            <w:rStyle w:val="Hyperlink"/>
            <w:rFonts w:ascii="Times New Roman" w:hAnsi="Times New Roman" w:cs="Times New Roman"/>
            <w:sz w:val="20"/>
            <w:szCs w:val="20"/>
            <w:lang w:val="en-GB"/>
          </w:rPr>
          <w:t>alessandro1.e.g.d.di.mattia@himolde.no</w:t>
        </w:r>
      </w:hyperlink>
      <w:r w:rsidRPr="00B95262">
        <w:rPr>
          <w:rFonts w:ascii="Times New Roman" w:hAnsi="Times New Roman" w:cs="Times New Roman"/>
          <w:sz w:val="20"/>
          <w:szCs w:val="20"/>
          <w:lang w:val="en-GB"/>
        </w:rPr>
        <w:t>.</w:t>
      </w:r>
      <w:r w:rsidRPr="00B95262">
        <w:rPr>
          <w:rFonts w:ascii="Times New Roman" w:hAnsi="Times New Roman" w:cs="Times New Roman"/>
          <w:sz w:val="20"/>
          <w:szCs w:val="20"/>
          <w:lang w:val="en-GB"/>
        </w:rPr>
        <w:br/>
        <w:t xml:space="preserve">Alex Krumer </w:t>
      </w:r>
      <w:r w:rsidRPr="00B95262">
        <w:rPr>
          <w:rFonts w:ascii="Times New Roman" w:hAnsi="Times New Roman" w:cs="Times New Roman"/>
          <w:sz w:val="20"/>
          <w:szCs w:val="20"/>
          <w:lang w:val="en-GB" w:bidi="he-IL"/>
        </w:rPr>
        <w:t>(corresponding author)</w:t>
      </w:r>
      <w:r w:rsidRPr="00B95262">
        <w:rPr>
          <w:rFonts w:ascii="Times New Roman" w:hAnsi="Times New Roman" w:cs="Times New Roman"/>
          <w:sz w:val="20"/>
          <w:szCs w:val="20"/>
          <w:lang w:val="en-GB"/>
        </w:rPr>
        <w:t xml:space="preserve">, Faculty of Business Administration and Social Sciences, Molde University College, </w:t>
      </w:r>
      <w:proofErr w:type="spellStart"/>
      <w:r w:rsidRPr="00B95262">
        <w:rPr>
          <w:rFonts w:ascii="Times New Roman" w:hAnsi="Times New Roman" w:cs="Times New Roman"/>
          <w:sz w:val="20"/>
          <w:szCs w:val="20"/>
          <w:lang w:val="en-GB"/>
        </w:rPr>
        <w:t>Britvegen</w:t>
      </w:r>
      <w:proofErr w:type="spellEnd"/>
      <w:r w:rsidRPr="00B95262">
        <w:rPr>
          <w:rFonts w:ascii="Times New Roman" w:hAnsi="Times New Roman" w:cs="Times New Roman"/>
          <w:sz w:val="20"/>
          <w:szCs w:val="20"/>
          <w:lang w:val="en-GB"/>
        </w:rPr>
        <w:t xml:space="preserve"> 2, Molde, 6402, Norway, </w:t>
      </w:r>
      <w:hyperlink r:id="rId7" w:history="1">
        <w:r w:rsidRPr="0064546F">
          <w:rPr>
            <w:rStyle w:val="Hyperlink"/>
            <w:rFonts w:ascii="Times New Roman" w:hAnsi="Times New Roman" w:cs="Times New Roman"/>
            <w:sz w:val="20"/>
            <w:szCs w:val="20"/>
            <w:lang w:val="en-GB"/>
          </w:rPr>
          <w:t>alex.krumer@himolde.no</w:t>
        </w:r>
      </w:hyperlink>
      <w:r>
        <w:rPr>
          <w:rFonts w:ascii="Times New Roman" w:hAnsi="Times New Roman" w:cs="Times New Roman"/>
          <w:sz w:val="20"/>
          <w:szCs w:val="20"/>
          <w:lang w:val="en-GB"/>
        </w:rPr>
        <w:t xml:space="preserve">. </w:t>
      </w:r>
    </w:p>
    <w:p w14:paraId="3B1C9430" w14:textId="73A50BC8" w:rsidR="00D35D27" w:rsidRPr="0004612D" w:rsidRDefault="00000000" w:rsidP="0004612D">
      <w:pPr>
        <w:pStyle w:val="Heading1"/>
        <w:numPr>
          <w:ilvl w:val="0"/>
          <w:numId w:val="10"/>
        </w:numPr>
        <w:spacing w:before="120" w:after="120" w:line="360" w:lineRule="auto"/>
        <w:jc w:val="both"/>
        <w:rPr>
          <w:rFonts w:ascii="Times New Roman" w:hAnsi="Times New Roman" w:cs="Times New Roman"/>
          <w:b/>
          <w:bCs/>
          <w:color w:val="auto"/>
          <w:sz w:val="22"/>
          <w:szCs w:val="22"/>
        </w:rPr>
      </w:pPr>
      <w:bookmarkStart w:id="1" w:name="introduction"/>
      <w:r w:rsidRPr="0004612D">
        <w:rPr>
          <w:rFonts w:ascii="Times New Roman" w:hAnsi="Times New Roman" w:cs="Times New Roman"/>
          <w:b/>
          <w:bCs/>
          <w:color w:val="auto"/>
          <w:sz w:val="22"/>
          <w:szCs w:val="22"/>
        </w:rPr>
        <w:t>Introduction</w:t>
      </w:r>
    </w:p>
    <w:p w14:paraId="526DBFFE"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In the modern era of sports, and football in particular, retaining audience attention has become both more difficult and more crucial than ever before. Spectators today are exposed to a multitude of entertainment alternatives, making the task of sustaining engagement a key factor for the success and profitability of sport organizations. Beyond loyalty to a specific team, fans gain significant enjoyment from </w:t>
      </w:r>
      <w:r w:rsidRPr="00DD0A30">
        <w:rPr>
          <w:rFonts w:ascii="Times New Roman" w:hAnsi="Times New Roman" w:cs="Times New Roman"/>
          <w:i/>
          <w:iCs/>
          <w:sz w:val="22"/>
          <w:szCs w:val="22"/>
        </w:rPr>
        <w:t>non-instrumental information</w:t>
      </w:r>
      <w:r w:rsidRPr="00DD0A30">
        <w:rPr>
          <w:rFonts w:ascii="Times New Roman" w:hAnsi="Times New Roman" w:cs="Times New Roman"/>
          <w:sz w:val="22"/>
          <w:szCs w:val="22"/>
        </w:rPr>
        <w:t xml:space="preserve">—such as the suspense and uncertainty inherent in a match—which fulfills fundamental psychological needs (Ely et al., 2015; Zillmann, 2013). This value often drives consumer interest independently </w:t>
      </w:r>
      <w:r w:rsidRPr="00DD0A30">
        <w:rPr>
          <w:rFonts w:ascii="Times New Roman" w:hAnsi="Times New Roman" w:cs="Times New Roman"/>
          <w:sz w:val="22"/>
          <w:szCs w:val="22"/>
        </w:rPr>
        <w:lastRenderedPageBreak/>
        <w:t>of the game’s final result, being rooted instead in the developments that lead to that outcome (Vorderer et al., 2004).</w:t>
      </w:r>
    </w:p>
    <w:p w14:paraId="576B42D9"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The economic importance of fan engagement is underscored by the astonishing viewership and revenue generated by major tournaments. For instance, the 2022 FIFA World Cup in Qatar attracted approximately 2.87 billion viewers who watched at least one minute of coverage, while over 5 billion people engaged across broadcast, digital, and social media platforms, including 2.9 billion via linear TV and 2.7 billion through digital streaming (FIFA, 2023a, 2023b). Broadcasting and commercial rights from this World Cup cycle generated over USD 6.3 billion for FIFA, representing 83% of the organization’s revenue (FIFA, 2022).</w:t>
      </w:r>
    </w:p>
    <w:p w14:paraId="48F054ED"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Similarly, the UEFA European Championship continues to attract massive audiences, with Euro 2024 welcoming a cumulative stadium attendance of 2.67 million across its 51 matches and 5.7 billion viewers worldwide through television (SportsPro Media, 2024; UEFA, 2024). These figures confirm that maintaining audience attention translates directly into financial success.</w:t>
      </w:r>
    </w:p>
    <w:p w14:paraId="46F6D69F"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Given these stakes, the challenge for sports institutions is not only to increase the number of matches, but to design competitions that maximise suspense and engagement. Low-stakes games may decrease overall interest, while mechanisms that preserve uncertainty — such as tie-breaking rules — can extend fan attention across the tournament. Understanding how tie-breaking procedures influence suspense is therefore not only a matter of sporting fairness, but also of monetary relevance, as it directly affects consumer demand, broadcaster revenues, and sponsor value.</w:t>
      </w:r>
    </w:p>
    <w:p w14:paraId="06947964"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In this paper, we investigate how alternative tie-breaking rules influence the level of suspense in international football tournaments. In particular, we compare the two main approaches adopted by governing bodies: FIFA’s adoption of overall goal difference and goals scored, and UEFA’s use of head-to-head results. We introduce a binary suspense indicator at the group level that captures whether a single goal could alter the composition of teams qualifying for the knockout stage — a concept that is, to the best of our knowledge, new in the sports economics literature. Our main result is that FIFA’s goal-difference criterion generates significantly more group-level suspense in the World Cup, and that this advantage is uniform across groups of varying competitive balance. We further document that suspense under FIFA rules is more stable and persistent over the 90 minutes of play. Interestingly, the same advantage does not materialise in the European Championship, where the choice of rule does not significantly affect suspense — a pattern we interpret as a placebo-style robustness check.</w:t>
      </w:r>
    </w:p>
    <w:p w14:paraId="0901ACD3"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The structure of the paper is as follows. Section </w:t>
      </w:r>
      <w:hyperlink w:anchor="sec:literature">
        <w:r w:rsidR="00D35D27" w:rsidRPr="00DD0A30">
          <w:rPr>
            <w:rStyle w:val="Hyperlink"/>
            <w:rFonts w:ascii="Times New Roman" w:hAnsi="Times New Roman" w:cs="Times New Roman"/>
            <w:sz w:val="22"/>
            <w:szCs w:val="22"/>
          </w:rPr>
          <w:t>2</w:t>
        </w:r>
      </w:hyperlink>
      <w:r w:rsidRPr="00DD0A30">
        <w:rPr>
          <w:rFonts w:ascii="Times New Roman" w:hAnsi="Times New Roman" w:cs="Times New Roman"/>
          <w:sz w:val="22"/>
          <w:szCs w:val="22"/>
        </w:rPr>
        <w:t xml:space="preserve"> reviews the relevant literature. Section </w:t>
      </w:r>
      <w:hyperlink w:anchor="sec:data">
        <w:r w:rsidR="00D35D27" w:rsidRPr="00DD0A30">
          <w:rPr>
            <w:rStyle w:val="Hyperlink"/>
            <w:rFonts w:ascii="Times New Roman" w:hAnsi="Times New Roman" w:cs="Times New Roman"/>
            <w:sz w:val="22"/>
            <w:szCs w:val="22"/>
          </w:rPr>
          <w:t>3</w:t>
        </w:r>
      </w:hyperlink>
      <w:r w:rsidRPr="00DD0A30">
        <w:rPr>
          <w:rFonts w:ascii="Times New Roman" w:hAnsi="Times New Roman" w:cs="Times New Roman"/>
          <w:sz w:val="22"/>
          <w:szCs w:val="22"/>
        </w:rPr>
        <w:t xml:space="preserve"> presents the data, while Section </w:t>
      </w:r>
      <w:hyperlink w:anchor="sec:estimation">
        <w:r w:rsidR="00D35D27" w:rsidRPr="00DD0A30">
          <w:rPr>
            <w:rStyle w:val="Hyperlink"/>
            <w:rFonts w:ascii="Times New Roman" w:hAnsi="Times New Roman" w:cs="Times New Roman"/>
            <w:sz w:val="22"/>
            <w:szCs w:val="22"/>
          </w:rPr>
          <w:t>4</w:t>
        </w:r>
      </w:hyperlink>
      <w:r w:rsidRPr="00DD0A30">
        <w:rPr>
          <w:rFonts w:ascii="Times New Roman" w:hAnsi="Times New Roman" w:cs="Times New Roman"/>
          <w:sz w:val="22"/>
          <w:szCs w:val="22"/>
        </w:rPr>
        <w:t xml:space="preserve"> outlines the methodological framework. Section </w:t>
      </w:r>
      <w:hyperlink w:anchor="sec:results">
        <w:r w:rsidR="00D35D27" w:rsidRPr="00DD0A30">
          <w:rPr>
            <w:rStyle w:val="Hyperlink"/>
            <w:rFonts w:ascii="Times New Roman" w:hAnsi="Times New Roman" w:cs="Times New Roman"/>
            <w:sz w:val="22"/>
            <w:szCs w:val="22"/>
          </w:rPr>
          <w:t>5</w:t>
        </w:r>
      </w:hyperlink>
      <w:r w:rsidRPr="00DD0A30">
        <w:rPr>
          <w:rFonts w:ascii="Times New Roman" w:hAnsi="Times New Roman" w:cs="Times New Roman"/>
          <w:sz w:val="22"/>
          <w:szCs w:val="22"/>
        </w:rPr>
        <w:t xml:space="preserve"> reports the results, and Section </w:t>
      </w:r>
      <w:hyperlink w:anchor="sec:conclusion">
        <w:r w:rsidR="00D35D27" w:rsidRPr="00DD0A30">
          <w:rPr>
            <w:rStyle w:val="Hyperlink"/>
            <w:rFonts w:ascii="Times New Roman" w:hAnsi="Times New Roman" w:cs="Times New Roman"/>
            <w:sz w:val="22"/>
            <w:szCs w:val="22"/>
          </w:rPr>
          <w:t>6</w:t>
        </w:r>
      </w:hyperlink>
      <w:r w:rsidRPr="00DD0A30">
        <w:rPr>
          <w:rFonts w:ascii="Times New Roman" w:hAnsi="Times New Roman" w:cs="Times New Roman"/>
          <w:sz w:val="22"/>
          <w:szCs w:val="22"/>
        </w:rPr>
        <w:t xml:space="preserve"> concludes. Additional analyses — including correlation tables, suspense trajectories by group type, and match-level suspense measures — can be found in the Appendix.</w:t>
      </w:r>
    </w:p>
    <w:p w14:paraId="204FD6AC" w14:textId="361AD991" w:rsidR="00D35D27" w:rsidRPr="0004612D" w:rsidRDefault="00000000" w:rsidP="0004612D">
      <w:pPr>
        <w:pStyle w:val="Heading1"/>
        <w:numPr>
          <w:ilvl w:val="0"/>
          <w:numId w:val="10"/>
        </w:numPr>
        <w:spacing w:before="120" w:after="120" w:line="360" w:lineRule="auto"/>
        <w:jc w:val="both"/>
        <w:rPr>
          <w:rFonts w:ascii="Times New Roman" w:hAnsi="Times New Roman" w:cs="Times New Roman"/>
          <w:b/>
          <w:bCs/>
          <w:color w:val="auto"/>
          <w:sz w:val="22"/>
          <w:szCs w:val="22"/>
        </w:rPr>
      </w:pPr>
      <w:bookmarkStart w:id="2" w:name="sec:literature"/>
      <w:bookmarkEnd w:id="1"/>
      <w:r w:rsidRPr="0004612D">
        <w:rPr>
          <w:rFonts w:ascii="Times New Roman" w:hAnsi="Times New Roman" w:cs="Times New Roman"/>
          <w:b/>
          <w:bCs/>
          <w:color w:val="auto"/>
          <w:sz w:val="22"/>
          <w:szCs w:val="22"/>
        </w:rPr>
        <w:lastRenderedPageBreak/>
        <w:t>Literature Review</w:t>
      </w:r>
    </w:p>
    <w:p w14:paraId="31EB4AEB"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Our paper lies at the intersection of tournament design and the drivers of sport consumption. Recent contributions in sports economics have highlighted critical flaws in the rules and formats of international football competitions, showing how these deficiencies affect both the fairness of outcomes and the demand for the game. For instance, Csató &amp; Gyimesi (2025) propose a novel framework to evaluate the cost of stake-less games in which the result no longer influences qualification — for the newly approved 2026 FIFA World Cup format. Similarly, (Lapré &amp; Palazzolo, 2022, 2023; Lapré &amp; Palazzolo) demonstrate how FIFA’s seeding system has consistently failed to reduce competitive imbalance, thereby significantly lowering some teams’ chances of advancing in the competition. As concerns UEFA regulations, Csató (2020) show how flaws in the qualification rules can create scenarios where teams are incentivized not to win, revealing incentive-compatibility issues in current tournament designs.</w:t>
      </w:r>
    </w:p>
    <w:p w14:paraId="2AA5E952"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To address such structural weaknesses, researchers have advanced a range of solutions, from probabilistic models that improve the predictive accuracy of ranking algorithms (Szczecinski &amp; Roatis, 2022), to deterministic optimal scheduling that reduces collusion and stake-less games (Chater et al., 2021). Other studies focus on redesigning tournament formats and rules to eliminate misaligned incentives: this includes alternative qualification systems (Guajardo &amp; Krumer, 2024), dynamic three-team formats (Troyano, 2023), and double-elimination structures (Rennó-Costa, 2023).</w:t>
      </w:r>
    </w:p>
    <w:p w14:paraId="39F4C15C"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 related concern arises with the choice of tie-breaking rules, which directly shapes the fairness and stakes of group-stage matches. For example, Berker (2014) shows that under certain rules, a team’s ranking can depend on the outcome of a match in which it does not participate. Similarly, Csató (2023) demonstrates that the likelihood of uncompetitive matches — where teams lack incentives to exert full effort — depends strongly on the tie-breaking criteria adopted. Building on this, Csató &amp; Gyimesi (2026) show that the shift from goal difference to head-to-head results as the primary tie-breaking criterion in the 2026 FIFA World Cup increases the share of unimportant last-round matches by approximately 5.6 percentage points, as head-to-head rules restrict the set of possible group rankings after the first two rounds and convert offensive-asymmetric matches — where one team must attack to survive — into unimportant ones where teams have little incentive to exert full effort. These findings highlight that poorly designed tie-breakers not only influence match outcomes but also affect the integrity and attractiveness of competitions.</w:t>
      </w:r>
    </w:p>
    <w:p w14:paraId="7DAAC6B4"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The consequences of these design flaws are not limited to sporting fairness but extend to the economics of sport consumption. Formats and rules that generate collusion opportunities or reduce competitiveness undermine fan interest, diminishing both the entertainment value and commercial revenues of tournaments. Understanding the drivers of demand for both live attendance and broadcast audiences is therefore essential. Several studies identify in-game dynamics as key factors: Buraimo et al. (2020) show that suspense, surprise, and shock — capturing the </w:t>
      </w:r>
      <w:r w:rsidRPr="00DD0A30">
        <w:rPr>
          <w:rFonts w:ascii="Times New Roman" w:hAnsi="Times New Roman" w:cs="Times New Roman"/>
          <w:sz w:val="22"/>
          <w:szCs w:val="22"/>
        </w:rPr>
        <w:lastRenderedPageBreak/>
        <w:t>tension and emotional intensity of matches — contribute to higher demand, particularly at specific moments of play. Likewise, Alavy et al. (2010) argue that the progression of the game, rather than its final outcome alone, is crucial, with greater uncertainty about results increasing spectator engagement. Similarly, Bizzozero et al. (2016) find a strong link between suspense and surprise on the one hand, and the demand for entertainment on the other. Flepp et al. (2026) further show that the relative importance of suspense and surprise depends on the scoring rate of the match: in high-scoring games, surprise dominates as goals frequently overturn expectations, whereas in low-scoring games sustained suspense becomes the primary driver of engagement. Finally, Buraimo et al. (2022) extend this perspective to television audiences, showing that demand cannot be explained solely by uncertainty of outcome but also depends on players’ quality and the significance of the match.</w:t>
      </w:r>
    </w:p>
    <w:p w14:paraId="1B95D0E4"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Taken together, this domain of research shows that flawed formats and rules do not merely raise ethical and fairness concerns but also undermine the economic value of competitions by reducing engagement and the attractiveness of matches. Our contribution builds on this insight by examining how institutional features — in particular, tie-breaking rules — shape the stakes of a match and, ultimately, its perceived importance in the qualification race. In doing so, we introduce a group-level dimension of suspense that complements the match-level definitions of suspense, surprise, and shock established in the literature: while existing work captures how in-game events shift beliefs about a single match outcome, our measure captures how those same events reshape the broader qualification picture across the group, adding a layer of uncertainty that match-level metrics alone cannot capture.</w:t>
      </w:r>
    </w:p>
    <w:p w14:paraId="5D7B8B13" w14:textId="6DCD11A7" w:rsidR="00D35D27" w:rsidRPr="0004612D" w:rsidRDefault="00000000" w:rsidP="00216A31">
      <w:pPr>
        <w:pStyle w:val="Heading1"/>
        <w:numPr>
          <w:ilvl w:val="0"/>
          <w:numId w:val="10"/>
        </w:numPr>
        <w:spacing w:line="360" w:lineRule="auto"/>
        <w:jc w:val="both"/>
        <w:rPr>
          <w:rFonts w:ascii="Times New Roman" w:hAnsi="Times New Roman" w:cs="Times New Roman"/>
          <w:b/>
          <w:bCs/>
          <w:color w:val="auto"/>
          <w:sz w:val="22"/>
          <w:szCs w:val="22"/>
        </w:rPr>
      </w:pPr>
      <w:bookmarkStart w:id="3" w:name="sec:data"/>
      <w:bookmarkEnd w:id="2"/>
      <w:r w:rsidRPr="0004612D">
        <w:rPr>
          <w:rFonts w:ascii="Times New Roman" w:hAnsi="Times New Roman" w:cs="Times New Roman"/>
          <w:b/>
          <w:bCs/>
          <w:color w:val="auto"/>
          <w:sz w:val="22"/>
          <w:szCs w:val="22"/>
        </w:rPr>
        <w:t>Data</w:t>
      </w:r>
    </w:p>
    <w:p w14:paraId="67934658"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This study is based on a detailed dataset of all group stage matches from the FIFA World Cup and UEFA European Championship, focusing on goal-level and minute-by-minute match events. The data were scraped from Wikipedia and cross-checked with official sources from FIFA and UEFA. This allowed us to reconstruct how group standings evolved during matches under each tournament’s tie-breaking criteria, enabling a direct comparison of the suspense created by the two systems.</w:t>
      </w:r>
    </w:p>
    <w:p w14:paraId="17FE9422"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the FIFA World Cup, we collected data from the 1986 to 2022 editions. From 1986 to 1994, there were 6 groups (Groups A to F), while from 1998 onwards the tournament expanded to 8 groups, each consisting of four teams. In the 6-group format, the top two teams from each group and the four best third-placed teams advanced to the knockout stage, whereas in the 8-group format only the top two teams in each group qualified for the elimination phase. Our dataset includes 455 goals, expanding to 6,789 entries when considering events recorded minute by minute.</w:t>
      </w:r>
    </w:p>
    <w:p w14:paraId="1C85A0FD"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For the European Championship, we collected data from 1984 to 2024. The first three editions had two groups (Group 1 and Group 2), then from 1996 to 2012 there were four groups (Groups A to D), and from 2016 </w:t>
      </w:r>
      <w:r w:rsidRPr="00DD0A30">
        <w:rPr>
          <w:rFonts w:ascii="Times New Roman" w:hAnsi="Times New Roman" w:cs="Times New Roman"/>
          <w:sz w:val="22"/>
          <w:szCs w:val="22"/>
        </w:rPr>
        <w:lastRenderedPageBreak/>
        <w:t>onwards six groups (Groups A to F). As in the World Cup, the format with six groups allows the top two teams and the four best third-placed teams to qualify for the next round. In total, we recorded 270 goals and 4,044 minute-by-minute observations.</w:t>
      </w:r>
    </w:p>
    <w:p w14:paraId="4D7DCC12"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In both competitions, teams received two points for a win until 1992, and three points from 1994 onwards. One point was awarded for a draw, and zero for a loss throughout all editions.</w:t>
      </w:r>
    </w:p>
    <w:p w14:paraId="6E0AB749" w14:textId="5584632E" w:rsidR="00D35D27" w:rsidRPr="0004612D" w:rsidRDefault="00216A31" w:rsidP="00216A31">
      <w:pPr>
        <w:pStyle w:val="Heading2"/>
        <w:numPr>
          <w:ilvl w:val="1"/>
          <w:numId w:val="10"/>
        </w:numPr>
        <w:spacing w:line="360" w:lineRule="auto"/>
        <w:jc w:val="both"/>
        <w:rPr>
          <w:rFonts w:ascii="Times New Roman" w:hAnsi="Times New Roman" w:cs="Times New Roman"/>
          <w:b/>
          <w:bCs/>
          <w:color w:val="auto"/>
          <w:sz w:val="22"/>
          <w:szCs w:val="22"/>
        </w:rPr>
      </w:pPr>
      <w:bookmarkStart w:id="4" w:name="data-collection"/>
      <w:r>
        <w:rPr>
          <w:rFonts w:ascii="Times New Roman" w:hAnsi="Times New Roman" w:cs="Times New Roman"/>
          <w:b/>
          <w:bCs/>
          <w:color w:val="auto"/>
          <w:sz w:val="22"/>
          <w:szCs w:val="22"/>
        </w:rPr>
        <w:t xml:space="preserve"> </w:t>
      </w:r>
      <w:r w:rsidRPr="0004612D">
        <w:rPr>
          <w:rFonts w:ascii="Times New Roman" w:hAnsi="Times New Roman" w:cs="Times New Roman"/>
          <w:b/>
          <w:bCs/>
          <w:color w:val="auto"/>
          <w:sz w:val="22"/>
          <w:szCs w:val="22"/>
        </w:rPr>
        <w:t>Data Collection</w:t>
      </w:r>
    </w:p>
    <w:p w14:paraId="2C26692D"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every match in both competitions, we collected the following information:</w:t>
      </w:r>
    </w:p>
    <w:p w14:paraId="589DAE5A" w14:textId="77777777" w:rsidR="00D35D27" w:rsidRPr="00DD0A30" w:rsidRDefault="00000000" w:rsidP="00DD0A30">
      <w:pPr>
        <w:numPr>
          <w:ilvl w:val="0"/>
          <w:numId w:val="2"/>
        </w:numPr>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Goals scored</w:t>
      </w:r>
      <w:r w:rsidRPr="00DD0A30">
        <w:rPr>
          <w:rFonts w:ascii="Times New Roman" w:hAnsi="Times New Roman" w:cs="Times New Roman"/>
          <w:sz w:val="22"/>
          <w:szCs w:val="22"/>
        </w:rPr>
        <w:t>: including the scoring team, exact minute, and the evolving scoreline.</w:t>
      </w:r>
    </w:p>
    <w:p w14:paraId="343685B8" w14:textId="77777777" w:rsidR="00D35D27" w:rsidRPr="00DD0A30" w:rsidRDefault="00000000" w:rsidP="00DD0A30">
      <w:pPr>
        <w:numPr>
          <w:ilvl w:val="0"/>
          <w:numId w:val="2"/>
        </w:numPr>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Team Elo ratings</w:t>
      </w:r>
      <w:r w:rsidRPr="00DD0A30">
        <w:rPr>
          <w:rFonts w:ascii="Times New Roman" w:hAnsi="Times New Roman" w:cs="Times New Roman"/>
          <w:sz w:val="22"/>
          <w:szCs w:val="22"/>
        </w:rPr>
        <w:t xml:space="preserve">: Elo ratings as of the day before each tournament began, retrieved from </w:t>
      </w:r>
      <w:hyperlink r:id="rId8">
        <w:r w:rsidR="00D35D27" w:rsidRPr="00DD0A30">
          <w:rPr>
            <w:rStyle w:val="Hyperlink"/>
            <w:rFonts w:ascii="Times New Roman" w:hAnsi="Times New Roman" w:cs="Times New Roman"/>
            <w:sz w:val="22"/>
            <w:szCs w:val="22"/>
          </w:rPr>
          <w:t>https://www.international-football.net/</w:t>
        </w:r>
      </w:hyperlink>
      <w:r w:rsidRPr="00DD0A30">
        <w:rPr>
          <w:rFonts w:ascii="Times New Roman" w:hAnsi="Times New Roman" w:cs="Times New Roman"/>
          <w:sz w:val="22"/>
          <w:szCs w:val="22"/>
        </w:rPr>
        <w:t>.</w:t>
      </w:r>
    </w:p>
    <w:p w14:paraId="2AB4A136"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Goal data were used to reconstruct real-time group standings after each event, under both FIFA and UEFA tie-breaking criteria. Elo ratings are used to measure competitive balance at both the group level and the match level, as described in Section </w:t>
      </w:r>
      <w:hyperlink w:anchor="sec:results">
        <w:r w:rsidR="00D35D27" w:rsidRPr="00DD0A30">
          <w:rPr>
            <w:rStyle w:val="Hyperlink"/>
            <w:rFonts w:ascii="Times New Roman" w:hAnsi="Times New Roman" w:cs="Times New Roman"/>
            <w:sz w:val="22"/>
            <w:szCs w:val="22"/>
          </w:rPr>
          <w:t>5</w:t>
        </w:r>
      </w:hyperlink>
      <w:r w:rsidRPr="00DD0A30">
        <w:rPr>
          <w:rFonts w:ascii="Times New Roman" w:hAnsi="Times New Roman" w:cs="Times New Roman"/>
          <w:sz w:val="22"/>
          <w:szCs w:val="22"/>
        </w:rPr>
        <w:t>. The minute-by-minute dataset spans from minute 1 to minute 90 for each match, with the exception of matches in which at least one goal was scored in extra time, where observations extend beyond minute 90.</w:t>
      </w:r>
    </w:p>
    <w:p w14:paraId="6E996563" w14:textId="0A8F74EC" w:rsidR="00D35D27" w:rsidRPr="00216A31" w:rsidRDefault="00000000" w:rsidP="00216A31">
      <w:pPr>
        <w:pStyle w:val="Heading1"/>
        <w:numPr>
          <w:ilvl w:val="0"/>
          <w:numId w:val="10"/>
        </w:numPr>
        <w:spacing w:line="360" w:lineRule="auto"/>
        <w:jc w:val="both"/>
        <w:rPr>
          <w:rFonts w:ascii="Times New Roman" w:hAnsi="Times New Roman" w:cs="Times New Roman"/>
          <w:b/>
          <w:bCs/>
          <w:color w:val="auto"/>
          <w:sz w:val="22"/>
          <w:szCs w:val="22"/>
        </w:rPr>
      </w:pPr>
      <w:bookmarkStart w:id="5" w:name="sec:estimation"/>
      <w:bookmarkEnd w:id="3"/>
      <w:bookmarkEnd w:id="4"/>
      <w:r w:rsidRPr="00216A31">
        <w:rPr>
          <w:rFonts w:ascii="Times New Roman" w:hAnsi="Times New Roman" w:cs="Times New Roman"/>
          <w:b/>
          <w:bCs/>
          <w:color w:val="auto"/>
          <w:sz w:val="22"/>
          <w:szCs w:val="22"/>
        </w:rPr>
        <w:t>Methodological Framework</w:t>
      </w:r>
    </w:p>
    <w:p w14:paraId="0DD37FD4"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Our main contribution is a </w:t>
      </w:r>
      <w:r w:rsidRPr="00DD0A30">
        <w:rPr>
          <w:rFonts w:ascii="Times New Roman" w:hAnsi="Times New Roman" w:cs="Times New Roman"/>
          <w:i/>
          <w:iCs/>
          <w:sz w:val="22"/>
          <w:szCs w:val="22"/>
        </w:rPr>
        <w:t>binary suspense indicator</w:t>
      </w:r>
      <w:r w:rsidRPr="00DD0A30">
        <w:rPr>
          <w:rFonts w:ascii="Times New Roman" w:hAnsi="Times New Roman" w:cs="Times New Roman"/>
          <w:sz w:val="22"/>
          <w:szCs w:val="22"/>
        </w:rPr>
        <w:t xml:space="preserve"> defined at the group level that captures whether a single goal could alter the composition of teams qualifying for the knockout stage. More precisely: a suspenseful moment occurs when one additional goal in any ongoing group match would change which teams advance. The indicator is evaluated using two tracking procedures:</w:t>
      </w:r>
    </w:p>
    <w:p w14:paraId="05DB9B0C" w14:textId="77777777" w:rsidR="00D35D27" w:rsidRPr="00DD0A30" w:rsidRDefault="00000000" w:rsidP="00DD0A30">
      <w:pPr>
        <w:numPr>
          <w:ilvl w:val="0"/>
          <w:numId w:val="3"/>
        </w:numPr>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After each goal scored</w:t>
      </w:r>
      <w:r w:rsidRPr="00DD0A30">
        <w:rPr>
          <w:rFonts w:ascii="Times New Roman" w:hAnsi="Times New Roman" w:cs="Times New Roman"/>
          <w:sz w:val="22"/>
          <w:szCs w:val="22"/>
        </w:rPr>
        <w:t>, by updating the group standings with the current match results.</w:t>
      </w:r>
    </w:p>
    <w:p w14:paraId="54D7C338" w14:textId="77777777" w:rsidR="00D35D27" w:rsidRPr="00DD0A30" w:rsidRDefault="00000000" w:rsidP="00DD0A30">
      <w:pPr>
        <w:numPr>
          <w:ilvl w:val="0"/>
          <w:numId w:val="3"/>
        </w:numPr>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Minute by minute</w:t>
      </w:r>
      <w:r w:rsidRPr="00DD0A30">
        <w:rPr>
          <w:rFonts w:ascii="Times New Roman" w:hAnsi="Times New Roman" w:cs="Times New Roman"/>
          <w:sz w:val="22"/>
          <w:szCs w:val="22"/>
        </w:rPr>
        <w:t>, to track the evolution of suspense on a 90-minute scale.</w:t>
      </w:r>
    </w:p>
    <w:p w14:paraId="74692D75"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This allows us to examine how long a group remains undecided, and how often suspense arises, under the two tie-breaking rules.</w:t>
      </w:r>
    </w:p>
    <w:p w14:paraId="0201D3D9"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For example, in Group F of Euro 2024, entering the third and final matchday, Portugal and Turkey were in qualifying positions for the knockout stage. However, Turkey was playing against Czech Republic, and the match started 0–0. In that situation, a single goal by Czech Republic would have allowed them to overtake </w:t>
      </w:r>
      <w:r w:rsidRPr="00DD0A30">
        <w:rPr>
          <w:rFonts w:ascii="Times New Roman" w:hAnsi="Times New Roman" w:cs="Times New Roman"/>
          <w:sz w:val="22"/>
          <w:szCs w:val="22"/>
        </w:rPr>
        <w:lastRenderedPageBreak/>
        <w:t>Turkey on points and qualify instead. Since the qualification status could change dramatically with just one goal, this scenario is marked as having maximum suspense (suspense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w:t>
      </w:r>
    </w:p>
    <w:p w14:paraId="1B28E681"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Another example can be drawn from Group A of Euro 2024. In the final matchday, Hungary scored in the 100th minute against Scotland, winning the match 1–0. At that point, this late goal put Hungary at 3 points with a goal difference of </w:t>
      </w:r>
      <m:oMath>
        <m:r>
          <m:rPr>
            <m:sty m:val="p"/>
          </m:rPr>
          <w:rPr>
            <w:rFonts w:ascii="Cambria Math" w:hAnsi="Cambria Math" w:cs="Times New Roman"/>
            <w:sz w:val="22"/>
            <w:szCs w:val="22"/>
          </w:rPr>
          <m:t>-</m:t>
        </m:r>
        <m:r>
          <w:rPr>
            <w:rFonts w:ascii="Cambria Math" w:hAnsi="Cambria Math" w:cs="Times New Roman"/>
            <w:sz w:val="22"/>
            <w:szCs w:val="22"/>
          </w:rPr>
          <m:t>3</m:t>
        </m:r>
      </m:oMath>
      <w:r w:rsidRPr="00DD0A30">
        <w:rPr>
          <w:rFonts w:ascii="Times New Roman" w:hAnsi="Times New Roman" w:cs="Times New Roman"/>
          <w:sz w:val="22"/>
          <w:szCs w:val="22"/>
        </w:rPr>
        <w:t>, making them temporarily one of the best third-placed teams and therefore potentially qualifying for the knockout stage. Suspense is evaluated based on the uncertainty during the match, not on outcomes from matches that are played in later groups, so this goal qualifies as a suspenseful moment at the time it occurs.</w:t>
      </w:r>
    </w:p>
    <w:p w14:paraId="0B1F9EF6"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A particularly vivid illustration of the </w:t>
      </w:r>
      <w:r w:rsidRPr="00DD0A30">
        <w:rPr>
          <w:rFonts w:ascii="Times New Roman" w:hAnsi="Times New Roman" w:cs="Times New Roman"/>
          <w:i/>
          <w:iCs/>
          <w:sz w:val="22"/>
          <w:szCs w:val="22"/>
        </w:rPr>
        <w:t>qual_count</w:t>
      </w:r>
      <w:r w:rsidRPr="00DD0A30">
        <w:rPr>
          <w:rFonts w:ascii="Times New Roman" w:hAnsi="Times New Roman" w:cs="Times New Roman"/>
          <w:sz w:val="22"/>
          <w:szCs w:val="22"/>
        </w:rPr>
        <w:t xml:space="preserve"> variable is provided by Group E of the 2022 FIFA World Cup, which included Spain, Germany, Japan, and Costa Rica. Entering the final matchday, Spain and Japan occupied the two qualifying positions; Germany and Costa Rica were eliminated. As both matches — Spain vs. Japan and Costa Rica vs. Germany — were played simultaneously, the qualifying composition changed four times. Germany’s goal at minute 10 moved them above Japan into second place. Japan’s equaliser against Spain at minute 48 reclaimed their qualifying spot and sent Germany back out. A Costa Rica goal at minute 70 dramatically reshuffled the standings once more, briefly making Costa Rica and Japan the two qualifiers. A further Costa Rica goal at minute 73 changed the set yet again. By the final whistle, Japan and Spain had qualified, but not before </w:t>
      </w:r>
      <w:r w:rsidRPr="00DD0A30">
        <w:rPr>
          <w:rFonts w:ascii="Times New Roman" w:hAnsi="Times New Roman" w:cs="Times New Roman"/>
          <w:i/>
          <w:iCs/>
          <w:sz w:val="22"/>
          <w:szCs w:val="22"/>
        </w:rPr>
        <w:t>qual_count</w:t>
      </w:r>
      <w:r w:rsidRPr="00DD0A30">
        <w:rPr>
          <w:rFonts w:ascii="Times New Roman" w:hAnsi="Times New Roman" w:cs="Times New Roman"/>
          <w:sz w:val="22"/>
          <w:szCs w:val="22"/>
        </w:rPr>
        <w:t xml:space="preserve"> had reached four — illustrating how the FIFA goal-difference criterion can create repeated and rapid swings in the qualifying composition over the course of simultaneous play.</w:t>
      </w:r>
    </w:p>
    <w:p w14:paraId="57220168"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 full explanation of the logic behind the suspense indicator - covering all specific cases under both FIFA and UEFA rules - is provided in Appendix </w:t>
      </w:r>
      <w:hyperlink w:anchor="sec:suspense-criteria">
        <w:r w:rsidR="00D35D27" w:rsidRPr="00DD0A30">
          <w:rPr>
            <w:rStyle w:val="Hyperlink"/>
            <w:rFonts w:ascii="Times New Roman" w:hAnsi="Times New Roman" w:cs="Times New Roman"/>
            <w:sz w:val="22"/>
            <w:szCs w:val="22"/>
          </w:rPr>
          <w:t>6.1</w:t>
        </w:r>
      </w:hyperlink>
      <w:r w:rsidRPr="00DD0A30">
        <w:rPr>
          <w:rFonts w:ascii="Times New Roman" w:hAnsi="Times New Roman" w:cs="Times New Roman"/>
          <w:sz w:val="22"/>
          <w:szCs w:val="22"/>
        </w:rPr>
        <w:t>.</w:t>
      </w:r>
    </w:p>
    <w:p w14:paraId="4E9CDBE8" w14:textId="1E1F3E76" w:rsidR="00D35D27" w:rsidRPr="00216A31" w:rsidRDefault="00000000" w:rsidP="00216A31">
      <w:pPr>
        <w:pStyle w:val="Heading1"/>
        <w:numPr>
          <w:ilvl w:val="0"/>
          <w:numId w:val="10"/>
        </w:numPr>
        <w:spacing w:line="360" w:lineRule="auto"/>
        <w:jc w:val="both"/>
        <w:rPr>
          <w:rFonts w:ascii="Times New Roman" w:hAnsi="Times New Roman" w:cs="Times New Roman"/>
          <w:b/>
          <w:bCs/>
          <w:color w:val="auto"/>
          <w:sz w:val="22"/>
          <w:szCs w:val="22"/>
        </w:rPr>
      </w:pPr>
      <w:bookmarkStart w:id="6" w:name="sec:results"/>
      <w:bookmarkEnd w:id="5"/>
      <w:r w:rsidRPr="00216A31">
        <w:rPr>
          <w:rFonts w:ascii="Times New Roman" w:hAnsi="Times New Roman" w:cs="Times New Roman"/>
          <w:b/>
          <w:bCs/>
          <w:color w:val="auto"/>
          <w:sz w:val="22"/>
          <w:szCs w:val="22"/>
        </w:rPr>
        <w:t>Results</w:t>
      </w:r>
    </w:p>
    <w:p w14:paraId="72AD270C" w14:textId="4349A2EE" w:rsidR="00D35D27" w:rsidRPr="00216A31" w:rsidRDefault="00000000" w:rsidP="00216A31">
      <w:pPr>
        <w:pStyle w:val="Heading2"/>
        <w:numPr>
          <w:ilvl w:val="1"/>
          <w:numId w:val="10"/>
        </w:numPr>
        <w:spacing w:line="360" w:lineRule="auto"/>
        <w:jc w:val="both"/>
        <w:rPr>
          <w:rFonts w:ascii="Times New Roman" w:hAnsi="Times New Roman" w:cs="Times New Roman"/>
          <w:b/>
          <w:bCs/>
          <w:color w:val="auto"/>
          <w:sz w:val="22"/>
          <w:szCs w:val="22"/>
        </w:rPr>
      </w:pPr>
      <w:bookmarkStart w:id="7" w:name="descriptive-statistics"/>
      <w:r w:rsidRPr="00216A31">
        <w:rPr>
          <w:rFonts w:ascii="Times New Roman" w:hAnsi="Times New Roman" w:cs="Times New Roman"/>
          <w:b/>
          <w:bCs/>
          <w:color w:val="auto"/>
          <w:sz w:val="22"/>
          <w:szCs w:val="22"/>
        </w:rPr>
        <w:t>Descriptive Statistics</w:t>
      </w:r>
    </w:p>
    <w:p w14:paraId="77BFFA68"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Table </w:t>
      </w:r>
      <w:hyperlink w:anchor="tab:desc_stats_goals">
        <w:r w:rsidR="00D35D27" w:rsidRPr="00DD0A30">
          <w:rPr>
            <w:rStyle w:val="Hyperlink"/>
            <w:rFonts w:ascii="Times New Roman" w:hAnsi="Times New Roman" w:cs="Times New Roman"/>
            <w:sz w:val="22"/>
            <w:szCs w:val="22"/>
          </w:rPr>
          <w:t>1</w:t>
        </w:r>
      </w:hyperlink>
      <w:r w:rsidRPr="00DD0A30">
        <w:rPr>
          <w:rFonts w:ascii="Times New Roman" w:hAnsi="Times New Roman" w:cs="Times New Roman"/>
          <w:sz w:val="22"/>
          <w:szCs w:val="22"/>
        </w:rPr>
        <w:t xml:space="preserve"> reports descriptive statistics for the goal-level dataset, comparing World Cup groups (which operate under FIFA tie-breaking rules) with European Championship groups (which operate under UEFA rules). The World Cup sample counts 381 goal events across 74 groups; the European Championship sample counts 226 goal events across 44 groups. Across the key outcome variables, the raw means reveal a consistent pattern: </w:t>
      </w:r>
      <w:r w:rsidRPr="00DD0A30">
        <w:rPr>
          <w:rFonts w:ascii="Times New Roman" w:hAnsi="Times New Roman" w:cs="Times New Roman"/>
          <w:i/>
          <w:iCs/>
          <w:sz w:val="22"/>
          <w:szCs w:val="22"/>
        </w:rPr>
        <w:t>qual. changed</w:t>
      </w:r>
      <w:r w:rsidRPr="00DD0A30">
        <w:rPr>
          <w:rFonts w:ascii="Times New Roman" w:hAnsi="Times New Roman" w:cs="Times New Roman"/>
          <w:sz w:val="22"/>
          <w:szCs w:val="22"/>
        </w:rPr>
        <w:t xml:space="preserve"> averages 0.19 for the World Cup versus 0.29 for the European Championship, </w:t>
      </w:r>
      <w:r w:rsidRPr="00DD0A30">
        <w:rPr>
          <w:rFonts w:ascii="Times New Roman" w:hAnsi="Times New Roman" w:cs="Times New Roman"/>
          <w:i/>
          <w:iCs/>
          <w:sz w:val="22"/>
          <w:szCs w:val="22"/>
        </w:rPr>
        <w:t>qual. count</w:t>
      </w:r>
      <w:r w:rsidRPr="00DD0A30">
        <w:rPr>
          <w:rFonts w:ascii="Times New Roman" w:hAnsi="Times New Roman" w:cs="Times New Roman"/>
          <w:sz w:val="22"/>
          <w:szCs w:val="22"/>
        </w:rPr>
        <w:t xml:space="preserve"> averages 0.72 versus 1.12, and </w:t>
      </w:r>
      <w:r w:rsidRPr="00DD0A30">
        <w:rPr>
          <w:rFonts w:ascii="Times New Roman" w:hAnsi="Times New Roman" w:cs="Times New Roman"/>
          <w:i/>
          <w:iCs/>
          <w:sz w:val="22"/>
          <w:szCs w:val="22"/>
        </w:rPr>
        <w:t>suspense</w:t>
      </w:r>
      <w:r w:rsidRPr="00DD0A30">
        <w:rPr>
          <w:rFonts w:ascii="Times New Roman" w:hAnsi="Times New Roman" w:cs="Times New Roman"/>
          <w:sz w:val="22"/>
          <w:szCs w:val="22"/>
        </w:rPr>
        <w:t xml:space="preserve"> averages 0.44 versus 0.49. In all three cases, European Championship groups exhibit higher average values than World Cup groups. European Championship teams also tend to be slightly stronger on average: mean Elo ratings for the top-ranked team in each group are 1998 (EU) versus 1988 (WC).</w:t>
      </w:r>
    </w:p>
    <w:p w14:paraId="1AF65C26"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lastRenderedPageBreak/>
        <w:t>Table </w:t>
      </w:r>
      <w:hyperlink w:anchor="tab:desc_stats_mbm">
        <w:r w:rsidR="00D35D27" w:rsidRPr="00DD0A30">
          <w:rPr>
            <w:rStyle w:val="Hyperlink"/>
            <w:rFonts w:ascii="Times New Roman" w:hAnsi="Times New Roman" w:cs="Times New Roman"/>
            <w:sz w:val="22"/>
            <w:szCs w:val="22"/>
          </w:rPr>
          <w:t>2</w:t>
        </w:r>
      </w:hyperlink>
      <w:r w:rsidRPr="00DD0A30">
        <w:rPr>
          <w:rFonts w:ascii="Times New Roman" w:hAnsi="Times New Roman" w:cs="Times New Roman"/>
          <w:sz w:val="22"/>
          <w:szCs w:val="22"/>
        </w:rPr>
        <w:t xml:space="preserve"> reports the same comparison for the minute-by-minute dataset (6,789 World Cup and 4,044 European Championship match minutes). The pattern is consistent: </w:t>
      </w:r>
      <w:r w:rsidRPr="00DD0A30">
        <w:rPr>
          <w:rFonts w:ascii="Times New Roman" w:hAnsi="Times New Roman" w:cs="Times New Roman"/>
          <w:i/>
          <w:iCs/>
          <w:sz w:val="22"/>
          <w:szCs w:val="22"/>
        </w:rPr>
        <w:t>qual. changed</w:t>
      </w:r>
      <w:r w:rsidRPr="00DD0A30">
        <w:rPr>
          <w:rFonts w:ascii="Times New Roman" w:hAnsi="Times New Roman" w:cs="Times New Roman"/>
          <w:sz w:val="22"/>
          <w:szCs w:val="22"/>
        </w:rPr>
        <w:t xml:space="preserve"> averages 0.15 (WC) versus 0.24 (EU), </w:t>
      </w:r>
      <w:r w:rsidRPr="00DD0A30">
        <w:rPr>
          <w:rFonts w:ascii="Times New Roman" w:hAnsi="Times New Roman" w:cs="Times New Roman"/>
          <w:i/>
          <w:iCs/>
          <w:sz w:val="22"/>
          <w:szCs w:val="22"/>
        </w:rPr>
        <w:t>qual. count</w:t>
      </w:r>
      <w:r w:rsidRPr="00DD0A30">
        <w:rPr>
          <w:rFonts w:ascii="Times New Roman" w:hAnsi="Times New Roman" w:cs="Times New Roman"/>
          <w:sz w:val="22"/>
          <w:szCs w:val="22"/>
        </w:rPr>
        <w:t xml:space="preserve"> 0.48 versus 0.69, and </w:t>
      </w:r>
      <w:r w:rsidRPr="00DD0A30">
        <w:rPr>
          <w:rFonts w:ascii="Times New Roman" w:hAnsi="Times New Roman" w:cs="Times New Roman"/>
          <w:i/>
          <w:iCs/>
          <w:sz w:val="22"/>
          <w:szCs w:val="22"/>
        </w:rPr>
        <w:t>suspense</w:t>
      </w:r>
      <w:r w:rsidRPr="00DD0A30">
        <w:rPr>
          <w:rFonts w:ascii="Times New Roman" w:hAnsi="Times New Roman" w:cs="Times New Roman"/>
          <w:sz w:val="22"/>
          <w:szCs w:val="22"/>
        </w:rPr>
        <w:t xml:space="preserve"> 0.50 versus 0.57.</w:t>
      </w:r>
    </w:p>
    <w:p w14:paraId="7839D4B9" w14:textId="72314E06" w:rsidR="00D35D27" w:rsidRPr="00DD0A30" w:rsidRDefault="00274ECA" w:rsidP="00DD0A30">
      <w:pPr>
        <w:pStyle w:val="TableCaption"/>
        <w:spacing w:line="360" w:lineRule="auto"/>
        <w:jc w:val="both"/>
        <w:rPr>
          <w:rFonts w:ascii="Times New Roman" w:hAnsi="Times New Roman" w:cs="Times New Roman"/>
          <w:sz w:val="22"/>
          <w:szCs w:val="22"/>
        </w:rPr>
      </w:pPr>
      <w:bookmarkStart w:id="8" w:name="tab:desc_stats_goals"/>
      <w:r>
        <w:rPr>
          <w:rFonts w:ascii="Times New Roman" w:hAnsi="Times New Roman" w:cs="Times New Roman"/>
          <w:sz w:val="22"/>
          <w:szCs w:val="22"/>
        </w:rPr>
        <w:t xml:space="preserve">Table 1: </w:t>
      </w:r>
      <w:r w:rsidRPr="00DD0A30">
        <w:rPr>
          <w:rFonts w:ascii="Times New Roman" w:hAnsi="Times New Roman" w:cs="Times New Roman"/>
          <w:sz w:val="22"/>
          <w:szCs w:val="22"/>
        </w:rPr>
        <w:t>Descriptive statistics – Goal-level dataset</w:t>
      </w:r>
    </w:p>
    <w:tbl>
      <w:tblPr>
        <w:tblStyle w:val="Table"/>
        <w:tblW w:w="5000" w:type="pct"/>
        <w:tblLook w:val="0020" w:firstRow="1" w:lastRow="0" w:firstColumn="0" w:lastColumn="0" w:noHBand="0" w:noVBand="0"/>
      </w:tblPr>
      <w:tblGrid>
        <w:gridCol w:w="2187"/>
        <w:gridCol w:w="1156"/>
        <w:gridCol w:w="1000"/>
        <w:gridCol w:w="923"/>
        <w:gridCol w:w="923"/>
        <w:gridCol w:w="1155"/>
        <w:gridCol w:w="1000"/>
        <w:gridCol w:w="923"/>
        <w:gridCol w:w="921"/>
      </w:tblGrid>
      <w:tr w:rsidR="00D35D27" w:rsidRPr="00DD0A30" w14:paraId="48A2D574" w14:textId="77777777" w:rsidTr="00E54EDA">
        <w:trPr>
          <w:cnfStyle w:val="100000000000" w:firstRow="1" w:lastRow="0" w:firstColumn="0" w:lastColumn="0" w:oddVBand="0" w:evenVBand="0" w:oddHBand="0" w:evenHBand="0" w:firstRowFirstColumn="0" w:firstRowLastColumn="0" w:lastRowFirstColumn="0" w:lastRowLastColumn="0"/>
          <w:tblHeader/>
        </w:trPr>
        <w:tc>
          <w:tcPr>
            <w:tcW w:w="1073" w:type="pct"/>
            <w:tcBorders>
              <w:top w:val="single" w:sz="4" w:space="0" w:color="auto"/>
            </w:tcBorders>
          </w:tcPr>
          <w:p w14:paraId="5DA2C2E1"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964" w:type="pct"/>
            <w:gridSpan w:val="4"/>
            <w:tcBorders>
              <w:top w:val="single" w:sz="4" w:space="0" w:color="auto"/>
            </w:tcBorders>
          </w:tcPr>
          <w:p w14:paraId="481B0D6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World Cup (FIFA rules)</w:t>
            </w:r>
          </w:p>
        </w:tc>
        <w:tc>
          <w:tcPr>
            <w:tcW w:w="1964" w:type="pct"/>
            <w:gridSpan w:val="4"/>
            <w:tcBorders>
              <w:top w:val="single" w:sz="4" w:space="0" w:color="auto"/>
            </w:tcBorders>
          </w:tcPr>
          <w:p w14:paraId="50DCFB5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Euro (UEFA rules)</w:t>
            </w:r>
          </w:p>
        </w:tc>
      </w:tr>
      <w:tr w:rsidR="00D35D27" w:rsidRPr="00DD0A30" w14:paraId="3E75EE8B" w14:textId="77777777" w:rsidTr="00E54EDA">
        <w:tc>
          <w:tcPr>
            <w:tcW w:w="1073" w:type="pct"/>
            <w:tcBorders>
              <w:bottom w:val="single" w:sz="4" w:space="0" w:color="auto"/>
            </w:tcBorders>
          </w:tcPr>
          <w:p w14:paraId="29E39A5C" w14:textId="688B3B1B" w:rsidR="00D35D27" w:rsidRPr="00DD0A30" w:rsidRDefault="00D35D27" w:rsidP="00DD0A30">
            <w:pPr>
              <w:pStyle w:val="Compact"/>
              <w:spacing w:line="360" w:lineRule="auto"/>
              <w:jc w:val="both"/>
              <w:rPr>
                <w:rFonts w:ascii="Times New Roman" w:hAnsi="Times New Roman" w:cs="Times New Roman"/>
                <w:sz w:val="22"/>
                <w:szCs w:val="22"/>
              </w:rPr>
            </w:pPr>
          </w:p>
        </w:tc>
        <w:tc>
          <w:tcPr>
            <w:tcW w:w="567" w:type="pct"/>
            <w:tcBorders>
              <w:bottom w:val="single" w:sz="4" w:space="0" w:color="auto"/>
            </w:tcBorders>
          </w:tcPr>
          <w:p w14:paraId="1BA57F6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Mean</w:t>
            </w:r>
          </w:p>
        </w:tc>
        <w:tc>
          <w:tcPr>
            <w:tcW w:w="491" w:type="pct"/>
            <w:tcBorders>
              <w:bottom w:val="single" w:sz="4" w:space="0" w:color="auto"/>
            </w:tcBorders>
          </w:tcPr>
          <w:p w14:paraId="3714A2C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SD</w:t>
            </w:r>
          </w:p>
        </w:tc>
        <w:tc>
          <w:tcPr>
            <w:tcW w:w="453" w:type="pct"/>
            <w:tcBorders>
              <w:bottom w:val="single" w:sz="4" w:space="0" w:color="auto"/>
            </w:tcBorders>
          </w:tcPr>
          <w:p w14:paraId="2DB56D6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Min</w:t>
            </w:r>
          </w:p>
        </w:tc>
        <w:tc>
          <w:tcPr>
            <w:tcW w:w="453" w:type="pct"/>
            <w:tcBorders>
              <w:bottom w:val="single" w:sz="4" w:space="0" w:color="auto"/>
            </w:tcBorders>
          </w:tcPr>
          <w:p w14:paraId="243302B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Max</w:t>
            </w:r>
          </w:p>
        </w:tc>
        <w:tc>
          <w:tcPr>
            <w:tcW w:w="567" w:type="pct"/>
            <w:tcBorders>
              <w:bottom w:val="single" w:sz="4" w:space="0" w:color="auto"/>
            </w:tcBorders>
          </w:tcPr>
          <w:p w14:paraId="53FB77A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Mean</w:t>
            </w:r>
          </w:p>
        </w:tc>
        <w:tc>
          <w:tcPr>
            <w:tcW w:w="491" w:type="pct"/>
            <w:tcBorders>
              <w:bottom w:val="single" w:sz="4" w:space="0" w:color="auto"/>
            </w:tcBorders>
          </w:tcPr>
          <w:p w14:paraId="712A075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SD</w:t>
            </w:r>
          </w:p>
        </w:tc>
        <w:tc>
          <w:tcPr>
            <w:tcW w:w="453" w:type="pct"/>
            <w:tcBorders>
              <w:bottom w:val="single" w:sz="4" w:space="0" w:color="auto"/>
            </w:tcBorders>
          </w:tcPr>
          <w:p w14:paraId="7468DEA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Min</w:t>
            </w:r>
          </w:p>
        </w:tc>
        <w:tc>
          <w:tcPr>
            <w:tcW w:w="453" w:type="pct"/>
            <w:tcBorders>
              <w:bottom w:val="single" w:sz="4" w:space="0" w:color="auto"/>
            </w:tcBorders>
          </w:tcPr>
          <w:p w14:paraId="7633DB6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Max</w:t>
            </w:r>
          </w:p>
        </w:tc>
      </w:tr>
      <w:tr w:rsidR="00D35D27" w:rsidRPr="00DD0A30" w14:paraId="64A03F01" w14:textId="77777777" w:rsidTr="00E54EDA">
        <w:tc>
          <w:tcPr>
            <w:tcW w:w="1073" w:type="pct"/>
            <w:tcBorders>
              <w:top w:val="single" w:sz="4" w:space="0" w:color="auto"/>
            </w:tcBorders>
          </w:tcPr>
          <w:p w14:paraId="4D4D0D6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Goal minute</w:t>
            </w:r>
          </w:p>
        </w:tc>
        <w:tc>
          <w:tcPr>
            <w:tcW w:w="567" w:type="pct"/>
            <w:tcBorders>
              <w:top w:val="single" w:sz="4" w:space="0" w:color="auto"/>
            </w:tcBorders>
          </w:tcPr>
          <w:p w14:paraId="2008307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51.99</w:t>
            </w:r>
          </w:p>
        </w:tc>
        <w:tc>
          <w:tcPr>
            <w:tcW w:w="491" w:type="pct"/>
            <w:tcBorders>
              <w:top w:val="single" w:sz="4" w:space="0" w:color="auto"/>
            </w:tcBorders>
          </w:tcPr>
          <w:p w14:paraId="7538FFD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26.89</w:t>
            </w:r>
          </w:p>
        </w:tc>
        <w:tc>
          <w:tcPr>
            <w:tcW w:w="453" w:type="pct"/>
            <w:tcBorders>
              <w:top w:val="single" w:sz="4" w:space="0" w:color="auto"/>
            </w:tcBorders>
          </w:tcPr>
          <w:p w14:paraId="26BC433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453" w:type="pct"/>
            <w:tcBorders>
              <w:top w:val="single" w:sz="4" w:space="0" w:color="auto"/>
            </w:tcBorders>
          </w:tcPr>
          <w:p w14:paraId="1F6C242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96</w:t>
            </w:r>
          </w:p>
        </w:tc>
        <w:tc>
          <w:tcPr>
            <w:tcW w:w="567" w:type="pct"/>
            <w:tcBorders>
              <w:top w:val="single" w:sz="4" w:space="0" w:color="auto"/>
            </w:tcBorders>
          </w:tcPr>
          <w:p w14:paraId="12B386F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52.41</w:t>
            </w:r>
          </w:p>
        </w:tc>
        <w:tc>
          <w:tcPr>
            <w:tcW w:w="491" w:type="pct"/>
            <w:tcBorders>
              <w:top w:val="single" w:sz="4" w:space="0" w:color="auto"/>
            </w:tcBorders>
          </w:tcPr>
          <w:p w14:paraId="0C4E992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26.30</w:t>
            </w:r>
          </w:p>
        </w:tc>
        <w:tc>
          <w:tcPr>
            <w:tcW w:w="453" w:type="pct"/>
            <w:tcBorders>
              <w:top w:val="single" w:sz="4" w:space="0" w:color="auto"/>
            </w:tcBorders>
          </w:tcPr>
          <w:p w14:paraId="3E56A06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w:t>
            </w:r>
          </w:p>
        </w:tc>
        <w:tc>
          <w:tcPr>
            <w:tcW w:w="453" w:type="pct"/>
            <w:tcBorders>
              <w:top w:val="single" w:sz="4" w:space="0" w:color="auto"/>
            </w:tcBorders>
          </w:tcPr>
          <w:p w14:paraId="1C542F1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w:t>
            </w:r>
          </w:p>
        </w:tc>
      </w:tr>
      <w:tr w:rsidR="00D35D27" w:rsidRPr="00DD0A30" w14:paraId="17CE2910" w14:textId="77777777" w:rsidTr="00E54EDA">
        <w:tc>
          <w:tcPr>
            <w:tcW w:w="1073" w:type="pct"/>
          </w:tcPr>
          <w:p w14:paraId="729DF08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Half time</w:t>
            </w:r>
          </w:p>
        </w:tc>
        <w:tc>
          <w:tcPr>
            <w:tcW w:w="567" w:type="pct"/>
          </w:tcPr>
          <w:p w14:paraId="3021BC8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1.60</w:t>
            </w:r>
          </w:p>
        </w:tc>
        <w:tc>
          <w:tcPr>
            <w:tcW w:w="491" w:type="pct"/>
          </w:tcPr>
          <w:p w14:paraId="194AF53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0.49</w:t>
            </w:r>
          </w:p>
        </w:tc>
        <w:tc>
          <w:tcPr>
            <w:tcW w:w="453" w:type="pct"/>
          </w:tcPr>
          <w:p w14:paraId="6BAF0FB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453" w:type="pct"/>
          </w:tcPr>
          <w:p w14:paraId="35FA77D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w:t>
            </w:r>
          </w:p>
        </w:tc>
        <w:tc>
          <w:tcPr>
            <w:tcW w:w="567" w:type="pct"/>
          </w:tcPr>
          <w:p w14:paraId="64D4019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1.61</w:t>
            </w:r>
          </w:p>
        </w:tc>
        <w:tc>
          <w:tcPr>
            <w:tcW w:w="491" w:type="pct"/>
          </w:tcPr>
          <w:p w14:paraId="344CF3B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0.49</w:t>
            </w:r>
          </w:p>
        </w:tc>
        <w:tc>
          <w:tcPr>
            <w:tcW w:w="453" w:type="pct"/>
          </w:tcPr>
          <w:p w14:paraId="072D82E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453" w:type="pct"/>
          </w:tcPr>
          <w:p w14:paraId="7802A05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w:t>
            </w:r>
          </w:p>
        </w:tc>
      </w:tr>
      <w:tr w:rsidR="00D35D27" w:rsidRPr="00DD0A30" w14:paraId="39A44027" w14:textId="77777777" w:rsidTr="00E54EDA">
        <w:tc>
          <w:tcPr>
            <w:tcW w:w="1073" w:type="pct"/>
          </w:tcPr>
          <w:p w14:paraId="5B09FD3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Qual. changed</w:t>
            </w:r>
          </w:p>
        </w:tc>
        <w:tc>
          <w:tcPr>
            <w:tcW w:w="567" w:type="pct"/>
          </w:tcPr>
          <w:p w14:paraId="2944F05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0.19</w:t>
            </w:r>
          </w:p>
        </w:tc>
        <w:tc>
          <w:tcPr>
            <w:tcW w:w="491" w:type="pct"/>
          </w:tcPr>
          <w:p w14:paraId="54C60C8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0.39</w:t>
            </w:r>
          </w:p>
        </w:tc>
        <w:tc>
          <w:tcPr>
            <w:tcW w:w="453" w:type="pct"/>
          </w:tcPr>
          <w:p w14:paraId="4CDAA03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53" w:type="pct"/>
          </w:tcPr>
          <w:p w14:paraId="7A40E7F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567" w:type="pct"/>
          </w:tcPr>
          <w:p w14:paraId="270F0ED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0.29</w:t>
            </w:r>
          </w:p>
        </w:tc>
        <w:tc>
          <w:tcPr>
            <w:tcW w:w="491" w:type="pct"/>
          </w:tcPr>
          <w:p w14:paraId="07B87B5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0.46</w:t>
            </w:r>
          </w:p>
        </w:tc>
        <w:tc>
          <w:tcPr>
            <w:tcW w:w="453" w:type="pct"/>
          </w:tcPr>
          <w:p w14:paraId="4B5F6A8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53" w:type="pct"/>
          </w:tcPr>
          <w:p w14:paraId="26878FC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r>
      <w:tr w:rsidR="00D35D27" w:rsidRPr="00DD0A30" w14:paraId="3E3B19FB" w14:textId="77777777" w:rsidTr="00E54EDA">
        <w:tc>
          <w:tcPr>
            <w:tcW w:w="1073" w:type="pct"/>
          </w:tcPr>
          <w:p w14:paraId="6D3DF71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Qual. count</w:t>
            </w:r>
          </w:p>
        </w:tc>
        <w:tc>
          <w:tcPr>
            <w:tcW w:w="567" w:type="pct"/>
          </w:tcPr>
          <w:p w14:paraId="7D3D7F9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0.72</w:t>
            </w:r>
          </w:p>
        </w:tc>
        <w:tc>
          <w:tcPr>
            <w:tcW w:w="491" w:type="pct"/>
          </w:tcPr>
          <w:p w14:paraId="3B552B2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0.99</w:t>
            </w:r>
          </w:p>
        </w:tc>
        <w:tc>
          <w:tcPr>
            <w:tcW w:w="453" w:type="pct"/>
          </w:tcPr>
          <w:p w14:paraId="4D65933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53" w:type="pct"/>
          </w:tcPr>
          <w:p w14:paraId="4CCE991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4</w:t>
            </w:r>
          </w:p>
        </w:tc>
        <w:tc>
          <w:tcPr>
            <w:tcW w:w="567" w:type="pct"/>
          </w:tcPr>
          <w:p w14:paraId="2CD348C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1.12</w:t>
            </w:r>
          </w:p>
        </w:tc>
        <w:tc>
          <w:tcPr>
            <w:tcW w:w="491" w:type="pct"/>
          </w:tcPr>
          <w:p w14:paraId="409C53E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1.31</w:t>
            </w:r>
          </w:p>
        </w:tc>
        <w:tc>
          <w:tcPr>
            <w:tcW w:w="453" w:type="pct"/>
          </w:tcPr>
          <w:p w14:paraId="484AF18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53" w:type="pct"/>
          </w:tcPr>
          <w:p w14:paraId="7E20752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w:t>
            </w:r>
          </w:p>
        </w:tc>
      </w:tr>
      <w:tr w:rsidR="00D35D27" w:rsidRPr="00DD0A30" w14:paraId="4A63C928" w14:textId="77777777" w:rsidTr="00E54EDA">
        <w:tc>
          <w:tcPr>
            <w:tcW w:w="1073" w:type="pct"/>
          </w:tcPr>
          <w:p w14:paraId="7C6090A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Suspense</w:t>
            </w:r>
          </w:p>
        </w:tc>
        <w:tc>
          <w:tcPr>
            <w:tcW w:w="567" w:type="pct"/>
          </w:tcPr>
          <w:p w14:paraId="1F9ACBD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0.44</w:t>
            </w:r>
          </w:p>
        </w:tc>
        <w:tc>
          <w:tcPr>
            <w:tcW w:w="491" w:type="pct"/>
          </w:tcPr>
          <w:p w14:paraId="108A90C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0.50</w:t>
            </w:r>
          </w:p>
        </w:tc>
        <w:tc>
          <w:tcPr>
            <w:tcW w:w="453" w:type="pct"/>
          </w:tcPr>
          <w:p w14:paraId="2EE2144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53" w:type="pct"/>
          </w:tcPr>
          <w:p w14:paraId="3231327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567" w:type="pct"/>
          </w:tcPr>
          <w:p w14:paraId="246A32C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0.49</w:t>
            </w:r>
          </w:p>
        </w:tc>
        <w:tc>
          <w:tcPr>
            <w:tcW w:w="491" w:type="pct"/>
          </w:tcPr>
          <w:p w14:paraId="192A1E6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0.50</w:t>
            </w:r>
          </w:p>
        </w:tc>
        <w:tc>
          <w:tcPr>
            <w:tcW w:w="453" w:type="pct"/>
          </w:tcPr>
          <w:p w14:paraId="7FDD652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53" w:type="pct"/>
          </w:tcPr>
          <w:p w14:paraId="6B7D8BA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r>
      <w:tr w:rsidR="00D35D27" w:rsidRPr="00DD0A30" w14:paraId="62E9E45D" w14:textId="77777777" w:rsidTr="00E54EDA">
        <w:tc>
          <w:tcPr>
            <w:tcW w:w="1073" w:type="pct"/>
          </w:tcPr>
          <w:p w14:paraId="7128D99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(favourite)</w:t>
            </w:r>
          </w:p>
        </w:tc>
        <w:tc>
          <w:tcPr>
            <w:tcW w:w="567" w:type="pct"/>
          </w:tcPr>
          <w:p w14:paraId="47319DA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1904.6</w:t>
            </w:r>
          </w:p>
        </w:tc>
        <w:tc>
          <w:tcPr>
            <w:tcW w:w="491" w:type="pct"/>
          </w:tcPr>
          <w:p w14:paraId="5579D0E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106.8</w:t>
            </w:r>
          </w:p>
        </w:tc>
        <w:tc>
          <w:tcPr>
            <w:tcW w:w="453" w:type="pct"/>
          </w:tcPr>
          <w:p w14:paraId="3D511C5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1644</w:t>
            </w:r>
          </w:p>
        </w:tc>
        <w:tc>
          <w:tcPr>
            <w:tcW w:w="453" w:type="pct"/>
          </w:tcPr>
          <w:p w14:paraId="6BB831C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2169</w:t>
            </w:r>
          </w:p>
        </w:tc>
        <w:tc>
          <w:tcPr>
            <w:tcW w:w="567" w:type="pct"/>
          </w:tcPr>
          <w:p w14:paraId="145B98A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1940.8</w:t>
            </w:r>
          </w:p>
        </w:tc>
        <w:tc>
          <w:tcPr>
            <w:tcW w:w="491" w:type="pct"/>
          </w:tcPr>
          <w:p w14:paraId="18FB4EC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84.5</w:t>
            </w:r>
          </w:p>
        </w:tc>
        <w:tc>
          <w:tcPr>
            <w:tcW w:w="453" w:type="pct"/>
          </w:tcPr>
          <w:p w14:paraId="7C0AE10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1671</w:t>
            </w:r>
          </w:p>
        </w:tc>
        <w:tc>
          <w:tcPr>
            <w:tcW w:w="453" w:type="pct"/>
          </w:tcPr>
          <w:p w14:paraId="4868434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2127</w:t>
            </w:r>
          </w:p>
        </w:tc>
      </w:tr>
      <w:tr w:rsidR="00D35D27" w:rsidRPr="00DD0A30" w14:paraId="1674B945" w14:textId="77777777" w:rsidTr="00E54EDA">
        <w:tc>
          <w:tcPr>
            <w:tcW w:w="1073" w:type="pct"/>
          </w:tcPr>
          <w:p w14:paraId="41EAC15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(underdog)</w:t>
            </w:r>
          </w:p>
        </w:tc>
        <w:tc>
          <w:tcPr>
            <w:tcW w:w="567" w:type="pct"/>
          </w:tcPr>
          <w:p w14:paraId="6608F71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1730.4</w:t>
            </w:r>
          </w:p>
        </w:tc>
        <w:tc>
          <w:tcPr>
            <w:tcW w:w="491" w:type="pct"/>
          </w:tcPr>
          <w:p w14:paraId="00FCBD5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95.3</w:t>
            </w:r>
          </w:p>
        </w:tc>
        <w:tc>
          <w:tcPr>
            <w:tcW w:w="453" w:type="pct"/>
          </w:tcPr>
          <w:p w14:paraId="7AF8C07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1460</w:t>
            </w:r>
          </w:p>
        </w:tc>
        <w:tc>
          <w:tcPr>
            <w:tcW w:w="453" w:type="pct"/>
          </w:tcPr>
          <w:p w14:paraId="33FBA95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1944</w:t>
            </w:r>
          </w:p>
        </w:tc>
        <w:tc>
          <w:tcPr>
            <w:tcW w:w="567" w:type="pct"/>
          </w:tcPr>
          <w:p w14:paraId="589C180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1812.0</w:t>
            </w:r>
          </w:p>
        </w:tc>
        <w:tc>
          <w:tcPr>
            <w:tcW w:w="491" w:type="pct"/>
          </w:tcPr>
          <w:p w14:paraId="775322A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102.1</w:t>
            </w:r>
          </w:p>
        </w:tc>
        <w:tc>
          <w:tcPr>
            <w:tcW w:w="453" w:type="pct"/>
          </w:tcPr>
          <w:p w14:paraId="4B64630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1523</w:t>
            </w:r>
          </w:p>
        </w:tc>
        <w:tc>
          <w:tcPr>
            <w:tcW w:w="453" w:type="pct"/>
          </w:tcPr>
          <w:p w14:paraId="653752E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2040</w:t>
            </w:r>
          </w:p>
        </w:tc>
      </w:tr>
      <w:tr w:rsidR="00D35D27" w:rsidRPr="00DD0A30" w14:paraId="61EBE5E8" w14:textId="77777777" w:rsidTr="00E54EDA">
        <w:tc>
          <w:tcPr>
            <w:tcW w:w="1073" w:type="pct"/>
          </w:tcPr>
          <w:p w14:paraId="16F452E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1st</w:t>
            </w:r>
          </w:p>
        </w:tc>
        <w:tc>
          <w:tcPr>
            <w:tcW w:w="567" w:type="pct"/>
          </w:tcPr>
          <w:p w14:paraId="361C27C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1987.9</w:t>
            </w:r>
          </w:p>
        </w:tc>
        <w:tc>
          <w:tcPr>
            <w:tcW w:w="491" w:type="pct"/>
          </w:tcPr>
          <w:p w14:paraId="712FC7C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77.1</w:t>
            </w:r>
          </w:p>
        </w:tc>
        <w:tc>
          <w:tcPr>
            <w:tcW w:w="453" w:type="pct"/>
          </w:tcPr>
          <w:p w14:paraId="5110E5A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1845</w:t>
            </w:r>
          </w:p>
        </w:tc>
        <w:tc>
          <w:tcPr>
            <w:tcW w:w="453" w:type="pct"/>
          </w:tcPr>
          <w:p w14:paraId="1046298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2169</w:t>
            </w:r>
          </w:p>
        </w:tc>
        <w:tc>
          <w:tcPr>
            <w:tcW w:w="567" w:type="pct"/>
          </w:tcPr>
          <w:p w14:paraId="6EB40A4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1998.4</w:t>
            </w:r>
          </w:p>
        </w:tc>
        <w:tc>
          <w:tcPr>
            <w:tcW w:w="491" w:type="pct"/>
          </w:tcPr>
          <w:p w14:paraId="0BFBA87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58.3</w:t>
            </w:r>
          </w:p>
        </w:tc>
        <w:tc>
          <w:tcPr>
            <w:tcW w:w="453" w:type="pct"/>
          </w:tcPr>
          <w:p w14:paraId="507A2F7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1850</w:t>
            </w:r>
          </w:p>
        </w:tc>
        <w:tc>
          <w:tcPr>
            <w:tcW w:w="453" w:type="pct"/>
          </w:tcPr>
          <w:p w14:paraId="7A7B294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2127</w:t>
            </w:r>
          </w:p>
        </w:tc>
      </w:tr>
      <w:tr w:rsidR="00D35D27" w:rsidRPr="00DD0A30" w14:paraId="395B148B" w14:textId="77777777" w:rsidTr="00E54EDA">
        <w:tc>
          <w:tcPr>
            <w:tcW w:w="1073" w:type="pct"/>
          </w:tcPr>
          <w:p w14:paraId="31DFD00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2nd</w:t>
            </w:r>
          </w:p>
        </w:tc>
        <w:tc>
          <w:tcPr>
            <w:tcW w:w="567" w:type="pct"/>
          </w:tcPr>
          <w:p w14:paraId="723C286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1855.7</w:t>
            </w:r>
          </w:p>
        </w:tc>
        <w:tc>
          <w:tcPr>
            <w:tcW w:w="491" w:type="pct"/>
          </w:tcPr>
          <w:p w14:paraId="08E605E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63.6</w:t>
            </w:r>
          </w:p>
        </w:tc>
        <w:tc>
          <w:tcPr>
            <w:tcW w:w="453" w:type="pct"/>
          </w:tcPr>
          <w:p w14:paraId="7B7D41B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1678</w:t>
            </w:r>
          </w:p>
        </w:tc>
        <w:tc>
          <w:tcPr>
            <w:tcW w:w="453" w:type="pct"/>
          </w:tcPr>
          <w:p w14:paraId="0F4ED84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1986</w:t>
            </w:r>
          </w:p>
        </w:tc>
        <w:tc>
          <w:tcPr>
            <w:tcW w:w="567" w:type="pct"/>
          </w:tcPr>
          <w:p w14:paraId="5ECD057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1909.6</w:t>
            </w:r>
          </w:p>
        </w:tc>
        <w:tc>
          <w:tcPr>
            <w:tcW w:w="491" w:type="pct"/>
          </w:tcPr>
          <w:p w14:paraId="7A57C45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71.9</w:t>
            </w:r>
          </w:p>
        </w:tc>
        <w:tc>
          <w:tcPr>
            <w:tcW w:w="453" w:type="pct"/>
          </w:tcPr>
          <w:p w14:paraId="1413AE6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1766</w:t>
            </w:r>
          </w:p>
        </w:tc>
        <w:tc>
          <w:tcPr>
            <w:tcW w:w="453" w:type="pct"/>
          </w:tcPr>
          <w:p w14:paraId="5216377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2043</w:t>
            </w:r>
          </w:p>
        </w:tc>
      </w:tr>
      <w:tr w:rsidR="00D35D27" w:rsidRPr="00DD0A30" w14:paraId="791689CA" w14:textId="77777777" w:rsidTr="00E54EDA">
        <w:tc>
          <w:tcPr>
            <w:tcW w:w="1073" w:type="pct"/>
          </w:tcPr>
          <w:p w14:paraId="762FEE7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3rd</w:t>
            </w:r>
          </w:p>
        </w:tc>
        <w:tc>
          <w:tcPr>
            <w:tcW w:w="567" w:type="pct"/>
          </w:tcPr>
          <w:p w14:paraId="27DB25A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1777.7</w:t>
            </w:r>
          </w:p>
        </w:tc>
        <w:tc>
          <w:tcPr>
            <w:tcW w:w="491" w:type="pct"/>
          </w:tcPr>
          <w:p w14:paraId="1D3FCE3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61.4</w:t>
            </w:r>
          </w:p>
        </w:tc>
        <w:tc>
          <w:tcPr>
            <w:tcW w:w="453" w:type="pct"/>
          </w:tcPr>
          <w:p w14:paraId="33D79C7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1644</w:t>
            </w:r>
          </w:p>
        </w:tc>
        <w:tc>
          <w:tcPr>
            <w:tcW w:w="453" w:type="pct"/>
          </w:tcPr>
          <w:p w14:paraId="719AD58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1920</w:t>
            </w:r>
          </w:p>
        </w:tc>
        <w:tc>
          <w:tcPr>
            <w:tcW w:w="567" w:type="pct"/>
          </w:tcPr>
          <w:p w14:paraId="5BFD7FE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1843.0</w:t>
            </w:r>
          </w:p>
        </w:tc>
        <w:tc>
          <w:tcPr>
            <w:tcW w:w="491" w:type="pct"/>
          </w:tcPr>
          <w:p w14:paraId="2720395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69.3</w:t>
            </w:r>
          </w:p>
        </w:tc>
        <w:tc>
          <w:tcPr>
            <w:tcW w:w="453" w:type="pct"/>
          </w:tcPr>
          <w:p w14:paraId="1A44FE4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1671</w:t>
            </w:r>
          </w:p>
        </w:tc>
        <w:tc>
          <w:tcPr>
            <w:tcW w:w="453" w:type="pct"/>
          </w:tcPr>
          <w:p w14:paraId="63DB8F5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1973</w:t>
            </w:r>
          </w:p>
        </w:tc>
      </w:tr>
      <w:tr w:rsidR="00D35D27" w:rsidRPr="00DD0A30" w14:paraId="56011CFE" w14:textId="77777777" w:rsidTr="00E71122">
        <w:tc>
          <w:tcPr>
            <w:tcW w:w="1073" w:type="pct"/>
            <w:tcBorders>
              <w:bottom w:val="single" w:sz="4" w:space="0" w:color="000000" w:themeColor="text1"/>
            </w:tcBorders>
          </w:tcPr>
          <w:p w14:paraId="70B1096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4th</w:t>
            </w:r>
          </w:p>
        </w:tc>
        <w:tc>
          <w:tcPr>
            <w:tcW w:w="567" w:type="pct"/>
            <w:tcBorders>
              <w:bottom w:val="single" w:sz="4" w:space="0" w:color="000000" w:themeColor="text1"/>
            </w:tcBorders>
          </w:tcPr>
          <w:p w14:paraId="52C1F04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1668.1</w:t>
            </w:r>
          </w:p>
        </w:tc>
        <w:tc>
          <w:tcPr>
            <w:tcW w:w="491" w:type="pct"/>
            <w:tcBorders>
              <w:bottom w:val="single" w:sz="4" w:space="0" w:color="000000" w:themeColor="text1"/>
            </w:tcBorders>
          </w:tcPr>
          <w:p w14:paraId="752CDC5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72.4</w:t>
            </w:r>
          </w:p>
        </w:tc>
        <w:tc>
          <w:tcPr>
            <w:tcW w:w="453" w:type="pct"/>
            <w:tcBorders>
              <w:bottom w:val="single" w:sz="4" w:space="0" w:color="000000" w:themeColor="text1"/>
            </w:tcBorders>
          </w:tcPr>
          <w:p w14:paraId="550DE70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1460</w:t>
            </w:r>
          </w:p>
        </w:tc>
        <w:tc>
          <w:tcPr>
            <w:tcW w:w="453" w:type="pct"/>
            <w:tcBorders>
              <w:bottom w:val="single" w:sz="4" w:space="0" w:color="000000" w:themeColor="text1"/>
            </w:tcBorders>
          </w:tcPr>
          <w:p w14:paraId="1165918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1852</w:t>
            </w:r>
          </w:p>
        </w:tc>
        <w:tc>
          <w:tcPr>
            <w:tcW w:w="567" w:type="pct"/>
            <w:tcBorders>
              <w:bottom w:val="single" w:sz="4" w:space="0" w:color="000000" w:themeColor="text1"/>
            </w:tcBorders>
          </w:tcPr>
          <w:p w14:paraId="008BA2B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1748.6</w:t>
            </w:r>
          </w:p>
        </w:tc>
        <w:tc>
          <w:tcPr>
            <w:tcW w:w="491" w:type="pct"/>
            <w:tcBorders>
              <w:bottom w:val="single" w:sz="4" w:space="0" w:color="000000" w:themeColor="text1"/>
            </w:tcBorders>
          </w:tcPr>
          <w:p w14:paraId="07ECDC7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86.0</w:t>
            </w:r>
          </w:p>
        </w:tc>
        <w:tc>
          <w:tcPr>
            <w:tcW w:w="453" w:type="pct"/>
            <w:tcBorders>
              <w:bottom w:val="single" w:sz="4" w:space="0" w:color="000000" w:themeColor="text1"/>
            </w:tcBorders>
          </w:tcPr>
          <w:p w14:paraId="24D32A6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1523</w:t>
            </w:r>
          </w:p>
        </w:tc>
        <w:tc>
          <w:tcPr>
            <w:tcW w:w="453" w:type="pct"/>
            <w:tcBorders>
              <w:bottom w:val="single" w:sz="4" w:space="0" w:color="000000" w:themeColor="text1"/>
            </w:tcBorders>
          </w:tcPr>
          <w:p w14:paraId="540EC75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1912</w:t>
            </w:r>
          </w:p>
        </w:tc>
      </w:tr>
      <w:tr w:rsidR="00D35D27" w:rsidRPr="00DD0A30" w14:paraId="3077AA85" w14:textId="77777777" w:rsidTr="00E71122">
        <w:tc>
          <w:tcPr>
            <w:tcW w:w="1073" w:type="pct"/>
            <w:tcBorders>
              <w:top w:val="single" w:sz="4" w:space="0" w:color="000000" w:themeColor="text1"/>
              <w:bottom w:val="single" w:sz="4" w:space="0" w:color="000000" w:themeColor="text1"/>
            </w:tcBorders>
          </w:tcPr>
          <w:p w14:paraId="03C2250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Observations</w:t>
            </w:r>
          </w:p>
        </w:tc>
        <w:tc>
          <w:tcPr>
            <w:tcW w:w="1964" w:type="pct"/>
            <w:gridSpan w:val="4"/>
            <w:tcBorders>
              <w:top w:val="single" w:sz="4" w:space="0" w:color="000000" w:themeColor="text1"/>
              <w:bottom w:val="single" w:sz="4" w:space="0" w:color="000000" w:themeColor="text1"/>
            </w:tcBorders>
          </w:tcPr>
          <w:p w14:paraId="4A132E79" w14:textId="77777777" w:rsidR="00D35D27" w:rsidRPr="00DD0A30" w:rsidRDefault="00000000" w:rsidP="00E54EDA">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381</w:t>
            </w:r>
          </w:p>
        </w:tc>
        <w:tc>
          <w:tcPr>
            <w:tcW w:w="1964" w:type="pct"/>
            <w:gridSpan w:val="4"/>
            <w:tcBorders>
              <w:top w:val="single" w:sz="4" w:space="0" w:color="000000" w:themeColor="text1"/>
              <w:bottom w:val="single" w:sz="4" w:space="0" w:color="000000" w:themeColor="text1"/>
            </w:tcBorders>
          </w:tcPr>
          <w:p w14:paraId="5CEAA2E2" w14:textId="77777777" w:rsidR="00D35D27" w:rsidRPr="00DD0A30" w:rsidRDefault="00000000" w:rsidP="00E54EDA">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226</w:t>
            </w:r>
          </w:p>
        </w:tc>
      </w:tr>
    </w:tbl>
    <w:bookmarkEnd w:id="8"/>
    <w:p w14:paraId="79D571CD" w14:textId="77777777" w:rsidR="00D35D27" w:rsidRDefault="00000000" w:rsidP="00DD0A30">
      <w:pPr>
        <w:pStyle w:val="BodyText"/>
        <w:spacing w:line="360" w:lineRule="auto"/>
        <w:jc w:val="both"/>
        <w:rPr>
          <w:rFonts w:ascii="Times New Roman" w:hAnsi="Times New Roman" w:cs="Times New Roman"/>
          <w:sz w:val="18"/>
          <w:szCs w:val="18"/>
        </w:rPr>
      </w:pPr>
      <w:r w:rsidRPr="00274ECA">
        <w:rPr>
          <w:rFonts w:ascii="Times New Roman" w:hAnsi="Times New Roman" w:cs="Times New Roman"/>
          <w:i/>
          <w:iCs/>
          <w:sz w:val="18"/>
          <w:szCs w:val="18"/>
        </w:rPr>
        <w:t>Notes:</w:t>
      </w:r>
      <w:r w:rsidRPr="00274ECA">
        <w:rPr>
          <w:rFonts w:ascii="Times New Roman" w:hAnsi="Times New Roman" w:cs="Times New Roman"/>
          <w:sz w:val="18"/>
          <w:szCs w:val="18"/>
        </w:rPr>
        <w:t xml:space="preserve"> Unit of observation is a goal scored on matchday 3. Initial-state rows (minute </w:t>
      </w:r>
      <m:oMath>
        <m:r>
          <m:rPr>
            <m:sty m:val="p"/>
          </m:rPr>
          <w:rPr>
            <w:rFonts w:ascii="Cambria Math" w:hAnsi="Cambria Math" w:cs="Times New Roman"/>
            <w:sz w:val="18"/>
            <w:szCs w:val="18"/>
          </w:rPr>
          <m:t>=</m:t>
        </m:r>
        <m:r>
          <w:rPr>
            <w:rFonts w:ascii="Cambria Math" w:hAnsi="Cambria Math" w:cs="Times New Roman"/>
            <w:sz w:val="18"/>
            <w:szCs w:val="18"/>
          </w:rPr>
          <m:t>0</m:t>
        </m:r>
      </m:oMath>
      <w:r w:rsidRPr="00274ECA">
        <w:rPr>
          <w:rFonts w:ascii="Times New Roman" w:hAnsi="Times New Roman" w:cs="Times New Roman"/>
          <w:sz w:val="18"/>
          <w:szCs w:val="18"/>
        </w:rPr>
        <w:t xml:space="preserve">, one per group per matchday) are excluded. </w:t>
      </w:r>
      <w:r w:rsidRPr="00274ECA">
        <w:rPr>
          <w:rFonts w:ascii="Times New Roman" w:hAnsi="Times New Roman" w:cs="Times New Roman"/>
          <w:i/>
          <w:iCs/>
          <w:sz w:val="18"/>
          <w:szCs w:val="18"/>
        </w:rPr>
        <w:t>Qual. changed</w:t>
      </w:r>
      <w:r w:rsidRPr="00274ECA">
        <w:rPr>
          <w:rFonts w:ascii="Times New Roman" w:hAnsi="Times New Roman" w:cs="Times New Roman"/>
          <w:sz w:val="18"/>
          <w:szCs w:val="18"/>
        </w:rPr>
        <w:t xml:space="preserve"> equals 1 when the set of qualifying teams changes from one goal to the next. </w:t>
      </w:r>
      <w:r w:rsidRPr="00274ECA">
        <w:rPr>
          <w:rFonts w:ascii="Times New Roman" w:hAnsi="Times New Roman" w:cs="Times New Roman"/>
          <w:i/>
          <w:iCs/>
          <w:sz w:val="18"/>
          <w:szCs w:val="18"/>
        </w:rPr>
        <w:t>Qual. count</w:t>
      </w:r>
      <w:r w:rsidRPr="00274ECA">
        <w:rPr>
          <w:rFonts w:ascii="Times New Roman" w:hAnsi="Times New Roman" w:cs="Times New Roman"/>
          <w:sz w:val="18"/>
          <w:szCs w:val="18"/>
        </w:rPr>
        <w:t xml:space="preserve"> is the cumulative number of such changes within the group. </w:t>
      </w:r>
      <w:r w:rsidRPr="00274ECA">
        <w:rPr>
          <w:rFonts w:ascii="Times New Roman" w:hAnsi="Times New Roman" w:cs="Times New Roman"/>
          <w:i/>
          <w:iCs/>
          <w:sz w:val="18"/>
          <w:szCs w:val="18"/>
        </w:rPr>
        <w:t>Suspense</w:t>
      </w:r>
      <w:r w:rsidRPr="00274ECA">
        <w:rPr>
          <w:rFonts w:ascii="Times New Roman" w:hAnsi="Times New Roman" w:cs="Times New Roman"/>
          <w:sz w:val="18"/>
          <w:szCs w:val="18"/>
        </w:rPr>
        <w:t xml:space="preserve"> equals 1 when the next goal would change the qualifying composition. </w:t>
      </w:r>
      <w:r w:rsidRPr="00274ECA">
        <w:rPr>
          <w:rFonts w:ascii="Times New Roman" w:hAnsi="Times New Roman" w:cs="Times New Roman"/>
          <w:i/>
          <w:iCs/>
          <w:sz w:val="18"/>
          <w:szCs w:val="18"/>
        </w:rPr>
        <w:t>Elo (favourite)</w:t>
      </w:r>
      <w:r w:rsidRPr="00274ECA">
        <w:rPr>
          <w:rFonts w:ascii="Times New Roman" w:hAnsi="Times New Roman" w:cs="Times New Roman"/>
          <w:sz w:val="18"/>
          <w:szCs w:val="18"/>
        </w:rPr>
        <w:t xml:space="preserve"> and </w:t>
      </w:r>
      <w:r w:rsidRPr="00274ECA">
        <w:rPr>
          <w:rFonts w:ascii="Times New Roman" w:hAnsi="Times New Roman" w:cs="Times New Roman"/>
          <w:i/>
          <w:iCs/>
          <w:sz w:val="18"/>
          <w:szCs w:val="18"/>
        </w:rPr>
        <w:t>Elo (underdog)</w:t>
      </w:r>
      <w:r w:rsidRPr="00274ECA">
        <w:rPr>
          <w:rFonts w:ascii="Times New Roman" w:hAnsi="Times New Roman" w:cs="Times New Roman"/>
          <w:sz w:val="18"/>
          <w:szCs w:val="18"/>
        </w:rPr>
        <w:t xml:space="preserve"> are the Elo ratings of the stronger and weaker team in each match. </w:t>
      </w:r>
      <w:r w:rsidRPr="00274ECA">
        <w:rPr>
          <w:rFonts w:ascii="Times New Roman" w:hAnsi="Times New Roman" w:cs="Times New Roman"/>
          <w:i/>
          <w:iCs/>
          <w:sz w:val="18"/>
          <w:szCs w:val="18"/>
        </w:rPr>
        <w:t>Elo 1st</w:t>
      </w:r>
      <w:r w:rsidRPr="00274ECA">
        <w:rPr>
          <w:rFonts w:ascii="Times New Roman" w:hAnsi="Times New Roman" w:cs="Times New Roman"/>
          <w:sz w:val="18"/>
          <w:szCs w:val="18"/>
        </w:rPr>
        <w:t>–</w:t>
      </w:r>
      <w:r w:rsidRPr="00274ECA">
        <w:rPr>
          <w:rFonts w:ascii="Times New Roman" w:hAnsi="Times New Roman" w:cs="Times New Roman"/>
          <w:i/>
          <w:iCs/>
          <w:sz w:val="18"/>
          <w:szCs w:val="18"/>
        </w:rPr>
        <w:t>Elo 4th</w:t>
      </w:r>
      <w:r w:rsidRPr="00274ECA">
        <w:rPr>
          <w:rFonts w:ascii="Times New Roman" w:hAnsi="Times New Roman" w:cs="Times New Roman"/>
          <w:sz w:val="18"/>
          <w:szCs w:val="18"/>
        </w:rPr>
        <w:t xml:space="preserve"> are group-level Elo ranks from highest to lowest.</w:t>
      </w:r>
    </w:p>
    <w:p w14:paraId="50871E39" w14:textId="77777777" w:rsidR="00E71122" w:rsidRDefault="00E71122" w:rsidP="00DD0A30">
      <w:pPr>
        <w:pStyle w:val="BodyText"/>
        <w:spacing w:line="360" w:lineRule="auto"/>
        <w:jc w:val="both"/>
        <w:rPr>
          <w:rFonts w:ascii="Times New Roman" w:hAnsi="Times New Roman" w:cs="Times New Roman"/>
          <w:sz w:val="18"/>
          <w:szCs w:val="18"/>
        </w:rPr>
      </w:pPr>
    </w:p>
    <w:p w14:paraId="792CEE3F" w14:textId="77777777" w:rsidR="00E71122" w:rsidRDefault="00E71122" w:rsidP="00DD0A30">
      <w:pPr>
        <w:pStyle w:val="BodyText"/>
        <w:spacing w:line="360" w:lineRule="auto"/>
        <w:jc w:val="both"/>
        <w:rPr>
          <w:rFonts w:ascii="Times New Roman" w:hAnsi="Times New Roman" w:cs="Times New Roman"/>
          <w:sz w:val="18"/>
          <w:szCs w:val="18"/>
        </w:rPr>
      </w:pPr>
    </w:p>
    <w:p w14:paraId="113A1BDE" w14:textId="77777777" w:rsidR="00E71122" w:rsidRDefault="00E71122" w:rsidP="00DD0A30">
      <w:pPr>
        <w:pStyle w:val="BodyText"/>
        <w:spacing w:line="360" w:lineRule="auto"/>
        <w:jc w:val="both"/>
        <w:rPr>
          <w:rFonts w:ascii="Times New Roman" w:hAnsi="Times New Roman" w:cs="Times New Roman"/>
          <w:sz w:val="18"/>
          <w:szCs w:val="18"/>
        </w:rPr>
      </w:pPr>
    </w:p>
    <w:p w14:paraId="32B9D137" w14:textId="77777777" w:rsidR="00E71122" w:rsidRDefault="00E71122" w:rsidP="00DD0A30">
      <w:pPr>
        <w:pStyle w:val="BodyText"/>
        <w:spacing w:line="360" w:lineRule="auto"/>
        <w:jc w:val="both"/>
        <w:rPr>
          <w:rFonts w:ascii="Times New Roman" w:hAnsi="Times New Roman" w:cs="Times New Roman"/>
          <w:sz w:val="18"/>
          <w:szCs w:val="18"/>
        </w:rPr>
      </w:pPr>
    </w:p>
    <w:p w14:paraId="6AFCC934" w14:textId="77777777" w:rsidR="00E71122" w:rsidRPr="00274ECA" w:rsidRDefault="00E71122" w:rsidP="00DD0A30">
      <w:pPr>
        <w:pStyle w:val="BodyText"/>
        <w:spacing w:line="360" w:lineRule="auto"/>
        <w:jc w:val="both"/>
        <w:rPr>
          <w:rFonts w:ascii="Times New Roman" w:hAnsi="Times New Roman" w:cs="Times New Roman"/>
          <w:sz w:val="18"/>
          <w:szCs w:val="18"/>
        </w:rPr>
      </w:pPr>
    </w:p>
    <w:p w14:paraId="0C7BBC3D" w14:textId="41351A61" w:rsidR="00D35D27" w:rsidRPr="00DD0A30" w:rsidRDefault="00E71122" w:rsidP="00DD0A30">
      <w:pPr>
        <w:pStyle w:val="TableCaption"/>
        <w:spacing w:line="360" w:lineRule="auto"/>
        <w:jc w:val="both"/>
        <w:rPr>
          <w:rFonts w:ascii="Times New Roman" w:hAnsi="Times New Roman" w:cs="Times New Roman"/>
          <w:sz w:val="22"/>
          <w:szCs w:val="22"/>
        </w:rPr>
      </w:pPr>
      <w:bookmarkStart w:id="9" w:name="tab:desc_stats_mbm"/>
      <w:r>
        <w:rPr>
          <w:rFonts w:ascii="Times New Roman" w:hAnsi="Times New Roman" w:cs="Times New Roman"/>
          <w:sz w:val="22"/>
          <w:szCs w:val="22"/>
        </w:rPr>
        <w:lastRenderedPageBreak/>
        <w:t xml:space="preserve">Table 2: </w:t>
      </w:r>
      <w:r w:rsidR="00000000" w:rsidRPr="00DD0A30">
        <w:rPr>
          <w:rFonts w:ascii="Times New Roman" w:hAnsi="Times New Roman" w:cs="Times New Roman"/>
          <w:sz w:val="22"/>
          <w:szCs w:val="22"/>
        </w:rPr>
        <w:t>Descriptive statistics – Minute-by-minute dataset</w:t>
      </w:r>
    </w:p>
    <w:tbl>
      <w:tblPr>
        <w:tblStyle w:val="Table"/>
        <w:tblW w:w="5000" w:type="pct"/>
        <w:tblLook w:val="0020" w:firstRow="1" w:lastRow="0" w:firstColumn="0" w:lastColumn="0" w:noHBand="0" w:noVBand="0"/>
      </w:tblPr>
      <w:tblGrid>
        <w:gridCol w:w="2178"/>
        <w:gridCol w:w="1202"/>
        <w:gridCol w:w="880"/>
        <w:gridCol w:w="962"/>
        <w:gridCol w:w="962"/>
        <w:gridCol w:w="1202"/>
        <w:gridCol w:w="880"/>
        <w:gridCol w:w="962"/>
        <w:gridCol w:w="960"/>
      </w:tblGrid>
      <w:tr w:rsidR="00D35D27" w:rsidRPr="00DD0A30" w14:paraId="222BB2A7" w14:textId="77777777" w:rsidTr="00E71122">
        <w:trPr>
          <w:cnfStyle w:val="100000000000" w:firstRow="1" w:lastRow="0" w:firstColumn="0" w:lastColumn="0" w:oddVBand="0" w:evenVBand="0" w:oddHBand="0" w:evenHBand="0" w:firstRowFirstColumn="0" w:firstRowLastColumn="0" w:lastRowFirstColumn="0" w:lastRowLastColumn="0"/>
          <w:tblHeader/>
        </w:trPr>
        <w:tc>
          <w:tcPr>
            <w:tcW w:w="1069" w:type="pct"/>
            <w:tcBorders>
              <w:top w:val="single" w:sz="4" w:space="0" w:color="000000" w:themeColor="text1"/>
              <w:bottom w:val="single" w:sz="4" w:space="0" w:color="000000" w:themeColor="text1"/>
            </w:tcBorders>
          </w:tcPr>
          <w:p w14:paraId="01F11FE5"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965" w:type="pct"/>
            <w:gridSpan w:val="4"/>
            <w:tcBorders>
              <w:top w:val="single" w:sz="4" w:space="0" w:color="000000" w:themeColor="text1"/>
              <w:bottom w:val="single" w:sz="4" w:space="0" w:color="000000" w:themeColor="text1"/>
            </w:tcBorders>
          </w:tcPr>
          <w:p w14:paraId="1A613C5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World Cup (FIFA rules)</w:t>
            </w:r>
          </w:p>
        </w:tc>
        <w:tc>
          <w:tcPr>
            <w:tcW w:w="1965" w:type="pct"/>
            <w:gridSpan w:val="4"/>
            <w:tcBorders>
              <w:top w:val="single" w:sz="4" w:space="0" w:color="000000" w:themeColor="text1"/>
              <w:bottom w:val="single" w:sz="4" w:space="0" w:color="000000" w:themeColor="text1"/>
            </w:tcBorders>
          </w:tcPr>
          <w:p w14:paraId="1F55305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Euro (UEFA rules)</w:t>
            </w:r>
          </w:p>
        </w:tc>
      </w:tr>
      <w:tr w:rsidR="00D35D27" w:rsidRPr="00DD0A30" w14:paraId="6BC23333" w14:textId="77777777" w:rsidTr="00E71122">
        <w:tc>
          <w:tcPr>
            <w:tcW w:w="1069" w:type="pct"/>
            <w:tcBorders>
              <w:top w:val="single" w:sz="4" w:space="0" w:color="000000" w:themeColor="text1"/>
              <w:bottom w:val="single" w:sz="4" w:space="0" w:color="000000" w:themeColor="text1"/>
            </w:tcBorders>
          </w:tcPr>
          <w:p w14:paraId="017163A0" w14:textId="3288CF34" w:rsidR="00D35D27" w:rsidRPr="00DD0A30" w:rsidRDefault="00D35D27" w:rsidP="00DD0A30">
            <w:pPr>
              <w:pStyle w:val="Compact"/>
              <w:spacing w:line="360" w:lineRule="auto"/>
              <w:jc w:val="both"/>
              <w:rPr>
                <w:rFonts w:ascii="Times New Roman" w:hAnsi="Times New Roman" w:cs="Times New Roman"/>
                <w:sz w:val="22"/>
                <w:szCs w:val="22"/>
              </w:rPr>
            </w:pPr>
          </w:p>
        </w:tc>
        <w:tc>
          <w:tcPr>
            <w:tcW w:w="590" w:type="pct"/>
            <w:tcBorders>
              <w:top w:val="single" w:sz="4" w:space="0" w:color="000000" w:themeColor="text1"/>
              <w:bottom w:val="single" w:sz="4" w:space="0" w:color="000000" w:themeColor="text1"/>
            </w:tcBorders>
          </w:tcPr>
          <w:p w14:paraId="7607920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Mean</w:t>
            </w:r>
          </w:p>
        </w:tc>
        <w:tc>
          <w:tcPr>
            <w:tcW w:w="432" w:type="pct"/>
            <w:tcBorders>
              <w:top w:val="single" w:sz="4" w:space="0" w:color="000000" w:themeColor="text1"/>
              <w:bottom w:val="single" w:sz="4" w:space="0" w:color="000000" w:themeColor="text1"/>
            </w:tcBorders>
          </w:tcPr>
          <w:p w14:paraId="1B7999B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SD</w:t>
            </w:r>
          </w:p>
        </w:tc>
        <w:tc>
          <w:tcPr>
            <w:tcW w:w="472" w:type="pct"/>
            <w:tcBorders>
              <w:top w:val="single" w:sz="4" w:space="0" w:color="000000" w:themeColor="text1"/>
              <w:bottom w:val="single" w:sz="4" w:space="0" w:color="000000" w:themeColor="text1"/>
            </w:tcBorders>
          </w:tcPr>
          <w:p w14:paraId="2309F27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Min</w:t>
            </w:r>
          </w:p>
        </w:tc>
        <w:tc>
          <w:tcPr>
            <w:tcW w:w="472" w:type="pct"/>
            <w:tcBorders>
              <w:top w:val="single" w:sz="4" w:space="0" w:color="000000" w:themeColor="text1"/>
              <w:bottom w:val="single" w:sz="4" w:space="0" w:color="000000" w:themeColor="text1"/>
            </w:tcBorders>
          </w:tcPr>
          <w:p w14:paraId="4FA6BC6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Max</w:t>
            </w:r>
          </w:p>
        </w:tc>
        <w:tc>
          <w:tcPr>
            <w:tcW w:w="590" w:type="pct"/>
            <w:tcBorders>
              <w:top w:val="single" w:sz="4" w:space="0" w:color="000000" w:themeColor="text1"/>
              <w:bottom w:val="single" w:sz="4" w:space="0" w:color="000000" w:themeColor="text1"/>
            </w:tcBorders>
          </w:tcPr>
          <w:p w14:paraId="4A96B61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Mean</w:t>
            </w:r>
          </w:p>
        </w:tc>
        <w:tc>
          <w:tcPr>
            <w:tcW w:w="432" w:type="pct"/>
            <w:tcBorders>
              <w:top w:val="single" w:sz="4" w:space="0" w:color="000000" w:themeColor="text1"/>
              <w:bottom w:val="single" w:sz="4" w:space="0" w:color="000000" w:themeColor="text1"/>
            </w:tcBorders>
          </w:tcPr>
          <w:p w14:paraId="12D3DE0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SD</w:t>
            </w:r>
          </w:p>
        </w:tc>
        <w:tc>
          <w:tcPr>
            <w:tcW w:w="472" w:type="pct"/>
            <w:tcBorders>
              <w:top w:val="single" w:sz="4" w:space="0" w:color="000000" w:themeColor="text1"/>
              <w:bottom w:val="single" w:sz="4" w:space="0" w:color="000000" w:themeColor="text1"/>
            </w:tcBorders>
          </w:tcPr>
          <w:p w14:paraId="64F8A3C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Min</w:t>
            </w:r>
          </w:p>
        </w:tc>
        <w:tc>
          <w:tcPr>
            <w:tcW w:w="472" w:type="pct"/>
            <w:tcBorders>
              <w:top w:val="single" w:sz="4" w:space="0" w:color="000000" w:themeColor="text1"/>
              <w:bottom w:val="single" w:sz="4" w:space="0" w:color="000000" w:themeColor="text1"/>
            </w:tcBorders>
          </w:tcPr>
          <w:p w14:paraId="31B0EEB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Max</w:t>
            </w:r>
          </w:p>
        </w:tc>
      </w:tr>
      <w:tr w:rsidR="00D35D27" w:rsidRPr="00DD0A30" w14:paraId="1DE6343C" w14:textId="77777777" w:rsidTr="00E71122">
        <w:tc>
          <w:tcPr>
            <w:tcW w:w="1069" w:type="pct"/>
            <w:tcBorders>
              <w:top w:val="single" w:sz="4" w:space="0" w:color="000000" w:themeColor="text1"/>
            </w:tcBorders>
          </w:tcPr>
          <w:p w14:paraId="1433142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Qual. changed</w:t>
            </w:r>
          </w:p>
        </w:tc>
        <w:tc>
          <w:tcPr>
            <w:tcW w:w="590" w:type="pct"/>
            <w:tcBorders>
              <w:top w:val="single" w:sz="4" w:space="0" w:color="000000" w:themeColor="text1"/>
            </w:tcBorders>
          </w:tcPr>
          <w:p w14:paraId="0697FF5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0.15</w:t>
            </w:r>
          </w:p>
        </w:tc>
        <w:tc>
          <w:tcPr>
            <w:tcW w:w="432" w:type="pct"/>
            <w:tcBorders>
              <w:top w:val="single" w:sz="4" w:space="0" w:color="000000" w:themeColor="text1"/>
            </w:tcBorders>
          </w:tcPr>
          <w:p w14:paraId="102BA62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0.36</w:t>
            </w:r>
          </w:p>
        </w:tc>
        <w:tc>
          <w:tcPr>
            <w:tcW w:w="472" w:type="pct"/>
            <w:tcBorders>
              <w:top w:val="single" w:sz="4" w:space="0" w:color="000000" w:themeColor="text1"/>
            </w:tcBorders>
          </w:tcPr>
          <w:p w14:paraId="75917E6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72" w:type="pct"/>
            <w:tcBorders>
              <w:top w:val="single" w:sz="4" w:space="0" w:color="000000" w:themeColor="text1"/>
            </w:tcBorders>
          </w:tcPr>
          <w:p w14:paraId="69AA3E2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590" w:type="pct"/>
            <w:tcBorders>
              <w:top w:val="single" w:sz="4" w:space="0" w:color="000000" w:themeColor="text1"/>
            </w:tcBorders>
          </w:tcPr>
          <w:p w14:paraId="431E719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0.24</w:t>
            </w:r>
          </w:p>
        </w:tc>
        <w:tc>
          <w:tcPr>
            <w:tcW w:w="432" w:type="pct"/>
            <w:tcBorders>
              <w:top w:val="single" w:sz="4" w:space="0" w:color="000000" w:themeColor="text1"/>
            </w:tcBorders>
          </w:tcPr>
          <w:p w14:paraId="01F8CCD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0.43</w:t>
            </w:r>
          </w:p>
        </w:tc>
        <w:tc>
          <w:tcPr>
            <w:tcW w:w="472" w:type="pct"/>
            <w:tcBorders>
              <w:top w:val="single" w:sz="4" w:space="0" w:color="000000" w:themeColor="text1"/>
            </w:tcBorders>
          </w:tcPr>
          <w:p w14:paraId="40D7B1F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72" w:type="pct"/>
            <w:tcBorders>
              <w:top w:val="single" w:sz="4" w:space="0" w:color="000000" w:themeColor="text1"/>
            </w:tcBorders>
          </w:tcPr>
          <w:p w14:paraId="2DD34AB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r>
      <w:tr w:rsidR="00D35D27" w:rsidRPr="00DD0A30" w14:paraId="7FE3F272" w14:textId="77777777" w:rsidTr="00E71122">
        <w:tc>
          <w:tcPr>
            <w:tcW w:w="1069" w:type="pct"/>
          </w:tcPr>
          <w:p w14:paraId="236EAEE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Qual. count</w:t>
            </w:r>
          </w:p>
        </w:tc>
        <w:tc>
          <w:tcPr>
            <w:tcW w:w="590" w:type="pct"/>
          </w:tcPr>
          <w:p w14:paraId="683883D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0.48</w:t>
            </w:r>
          </w:p>
        </w:tc>
        <w:tc>
          <w:tcPr>
            <w:tcW w:w="432" w:type="pct"/>
          </w:tcPr>
          <w:p w14:paraId="5B27E57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0.81</w:t>
            </w:r>
          </w:p>
        </w:tc>
        <w:tc>
          <w:tcPr>
            <w:tcW w:w="472" w:type="pct"/>
          </w:tcPr>
          <w:p w14:paraId="2499FB5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72" w:type="pct"/>
          </w:tcPr>
          <w:p w14:paraId="424B0F0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4</w:t>
            </w:r>
          </w:p>
        </w:tc>
        <w:tc>
          <w:tcPr>
            <w:tcW w:w="590" w:type="pct"/>
          </w:tcPr>
          <w:p w14:paraId="548CF0D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0.69</w:t>
            </w:r>
          </w:p>
        </w:tc>
        <w:tc>
          <w:tcPr>
            <w:tcW w:w="432" w:type="pct"/>
          </w:tcPr>
          <w:p w14:paraId="3DFF30E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1.11</w:t>
            </w:r>
          </w:p>
        </w:tc>
        <w:tc>
          <w:tcPr>
            <w:tcW w:w="472" w:type="pct"/>
          </w:tcPr>
          <w:p w14:paraId="020409D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72" w:type="pct"/>
          </w:tcPr>
          <w:p w14:paraId="6FFAB44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w:t>
            </w:r>
          </w:p>
        </w:tc>
      </w:tr>
      <w:tr w:rsidR="00D35D27" w:rsidRPr="00DD0A30" w14:paraId="15B73FA7" w14:textId="77777777" w:rsidTr="00E71122">
        <w:tc>
          <w:tcPr>
            <w:tcW w:w="1069" w:type="pct"/>
          </w:tcPr>
          <w:p w14:paraId="66D8F5B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Suspense</w:t>
            </w:r>
          </w:p>
        </w:tc>
        <w:tc>
          <w:tcPr>
            <w:tcW w:w="590" w:type="pct"/>
          </w:tcPr>
          <w:p w14:paraId="2C57B33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0.50</w:t>
            </w:r>
          </w:p>
        </w:tc>
        <w:tc>
          <w:tcPr>
            <w:tcW w:w="432" w:type="pct"/>
          </w:tcPr>
          <w:p w14:paraId="3B832C3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0.50</w:t>
            </w:r>
          </w:p>
        </w:tc>
        <w:tc>
          <w:tcPr>
            <w:tcW w:w="472" w:type="pct"/>
          </w:tcPr>
          <w:p w14:paraId="3244B8D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72" w:type="pct"/>
          </w:tcPr>
          <w:p w14:paraId="1172D43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590" w:type="pct"/>
          </w:tcPr>
          <w:p w14:paraId="7D42F9F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0.57</w:t>
            </w:r>
          </w:p>
        </w:tc>
        <w:tc>
          <w:tcPr>
            <w:tcW w:w="432" w:type="pct"/>
          </w:tcPr>
          <w:p w14:paraId="0D7D8D3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0.50</w:t>
            </w:r>
          </w:p>
        </w:tc>
        <w:tc>
          <w:tcPr>
            <w:tcW w:w="472" w:type="pct"/>
          </w:tcPr>
          <w:p w14:paraId="249E7DD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w:t>
            </w:r>
          </w:p>
        </w:tc>
        <w:tc>
          <w:tcPr>
            <w:tcW w:w="472" w:type="pct"/>
          </w:tcPr>
          <w:p w14:paraId="6F4DC62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r>
      <w:tr w:rsidR="00D35D27" w:rsidRPr="00DD0A30" w14:paraId="38F0803C" w14:textId="77777777" w:rsidTr="00E71122">
        <w:tc>
          <w:tcPr>
            <w:tcW w:w="1069" w:type="pct"/>
          </w:tcPr>
          <w:p w14:paraId="3211A4C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1st</w:t>
            </w:r>
          </w:p>
        </w:tc>
        <w:tc>
          <w:tcPr>
            <w:tcW w:w="590" w:type="pct"/>
          </w:tcPr>
          <w:p w14:paraId="69EB98E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1984.9</w:t>
            </w:r>
          </w:p>
        </w:tc>
        <w:tc>
          <w:tcPr>
            <w:tcW w:w="432" w:type="pct"/>
          </w:tcPr>
          <w:p w14:paraId="0E5670C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74.4</w:t>
            </w:r>
          </w:p>
        </w:tc>
        <w:tc>
          <w:tcPr>
            <w:tcW w:w="472" w:type="pct"/>
          </w:tcPr>
          <w:p w14:paraId="25312A0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1845</w:t>
            </w:r>
          </w:p>
        </w:tc>
        <w:tc>
          <w:tcPr>
            <w:tcW w:w="472" w:type="pct"/>
          </w:tcPr>
          <w:p w14:paraId="6A254C8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2169</w:t>
            </w:r>
          </w:p>
        </w:tc>
        <w:tc>
          <w:tcPr>
            <w:tcW w:w="590" w:type="pct"/>
          </w:tcPr>
          <w:p w14:paraId="33F644B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1993.0</w:t>
            </w:r>
          </w:p>
        </w:tc>
        <w:tc>
          <w:tcPr>
            <w:tcW w:w="432" w:type="pct"/>
          </w:tcPr>
          <w:p w14:paraId="09B7009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57.3</w:t>
            </w:r>
          </w:p>
        </w:tc>
        <w:tc>
          <w:tcPr>
            <w:tcW w:w="472" w:type="pct"/>
          </w:tcPr>
          <w:p w14:paraId="4C9F629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1850</w:t>
            </w:r>
          </w:p>
        </w:tc>
        <w:tc>
          <w:tcPr>
            <w:tcW w:w="472" w:type="pct"/>
          </w:tcPr>
          <w:p w14:paraId="1996601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2127</w:t>
            </w:r>
          </w:p>
        </w:tc>
      </w:tr>
      <w:tr w:rsidR="00D35D27" w:rsidRPr="00DD0A30" w14:paraId="44130E40" w14:textId="77777777" w:rsidTr="00E71122">
        <w:tc>
          <w:tcPr>
            <w:tcW w:w="1069" w:type="pct"/>
          </w:tcPr>
          <w:p w14:paraId="7D7454A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2nd</w:t>
            </w:r>
          </w:p>
        </w:tc>
        <w:tc>
          <w:tcPr>
            <w:tcW w:w="590" w:type="pct"/>
          </w:tcPr>
          <w:p w14:paraId="72DFDF0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1862.6</w:t>
            </w:r>
          </w:p>
        </w:tc>
        <w:tc>
          <w:tcPr>
            <w:tcW w:w="432" w:type="pct"/>
          </w:tcPr>
          <w:p w14:paraId="117D276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62.5</w:t>
            </w:r>
          </w:p>
        </w:tc>
        <w:tc>
          <w:tcPr>
            <w:tcW w:w="472" w:type="pct"/>
          </w:tcPr>
          <w:p w14:paraId="095C817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1678</w:t>
            </w:r>
          </w:p>
        </w:tc>
        <w:tc>
          <w:tcPr>
            <w:tcW w:w="472" w:type="pct"/>
          </w:tcPr>
          <w:p w14:paraId="3CE07CA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1986</w:t>
            </w:r>
          </w:p>
        </w:tc>
        <w:tc>
          <w:tcPr>
            <w:tcW w:w="590" w:type="pct"/>
          </w:tcPr>
          <w:p w14:paraId="0B1B60F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1896.0</w:t>
            </w:r>
          </w:p>
        </w:tc>
        <w:tc>
          <w:tcPr>
            <w:tcW w:w="432" w:type="pct"/>
          </w:tcPr>
          <w:p w14:paraId="3462FFE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72.9</w:t>
            </w:r>
          </w:p>
        </w:tc>
        <w:tc>
          <w:tcPr>
            <w:tcW w:w="472" w:type="pct"/>
          </w:tcPr>
          <w:p w14:paraId="5501030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1766</w:t>
            </w:r>
          </w:p>
        </w:tc>
        <w:tc>
          <w:tcPr>
            <w:tcW w:w="472" w:type="pct"/>
          </w:tcPr>
          <w:p w14:paraId="22DE453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2043</w:t>
            </w:r>
          </w:p>
        </w:tc>
      </w:tr>
      <w:tr w:rsidR="00D35D27" w:rsidRPr="00DD0A30" w14:paraId="3FAFF7C7" w14:textId="77777777" w:rsidTr="00E71122">
        <w:tc>
          <w:tcPr>
            <w:tcW w:w="1069" w:type="pct"/>
          </w:tcPr>
          <w:p w14:paraId="2A1685F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3rd</w:t>
            </w:r>
          </w:p>
        </w:tc>
        <w:tc>
          <w:tcPr>
            <w:tcW w:w="590" w:type="pct"/>
          </w:tcPr>
          <w:p w14:paraId="3D1E30F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1780.7</w:t>
            </w:r>
          </w:p>
        </w:tc>
        <w:tc>
          <w:tcPr>
            <w:tcW w:w="432" w:type="pct"/>
          </w:tcPr>
          <w:p w14:paraId="4A49649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64.5</w:t>
            </w:r>
          </w:p>
        </w:tc>
        <w:tc>
          <w:tcPr>
            <w:tcW w:w="472" w:type="pct"/>
          </w:tcPr>
          <w:p w14:paraId="7CA4240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1644</w:t>
            </w:r>
          </w:p>
        </w:tc>
        <w:tc>
          <w:tcPr>
            <w:tcW w:w="472" w:type="pct"/>
          </w:tcPr>
          <w:p w14:paraId="40063AF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1920</w:t>
            </w:r>
          </w:p>
        </w:tc>
        <w:tc>
          <w:tcPr>
            <w:tcW w:w="590" w:type="pct"/>
          </w:tcPr>
          <w:p w14:paraId="4A0FFDB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1833.4</w:t>
            </w:r>
          </w:p>
        </w:tc>
        <w:tc>
          <w:tcPr>
            <w:tcW w:w="432" w:type="pct"/>
          </w:tcPr>
          <w:p w14:paraId="6284A72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70.6</w:t>
            </w:r>
          </w:p>
        </w:tc>
        <w:tc>
          <w:tcPr>
            <w:tcW w:w="472" w:type="pct"/>
          </w:tcPr>
          <w:p w14:paraId="160E397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1671</w:t>
            </w:r>
          </w:p>
        </w:tc>
        <w:tc>
          <w:tcPr>
            <w:tcW w:w="472" w:type="pct"/>
          </w:tcPr>
          <w:p w14:paraId="3ABEAAE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1973</w:t>
            </w:r>
          </w:p>
        </w:tc>
      </w:tr>
      <w:tr w:rsidR="00D35D27" w:rsidRPr="00DD0A30" w14:paraId="1D2ED8FC" w14:textId="77777777" w:rsidTr="00E71122">
        <w:tc>
          <w:tcPr>
            <w:tcW w:w="1069" w:type="pct"/>
            <w:tcBorders>
              <w:bottom w:val="single" w:sz="4" w:space="0" w:color="000000" w:themeColor="text1"/>
            </w:tcBorders>
          </w:tcPr>
          <w:p w14:paraId="5CC1512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4th</w:t>
            </w:r>
          </w:p>
        </w:tc>
        <w:tc>
          <w:tcPr>
            <w:tcW w:w="590" w:type="pct"/>
            <w:tcBorders>
              <w:bottom w:val="single" w:sz="4" w:space="0" w:color="000000" w:themeColor="text1"/>
            </w:tcBorders>
          </w:tcPr>
          <w:p w14:paraId="7F541AE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1668.2</w:t>
            </w:r>
          </w:p>
        </w:tc>
        <w:tc>
          <w:tcPr>
            <w:tcW w:w="432" w:type="pct"/>
            <w:tcBorders>
              <w:bottom w:val="single" w:sz="4" w:space="0" w:color="000000" w:themeColor="text1"/>
            </w:tcBorders>
          </w:tcPr>
          <w:p w14:paraId="58996E9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76.0</w:t>
            </w:r>
          </w:p>
        </w:tc>
        <w:tc>
          <w:tcPr>
            <w:tcW w:w="472" w:type="pct"/>
            <w:tcBorders>
              <w:bottom w:val="single" w:sz="4" w:space="0" w:color="000000" w:themeColor="text1"/>
            </w:tcBorders>
          </w:tcPr>
          <w:p w14:paraId="113503D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1460</w:t>
            </w:r>
          </w:p>
        </w:tc>
        <w:tc>
          <w:tcPr>
            <w:tcW w:w="472" w:type="pct"/>
            <w:tcBorders>
              <w:bottom w:val="single" w:sz="4" w:space="0" w:color="000000" w:themeColor="text1"/>
            </w:tcBorders>
          </w:tcPr>
          <w:p w14:paraId="39E1B05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1852</w:t>
            </w:r>
          </w:p>
        </w:tc>
        <w:tc>
          <w:tcPr>
            <w:tcW w:w="590" w:type="pct"/>
            <w:tcBorders>
              <w:bottom w:val="single" w:sz="4" w:space="0" w:color="000000" w:themeColor="text1"/>
            </w:tcBorders>
          </w:tcPr>
          <w:p w14:paraId="2236D3E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1741.4</w:t>
            </w:r>
          </w:p>
        </w:tc>
        <w:tc>
          <w:tcPr>
            <w:tcW w:w="432" w:type="pct"/>
            <w:tcBorders>
              <w:bottom w:val="single" w:sz="4" w:space="0" w:color="000000" w:themeColor="text1"/>
            </w:tcBorders>
          </w:tcPr>
          <w:p w14:paraId="2C6BCD5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88.5</w:t>
            </w:r>
          </w:p>
        </w:tc>
        <w:tc>
          <w:tcPr>
            <w:tcW w:w="472" w:type="pct"/>
            <w:tcBorders>
              <w:bottom w:val="single" w:sz="4" w:space="0" w:color="000000" w:themeColor="text1"/>
            </w:tcBorders>
          </w:tcPr>
          <w:p w14:paraId="3EB036B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1523</w:t>
            </w:r>
          </w:p>
        </w:tc>
        <w:tc>
          <w:tcPr>
            <w:tcW w:w="472" w:type="pct"/>
            <w:tcBorders>
              <w:bottom w:val="single" w:sz="4" w:space="0" w:color="000000" w:themeColor="text1"/>
            </w:tcBorders>
          </w:tcPr>
          <w:p w14:paraId="09304E0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1912</w:t>
            </w:r>
          </w:p>
        </w:tc>
      </w:tr>
      <w:tr w:rsidR="00D35D27" w:rsidRPr="00DD0A30" w14:paraId="17BD51E9" w14:textId="77777777" w:rsidTr="00E71122">
        <w:tc>
          <w:tcPr>
            <w:tcW w:w="1069" w:type="pct"/>
            <w:tcBorders>
              <w:top w:val="single" w:sz="4" w:space="0" w:color="000000" w:themeColor="text1"/>
              <w:bottom w:val="single" w:sz="4" w:space="0" w:color="000000" w:themeColor="text1"/>
            </w:tcBorders>
          </w:tcPr>
          <w:p w14:paraId="2946FEF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Observations</w:t>
            </w:r>
          </w:p>
        </w:tc>
        <w:tc>
          <w:tcPr>
            <w:tcW w:w="1965" w:type="pct"/>
            <w:gridSpan w:val="4"/>
            <w:tcBorders>
              <w:top w:val="single" w:sz="4" w:space="0" w:color="000000" w:themeColor="text1"/>
              <w:bottom w:val="single" w:sz="4" w:space="0" w:color="000000" w:themeColor="text1"/>
            </w:tcBorders>
          </w:tcPr>
          <w:p w14:paraId="23B0CF4F" w14:textId="77777777" w:rsidR="00D35D27" w:rsidRPr="00DD0A30" w:rsidRDefault="00000000" w:rsidP="00E71122">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6,789</w:t>
            </w:r>
          </w:p>
        </w:tc>
        <w:tc>
          <w:tcPr>
            <w:tcW w:w="1965" w:type="pct"/>
            <w:gridSpan w:val="4"/>
            <w:tcBorders>
              <w:top w:val="single" w:sz="4" w:space="0" w:color="000000" w:themeColor="text1"/>
              <w:bottom w:val="single" w:sz="4" w:space="0" w:color="000000" w:themeColor="text1"/>
            </w:tcBorders>
          </w:tcPr>
          <w:p w14:paraId="510DC14C" w14:textId="77777777" w:rsidR="00D35D27" w:rsidRPr="00DD0A30" w:rsidRDefault="00000000" w:rsidP="00E71122">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4,044</w:t>
            </w:r>
          </w:p>
        </w:tc>
      </w:tr>
    </w:tbl>
    <w:bookmarkEnd w:id="9"/>
    <w:p w14:paraId="54FC0E31" w14:textId="77777777" w:rsidR="00D35D27" w:rsidRPr="00831F1A" w:rsidRDefault="00000000" w:rsidP="00DD0A30">
      <w:pPr>
        <w:pStyle w:val="BodyText"/>
        <w:spacing w:line="360" w:lineRule="auto"/>
        <w:jc w:val="both"/>
        <w:rPr>
          <w:rFonts w:ascii="Times New Roman" w:hAnsi="Times New Roman" w:cs="Times New Roman"/>
          <w:sz w:val="18"/>
          <w:szCs w:val="18"/>
        </w:rPr>
      </w:pPr>
      <w:r w:rsidRPr="00831F1A">
        <w:rPr>
          <w:rFonts w:ascii="Times New Roman" w:hAnsi="Times New Roman" w:cs="Times New Roman"/>
          <w:i/>
          <w:iCs/>
          <w:sz w:val="18"/>
          <w:szCs w:val="18"/>
        </w:rPr>
        <w:t>Notes:</w:t>
      </w:r>
      <w:r w:rsidRPr="00831F1A">
        <w:rPr>
          <w:rFonts w:ascii="Times New Roman" w:hAnsi="Times New Roman" w:cs="Times New Roman"/>
          <w:sz w:val="18"/>
          <w:szCs w:val="18"/>
        </w:rPr>
        <w:t xml:space="preserve"> Unit of observation is a match minute on matchday 3. The dataset spans from minute 1 to minute 90 for each match, extended beyond minute 90 for matches in which at least one goal was scored in extra time. </w:t>
      </w:r>
      <w:r w:rsidRPr="00831F1A">
        <w:rPr>
          <w:rFonts w:ascii="Times New Roman" w:hAnsi="Times New Roman" w:cs="Times New Roman"/>
          <w:i/>
          <w:iCs/>
          <w:sz w:val="18"/>
          <w:szCs w:val="18"/>
        </w:rPr>
        <w:t>Qual. changed</w:t>
      </w:r>
      <w:r w:rsidRPr="00831F1A">
        <w:rPr>
          <w:rFonts w:ascii="Times New Roman" w:hAnsi="Times New Roman" w:cs="Times New Roman"/>
          <w:sz w:val="18"/>
          <w:szCs w:val="18"/>
        </w:rPr>
        <w:t xml:space="preserve"> equals 1 when a goal at that minute changes the set of qualifying teams. </w:t>
      </w:r>
      <w:r w:rsidRPr="00831F1A">
        <w:rPr>
          <w:rFonts w:ascii="Times New Roman" w:hAnsi="Times New Roman" w:cs="Times New Roman"/>
          <w:i/>
          <w:iCs/>
          <w:sz w:val="18"/>
          <w:szCs w:val="18"/>
        </w:rPr>
        <w:t>Qual. count</w:t>
      </w:r>
      <w:r w:rsidRPr="00831F1A">
        <w:rPr>
          <w:rFonts w:ascii="Times New Roman" w:hAnsi="Times New Roman" w:cs="Times New Roman"/>
          <w:sz w:val="18"/>
          <w:szCs w:val="18"/>
        </w:rPr>
        <w:t xml:space="preserve"> is the cumulative number of such changes within the group up to that minute. </w:t>
      </w:r>
      <w:r w:rsidRPr="00831F1A">
        <w:rPr>
          <w:rFonts w:ascii="Times New Roman" w:hAnsi="Times New Roman" w:cs="Times New Roman"/>
          <w:i/>
          <w:iCs/>
          <w:sz w:val="18"/>
          <w:szCs w:val="18"/>
        </w:rPr>
        <w:t>Suspense</w:t>
      </w:r>
      <w:r w:rsidRPr="00831F1A">
        <w:rPr>
          <w:rFonts w:ascii="Times New Roman" w:hAnsi="Times New Roman" w:cs="Times New Roman"/>
          <w:sz w:val="18"/>
          <w:szCs w:val="18"/>
        </w:rPr>
        <w:t xml:space="preserve"> equals 1 when the next goal would change the qualifying composition. </w:t>
      </w:r>
      <w:r w:rsidRPr="00831F1A">
        <w:rPr>
          <w:rFonts w:ascii="Times New Roman" w:hAnsi="Times New Roman" w:cs="Times New Roman"/>
          <w:i/>
          <w:iCs/>
          <w:sz w:val="18"/>
          <w:szCs w:val="18"/>
        </w:rPr>
        <w:t>Elo 1st</w:t>
      </w:r>
      <w:r w:rsidRPr="00831F1A">
        <w:rPr>
          <w:rFonts w:ascii="Times New Roman" w:hAnsi="Times New Roman" w:cs="Times New Roman"/>
          <w:sz w:val="18"/>
          <w:szCs w:val="18"/>
        </w:rPr>
        <w:t>–</w:t>
      </w:r>
      <w:r w:rsidRPr="00831F1A">
        <w:rPr>
          <w:rFonts w:ascii="Times New Roman" w:hAnsi="Times New Roman" w:cs="Times New Roman"/>
          <w:i/>
          <w:iCs/>
          <w:sz w:val="18"/>
          <w:szCs w:val="18"/>
        </w:rPr>
        <w:t>Elo 4th</w:t>
      </w:r>
      <w:r w:rsidRPr="00831F1A">
        <w:rPr>
          <w:rFonts w:ascii="Times New Roman" w:hAnsi="Times New Roman" w:cs="Times New Roman"/>
          <w:sz w:val="18"/>
          <w:szCs w:val="18"/>
        </w:rPr>
        <w:t xml:space="preserve"> are group-level Elo ranks from highest to lowest.</w:t>
      </w:r>
    </w:p>
    <w:p w14:paraId="64B950A1" w14:textId="20A31BF7" w:rsidR="00D35D27" w:rsidRPr="00216A31" w:rsidRDefault="00000000" w:rsidP="00216A31">
      <w:pPr>
        <w:pStyle w:val="Heading2"/>
        <w:numPr>
          <w:ilvl w:val="1"/>
          <w:numId w:val="10"/>
        </w:numPr>
        <w:spacing w:line="360" w:lineRule="auto"/>
        <w:jc w:val="both"/>
        <w:rPr>
          <w:rFonts w:ascii="Times New Roman" w:hAnsi="Times New Roman" w:cs="Times New Roman"/>
          <w:b/>
          <w:bCs/>
          <w:color w:val="auto"/>
          <w:sz w:val="22"/>
          <w:szCs w:val="22"/>
        </w:rPr>
      </w:pPr>
      <w:bookmarkStart w:id="10" w:name="statistical-tests"/>
      <w:bookmarkEnd w:id="7"/>
      <w:r w:rsidRPr="00216A31">
        <w:rPr>
          <w:rFonts w:ascii="Times New Roman" w:hAnsi="Times New Roman" w:cs="Times New Roman"/>
          <w:b/>
          <w:bCs/>
          <w:color w:val="auto"/>
          <w:sz w:val="22"/>
          <w:szCs w:val="22"/>
        </w:rPr>
        <w:t>Statistical Tests</w:t>
      </w:r>
    </w:p>
    <w:p w14:paraId="345720BB"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Table </w:t>
      </w:r>
      <w:hyperlink w:anchor="tab:tests_diff">
        <w:r w:rsidR="00D35D27" w:rsidRPr="00DD0A30">
          <w:rPr>
            <w:rStyle w:val="Hyperlink"/>
            <w:rFonts w:ascii="Times New Roman" w:hAnsi="Times New Roman" w:cs="Times New Roman"/>
            <w:sz w:val="22"/>
            <w:szCs w:val="22"/>
          </w:rPr>
          <w:t>3</w:t>
        </w:r>
      </w:hyperlink>
      <w:r w:rsidRPr="00DD0A30">
        <w:rPr>
          <w:rFonts w:ascii="Times New Roman" w:hAnsi="Times New Roman" w:cs="Times New Roman"/>
          <w:sz w:val="22"/>
          <w:szCs w:val="22"/>
        </w:rPr>
        <w:t xml:space="preserve"> reports paired t-tests and Wilcoxon signed-rank tests comparing group-level mean suspense and mean qualification count across all 74 World Cup groups and all 44 European Championship groups. For the World Cup, the two tie-breaking rules produce markedly different levels of suspense: FIFA rules generate significantly higher group-level suspense than UEFA rules (</w:t>
      </w:r>
      <m:oMath>
        <m:r>
          <w:rPr>
            <w:rFonts w:ascii="Cambria Math" w:hAnsi="Cambria Math" w:cs="Times New Roman"/>
            <w:sz w:val="22"/>
            <w:szCs w:val="22"/>
          </w:rPr>
          <m:t>p</m:t>
        </m:r>
        <m:r>
          <m:rPr>
            <m:sty m:val="p"/>
          </m:rPr>
          <w:rPr>
            <w:rFonts w:ascii="Cambria Math" w:hAnsi="Cambria Math" w:cs="Times New Roman"/>
            <w:sz w:val="22"/>
            <w:szCs w:val="22"/>
          </w:rPr>
          <m:t>&lt;</m:t>
        </m:r>
        <m:r>
          <w:rPr>
            <w:rFonts w:ascii="Cambria Math" w:hAnsi="Cambria Math" w:cs="Times New Roman"/>
            <w:sz w:val="22"/>
            <w:szCs w:val="22"/>
          </w:rPr>
          <m:t>0.01</m:t>
        </m:r>
      </m:oMath>
      <w:r w:rsidRPr="00DD0A30">
        <w:rPr>
          <w:rFonts w:ascii="Times New Roman" w:hAnsi="Times New Roman" w:cs="Times New Roman"/>
          <w:sz w:val="22"/>
          <w:szCs w:val="22"/>
        </w:rPr>
        <w:t>, both tests), while the frequency of actual qualification turnover shows no statistically significant difference across the two systems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0.535</m:t>
        </m:r>
      </m:oMath>
      <w:r w:rsidRPr="00DD0A30">
        <w:rPr>
          <w:rFonts w:ascii="Times New Roman" w:hAnsi="Times New Roman" w:cs="Times New Roman"/>
          <w:sz w:val="22"/>
          <w:szCs w:val="22"/>
        </w:rPr>
        <w:t xml:space="preserve">). This separation is important: the FIFA rule increases the number of </w:t>
      </w:r>
      <w:r w:rsidRPr="00DD0A30">
        <w:rPr>
          <w:rFonts w:ascii="Times New Roman" w:hAnsi="Times New Roman" w:cs="Times New Roman"/>
          <w:i/>
          <w:iCs/>
          <w:sz w:val="22"/>
          <w:szCs w:val="22"/>
        </w:rPr>
        <w:t>potential</w:t>
      </w:r>
      <w:r w:rsidRPr="00DD0A30">
        <w:rPr>
          <w:rFonts w:ascii="Times New Roman" w:hAnsi="Times New Roman" w:cs="Times New Roman"/>
          <w:sz w:val="22"/>
          <w:szCs w:val="22"/>
        </w:rPr>
        <w:t xml:space="preserve"> qualification changes — and hence suspense — without necessarily changing the frequency of </w:t>
      </w:r>
      <w:r w:rsidRPr="00DD0A30">
        <w:rPr>
          <w:rFonts w:ascii="Times New Roman" w:hAnsi="Times New Roman" w:cs="Times New Roman"/>
          <w:i/>
          <w:iCs/>
          <w:sz w:val="22"/>
          <w:szCs w:val="22"/>
        </w:rPr>
        <w:t>actual</w:t>
      </w:r>
      <w:r w:rsidRPr="00DD0A30">
        <w:rPr>
          <w:rFonts w:ascii="Times New Roman" w:hAnsi="Times New Roman" w:cs="Times New Roman"/>
          <w:sz w:val="22"/>
          <w:szCs w:val="22"/>
        </w:rPr>
        <w:t xml:space="preserve"> changes in the qualifying composition.</w:t>
      </w:r>
    </w:p>
    <w:p w14:paraId="0D8F8386" w14:textId="77777777" w:rsidR="00D35D27"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the European Championship, by contrast, neither suspense nor qualification turnover differs significantly between the two rules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0.389</m:t>
        </m:r>
      </m:oMath>
      <w:r w:rsidRPr="00DD0A30">
        <w:rPr>
          <w:rFonts w:ascii="Times New Roman" w:hAnsi="Times New Roman" w:cs="Times New Roman"/>
          <w:sz w:val="22"/>
          <w:szCs w:val="22"/>
        </w:rPr>
        <w:t xml:space="preserve"> and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0.182</m:t>
        </m:r>
      </m:oMath>
      <w:r w:rsidRPr="00DD0A30">
        <w:rPr>
          <w:rFonts w:ascii="Times New Roman" w:hAnsi="Times New Roman" w:cs="Times New Roman"/>
          <w:sz w:val="22"/>
          <w:szCs w:val="22"/>
        </w:rPr>
        <w:t xml:space="preserve"> respectively).</w:t>
      </w:r>
    </w:p>
    <w:p w14:paraId="6D6F5A21" w14:textId="77777777" w:rsidR="00831F1A" w:rsidRDefault="00831F1A" w:rsidP="00DD0A30">
      <w:pPr>
        <w:pStyle w:val="BodyText"/>
        <w:spacing w:line="360" w:lineRule="auto"/>
        <w:jc w:val="both"/>
        <w:rPr>
          <w:rFonts w:ascii="Times New Roman" w:hAnsi="Times New Roman" w:cs="Times New Roman"/>
          <w:sz w:val="22"/>
          <w:szCs w:val="22"/>
        </w:rPr>
      </w:pPr>
    </w:p>
    <w:p w14:paraId="61D50403" w14:textId="77777777" w:rsidR="00831F1A" w:rsidRDefault="00831F1A" w:rsidP="00DD0A30">
      <w:pPr>
        <w:pStyle w:val="BodyText"/>
        <w:spacing w:line="360" w:lineRule="auto"/>
        <w:jc w:val="both"/>
        <w:rPr>
          <w:rFonts w:ascii="Times New Roman" w:hAnsi="Times New Roman" w:cs="Times New Roman"/>
          <w:sz w:val="22"/>
          <w:szCs w:val="22"/>
        </w:rPr>
      </w:pPr>
    </w:p>
    <w:p w14:paraId="4B6E479F" w14:textId="77777777" w:rsidR="00831F1A" w:rsidRPr="00DD0A30" w:rsidRDefault="00831F1A" w:rsidP="00DD0A30">
      <w:pPr>
        <w:pStyle w:val="BodyText"/>
        <w:spacing w:line="360" w:lineRule="auto"/>
        <w:jc w:val="both"/>
        <w:rPr>
          <w:rFonts w:ascii="Times New Roman" w:hAnsi="Times New Roman" w:cs="Times New Roman"/>
          <w:sz w:val="22"/>
          <w:szCs w:val="22"/>
        </w:rPr>
      </w:pPr>
    </w:p>
    <w:p w14:paraId="55B55A22" w14:textId="59A0F31A" w:rsidR="00D35D27" w:rsidRPr="00DD0A30" w:rsidRDefault="00831F1A" w:rsidP="00DD0A30">
      <w:pPr>
        <w:pStyle w:val="TableCaption"/>
        <w:spacing w:line="360" w:lineRule="auto"/>
        <w:jc w:val="both"/>
        <w:rPr>
          <w:rFonts w:ascii="Times New Roman" w:hAnsi="Times New Roman" w:cs="Times New Roman"/>
          <w:sz w:val="22"/>
          <w:szCs w:val="22"/>
        </w:rPr>
      </w:pPr>
      <w:bookmarkStart w:id="11" w:name="tab:tests_diff"/>
      <w:r>
        <w:rPr>
          <w:rFonts w:ascii="Times New Roman" w:hAnsi="Times New Roman" w:cs="Times New Roman"/>
          <w:sz w:val="22"/>
          <w:szCs w:val="22"/>
        </w:rPr>
        <w:lastRenderedPageBreak/>
        <w:t xml:space="preserve">Table 3: </w:t>
      </w:r>
      <w:r w:rsidR="00000000" w:rsidRPr="00DD0A30">
        <w:rPr>
          <w:rFonts w:ascii="Times New Roman" w:hAnsi="Times New Roman" w:cs="Times New Roman"/>
          <w:sz w:val="22"/>
          <w:szCs w:val="22"/>
        </w:rPr>
        <w:t>Differences between UEFA and FIFA tiebreak rules: mean differences and statistical tests</w:t>
      </w:r>
    </w:p>
    <w:tbl>
      <w:tblPr>
        <w:tblStyle w:val="Table"/>
        <w:tblW w:w="5000" w:type="pct"/>
        <w:tblLook w:val="0020" w:firstRow="1" w:lastRow="0" w:firstColumn="0" w:lastColumn="0" w:noHBand="0" w:noVBand="0"/>
      </w:tblPr>
      <w:tblGrid>
        <w:gridCol w:w="3242"/>
        <w:gridCol w:w="1964"/>
        <w:gridCol w:w="4982"/>
      </w:tblGrid>
      <w:tr w:rsidR="00D35D27" w:rsidRPr="00DD0A30" w14:paraId="72E7149A" w14:textId="77777777" w:rsidTr="00831F1A">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top w:val="single" w:sz="4" w:space="0" w:color="000000" w:themeColor="text1"/>
            </w:tcBorders>
          </w:tcPr>
          <w:p w14:paraId="294FBBDF" w14:textId="77777777" w:rsidR="00D35D27" w:rsidRPr="00DD0A30" w:rsidRDefault="00000000" w:rsidP="00831F1A">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b/>
                <w:bCs/>
                <w:sz w:val="22"/>
                <w:szCs w:val="22"/>
              </w:rPr>
              <w:t>European Championship</w:t>
            </w:r>
          </w:p>
        </w:tc>
      </w:tr>
      <w:tr w:rsidR="00D35D27" w:rsidRPr="00DD0A30" w14:paraId="6F79F2B1" w14:textId="77777777" w:rsidTr="00831F1A">
        <w:tc>
          <w:tcPr>
            <w:tcW w:w="1591" w:type="pct"/>
          </w:tcPr>
          <w:p w14:paraId="260E59C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Metric</w:t>
            </w:r>
          </w:p>
        </w:tc>
        <w:tc>
          <w:tcPr>
            <w:tcW w:w="964" w:type="pct"/>
          </w:tcPr>
          <w:p w14:paraId="0F97B8B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Mean Diff.</w:t>
            </w:r>
          </w:p>
        </w:tc>
        <w:tc>
          <w:tcPr>
            <w:tcW w:w="2445" w:type="pct"/>
          </w:tcPr>
          <w:p w14:paraId="4A95CA2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p-value</w:t>
            </w:r>
          </w:p>
        </w:tc>
      </w:tr>
      <w:tr w:rsidR="00D35D27" w:rsidRPr="00DD0A30" w14:paraId="5A4B92EA" w14:textId="77777777" w:rsidTr="00831F1A">
        <w:tc>
          <w:tcPr>
            <w:tcW w:w="1591" w:type="pct"/>
          </w:tcPr>
          <w:p w14:paraId="3460620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Qualification Count</w:t>
            </w:r>
          </w:p>
        </w:tc>
        <w:tc>
          <w:tcPr>
            <w:tcW w:w="964" w:type="pct"/>
          </w:tcPr>
          <w:p w14:paraId="709E0FA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-0.106</w:t>
            </w:r>
          </w:p>
        </w:tc>
        <w:tc>
          <w:tcPr>
            <w:tcW w:w="2445" w:type="pct"/>
          </w:tcPr>
          <w:p w14:paraId="7ACB0A0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0.182 (t-test), 0.250 (Wilcoxon)</w:t>
            </w:r>
          </w:p>
        </w:tc>
      </w:tr>
      <w:tr w:rsidR="00D35D27" w:rsidRPr="00DD0A30" w14:paraId="41F75814" w14:textId="77777777" w:rsidTr="00831F1A">
        <w:tc>
          <w:tcPr>
            <w:tcW w:w="1591" w:type="pct"/>
            <w:tcBorders>
              <w:bottom w:val="single" w:sz="4" w:space="0" w:color="000000" w:themeColor="text1"/>
            </w:tcBorders>
          </w:tcPr>
          <w:p w14:paraId="2050110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Suspense</w:t>
            </w:r>
          </w:p>
        </w:tc>
        <w:tc>
          <w:tcPr>
            <w:tcW w:w="964" w:type="pct"/>
            <w:tcBorders>
              <w:bottom w:val="single" w:sz="4" w:space="0" w:color="000000" w:themeColor="text1"/>
            </w:tcBorders>
          </w:tcPr>
          <w:p w14:paraId="3AA9C9E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-0.015</w:t>
            </w:r>
          </w:p>
        </w:tc>
        <w:tc>
          <w:tcPr>
            <w:tcW w:w="2445" w:type="pct"/>
          </w:tcPr>
          <w:p w14:paraId="1EB2872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0.389 (t-test), 0.438 (Wilcoxon)</w:t>
            </w:r>
          </w:p>
        </w:tc>
      </w:tr>
      <w:tr w:rsidR="00D35D27" w:rsidRPr="00DD0A30" w14:paraId="59E142B8" w14:textId="77777777" w:rsidTr="00831F1A">
        <w:tc>
          <w:tcPr>
            <w:tcW w:w="5000" w:type="pct"/>
            <w:gridSpan w:val="3"/>
            <w:tcBorders>
              <w:top w:val="single" w:sz="4" w:space="0" w:color="000000" w:themeColor="text1"/>
            </w:tcBorders>
          </w:tcPr>
          <w:p w14:paraId="48FAD59A" w14:textId="77777777" w:rsidR="00D35D27" w:rsidRPr="00DD0A30" w:rsidRDefault="00000000" w:rsidP="00831F1A">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b/>
                <w:bCs/>
                <w:sz w:val="22"/>
                <w:szCs w:val="22"/>
              </w:rPr>
              <w:t>World Cup</w:t>
            </w:r>
          </w:p>
        </w:tc>
      </w:tr>
      <w:tr w:rsidR="00D35D27" w:rsidRPr="00DD0A30" w14:paraId="12710D64" w14:textId="77777777" w:rsidTr="00831F1A">
        <w:tc>
          <w:tcPr>
            <w:tcW w:w="1591" w:type="pct"/>
            <w:tcBorders>
              <w:top w:val="single" w:sz="4" w:space="0" w:color="000000" w:themeColor="text1"/>
            </w:tcBorders>
          </w:tcPr>
          <w:p w14:paraId="31C97B8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Metric</w:t>
            </w:r>
          </w:p>
        </w:tc>
        <w:tc>
          <w:tcPr>
            <w:tcW w:w="964" w:type="pct"/>
            <w:tcBorders>
              <w:top w:val="single" w:sz="4" w:space="0" w:color="000000" w:themeColor="text1"/>
            </w:tcBorders>
          </w:tcPr>
          <w:p w14:paraId="1994354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Mean Diff.</w:t>
            </w:r>
          </w:p>
        </w:tc>
        <w:tc>
          <w:tcPr>
            <w:tcW w:w="2445" w:type="pct"/>
            <w:tcBorders>
              <w:top w:val="single" w:sz="4" w:space="0" w:color="000000" w:themeColor="text1"/>
            </w:tcBorders>
          </w:tcPr>
          <w:p w14:paraId="65CD5CE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p-value</w:t>
            </w:r>
          </w:p>
        </w:tc>
      </w:tr>
      <w:tr w:rsidR="00D35D27" w:rsidRPr="00DD0A30" w14:paraId="77AB6362" w14:textId="77777777" w:rsidTr="00831F1A">
        <w:tc>
          <w:tcPr>
            <w:tcW w:w="1591" w:type="pct"/>
          </w:tcPr>
          <w:p w14:paraId="161B6D2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Qualification Count</w:t>
            </w:r>
          </w:p>
        </w:tc>
        <w:tc>
          <w:tcPr>
            <w:tcW w:w="964" w:type="pct"/>
          </w:tcPr>
          <w:p w14:paraId="3537310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-0.024</w:t>
            </w:r>
          </w:p>
        </w:tc>
        <w:tc>
          <w:tcPr>
            <w:tcW w:w="2445" w:type="pct"/>
          </w:tcPr>
          <w:p w14:paraId="215FEA4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0.535 (t-test), 0.605 (Wilcoxon)</w:t>
            </w:r>
          </w:p>
        </w:tc>
      </w:tr>
      <w:tr w:rsidR="00D35D27" w:rsidRPr="00DD0A30" w14:paraId="745AEFBB" w14:textId="77777777" w:rsidTr="00831F1A">
        <w:tc>
          <w:tcPr>
            <w:tcW w:w="1591" w:type="pct"/>
            <w:tcBorders>
              <w:bottom w:val="single" w:sz="4" w:space="0" w:color="000000" w:themeColor="text1"/>
            </w:tcBorders>
          </w:tcPr>
          <w:p w14:paraId="05108C4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Suspense</w:t>
            </w:r>
          </w:p>
        </w:tc>
        <w:tc>
          <w:tcPr>
            <w:tcW w:w="964" w:type="pct"/>
            <w:tcBorders>
              <w:bottom w:val="single" w:sz="4" w:space="0" w:color="000000" w:themeColor="text1"/>
            </w:tcBorders>
          </w:tcPr>
          <w:p w14:paraId="66E26C5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-0.040</w:t>
            </w:r>
          </w:p>
        </w:tc>
        <w:tc>
          <w:tcPr>
            <w:tcW w:w="2445" w:type="pct"/>
            <w:tcBorders>
              <w:bottom w:val="single" w:sz="4" w:space="0" w:color="000000" w:themeColor="text1"/>
            </w:tcBorders>
          </w:tcPr>
          <w:p w14:paraId="17640D3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0.008 (t-test), 0.010 (Wilcoxon)</w:t>
            </w:r>
          </w:p>
        </w:tc>
      </w:tr>
    </w:tbl>
    <w:bookmarkEnd w:id="11"/>
    <w:p w14:paraId="5FABDE74" w14:textId="77777777" w:rsidR="00D35D27" w:rsidRPr="00831F1A" w:rsidRDefault="00000000" w:rsidP="00DD0A30">
      <w:pPr>
        <w:pStyle w:val="BodyText"/>
        <w:spacing w:line="360" w:lineRule="auto"/>
        <w:jc w:val="both"/>
        <w:rPr>
          <w:rFonts w:ascii="Times New Roman" w:hAnsi="Times New Roman" w:cs="Times New Roman"/>
          <w:sz w:val="18"/>
          <w:szCs w:val="18"/>
        </w:rPr>
      </w:pPr>
      <w:r w:rsidRPr="00831F1A">
        <w:rPr>
          <w:rFonts w:ascii="Times New Roman" w:hAnsi="Times New Roman" w:cs="Times New Roman"/>
          <w:i/>
          <w:iCs/>
          <w:sz w:val="18"/>
          <w:szCs w:val="18"/>
        </w:rPr>
        <w:t>Note:</w:t>
      </w:r>
      <w:r w:rsidRPr="00831F1A">
        <w:rPr>
          <w:rFonts w:ascii="Times New Roman" w:hAnsi="Times New Roman" w:cs="Times New Roman"/>
          <w:sz w:val="18"/>
          <w:szCs w:val="18"/>
        </w:rPr>
        <w:t xml:space="preserve"> Reported values are mean differences computed as UEFA </w:t>
      </w:r>
      <m:oMath>
        <m:r>
          <m:rPr>
            <m:sty m:val="p"/>
          </m:rPr>
          <w:rPr>
            <w:rFonts w:ascii="Cambria Math" w:hAnsi="Cambria Math" w:cs="Times New Roman"/>
            <w:sz w:val="18"/>
            <w:szCs w:val="18"/>
          </w:rPr>
          <m:t>-</m:t>
        </m:r>
      </m:oMath>
      <w:r w:rsidRPr="00831F1A">
        <w:rPr>
          <w:rFonts w:ascii="Times New Roman" w:hAnsi="Times New Roman" w:cs="Times New Roman"/>
          <w:sz w:val="18"/>
          <w:szCs w:val="18"/>
        </w:rPr>
        <w:t xml:space="preserve"> FIFA over all groups (44 European Championship groups; 74 World Cup groups). The paired t-test evaluates differences in means under approximate normality; the Wilcoxon signed-rank test provides a non-parametric check. Zero differences are excluded from the Wilcoxon test.</w:t>
      </w:r>
    </w:p>
    <w:p w14:paraId="5F81FC5A" w14:textId="56EF50E2" w:rsidR="00D35D27" w:rsidRPr="00216A31" w:rsidRDefault="00000000" w:rsidP="00216A31">
      <w:pPr>
        <w:pStyle w:val="Heading2"/>
        <w:numPr>
          <w:ilvl w:val="1"/>
          <w:numId w:val="10"/>
        </w:numPr>
        <w:spacing w:line="360" w:lineRule="auto"/>
        <w:jc w:val="both"/>
        <w:rPr>
          <w:rFonts w:ascii="Times New Roman" w:hAnsi="Times New Roman" w:cs="Times New Roman"/>
          <w:b/>
          <w:bCs/>
          <w:color w:val="auto"/>
          <w:sz w:val="22"/>
          <w:szCs w:val="22"/>
        </w:rPr>
      </w:pPr>
      <w:bookmarkStart w:id="12" w:name="suspense-over-time"/>
      <w:bookmarkEnd w:id="10"/>
      <w:r w:rsidRPr="00216A31">
        <w:rPr>
          <w:rFonts w:ascii="Times New Roman" w:hAnsi="Times New Roman" w:cs="Times New Roman"/>
          <w:b/>
          <w:bCs/>
          <w:color w:val="auto"/>
          <w:sz w:val="22"/>
          <w:szCs w:val="22"/>
        </w:rPr>
        <w:t>Suspense over Time</w:t>
      </w:r>
    </w:p>
    <w:p w14:paraId="18BAFE56"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As shown in Figure </w:t>
      </w:r>
      <w:hyperlink w:anchor="fig:gls_dist">
        <w:r w:rsidR="00D35D27" w:rsidRPr="00DD0A30">
          <w:rPr>
            <w:rStyle w:val="Hyperlink"/>
            <w:rFonts w:ascii="Times New Roman" w:hAnsi="Times New Roman" w:cs="Times New Roman"/>
            <w:sz w:val="22"/>
            <w:szCs w:val="22"/>
          </w:rPr>
          <w:t>1</w:t>
        </w:r>
      </w:hyperlink>
      <w:r w:rsidRPr="00DD0A30">
        <w:rPr>
          <w:rFonts w:ascii="Times New Roman" w:hAnsi="Times New Roman" w:cs="Times New Roman"/>
          <w:sz w:val="22"/>
          <w:szCs w:val="22"/>
        </w:rPr>
        <w:t>, the goals distributions for the two competitions appear broadly comparable, with both tournaments showing peaks in goal frequency around the 20th–30th minute in the first half and between the 45th–55th minute spanning the two halves. Toward the end of matches, differences emerge: in the European Championship, there is a distinct peak between the 80th–85th minute, while in the World Cup goals are more evenly spread across the 80th–90th minute. Overall, World Cup goals appear more evenly distributed across the full 100 minutes of play, whereas the European Championship exhibits sharper jumps in specific intervals.</w:t>
      </w:r>
    </w:p>
    <w:p w14:paraId="58BBE376" w14:textId="77777777" w:rsidR="00D35D27" w:rsidRPr="00DD0A30" w:rsidRDefault="00000000" w:rsidP="00831F1A">
      <w:pPr>
        <w:pStyle w:val="CaptionedFigure"/>
        <w:spacing w:line="360" w:lineRule="auto"/>
        <w:jc w:val="center"/>
        <w:rPr>
          <w:rFonts w:ascii="Times New Roman" w:hAnsi="Times New Roman" w:cs="Times New Roman"/>
          <w:sz w:val="22"/>
          <w:szCs w:val="22"/>
        </w:rPr>
      </w:pPr>
      <w:bookmarkStart w:id="13" w:name="fig:gls_dist"/>
      <w:r w:rsidRPr="00DD0A30">
        <w:rPr>
          <w:rFonts w:ascii="Times New Roman" w:hAnsi="Times New Roman" w:cs="Times New Roman"/>
          <w:noProof/>
          <w:sz w:val="22"/>
          <w:szCs w:val="22"/>
        </w:rPr>
        <w:drawing>
          <wp:inline distT="0" distB="0" distL="0" distR="0" wp14:anchorId="20FD7778" wp14:editId="36DCE799">
            <wp:extent cx="5334000" cy="1778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gls_dist.png"/>
                    <pic:cNvPicPr>
                      <a:picLocks noChangeAspect="1" noChangeArrowheads="1"/>
                    </pic:cNvPicPr>
                  </pic:nvPicPr>
                  <pic:blipFill>
                    <a:blip r:embed="rId9"/>
                    <a:stretch>
                      <a:fillRect/>
                    </a:stretch>
                  </pic:blipFill>
                  <pic:spPr bwMode="auto">
                    <a:xfrm>
                      <a:off x="0" y="0"/>
                      <a:ext cx="5334000" cy="1778000"/>
                    </a:xfrm>
                    <a:prstGeom prst="rect">
                      <a:avLst/>
                    </a:prstGeom>
                    <a:noFill/>
                    <a:ln w="9525">
                      <a:noFill/>
                      <a:headEnd/>
                      <a:tailEnd/>
                    </a:ln>
                  </pic:spPr>
                </pic:pic>
              </a:graphicData>
            </a:graphic>
          </wp:inline>
        </w:drawing>
      </w:r>
    </w:p>
    <w:p w14:paraId="3B1204E0" w14:textId="591CF58F" w:rsidR="00D35D27" w:rsidRPr="00DD0A30" w:rsidRDefault="00831F1A" w:rsidP="00831F1A">
      <w:pPr>
        <w:pStyle w:val="ImageCaption"/>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Figure 1: </w:t>
      </w:r>
      <w:r w:rsidR="00000000" w:rsidRPr="00DD0A30">
        <w:rPr>
          <w:rFonts w:ascii="Times New Roman" w:hAnsi="Times New Roman" w:cs="Times New Roman"/>
          <w:sz w:val="22"/>
          <w:szCs w:val="22"/>
        </w:rPr>
        <w:t>Goals distribution Europe vs World Cup</w:t>
      </w:r>
    </w:p>
    <w:bookmarkEnd w:id="13"/>
    <w:p w14:paraId="3D51EB81"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Figures </w:t>
      </w:r>
      <w:hyperlink w:anchor="fig:susp_minute_wc">
        <w:r w:rsidR="00D35D27" w:rsidRPr="00DD0A30">
          <w:rPr>
            <w:rStyle w:val="Hyperlink"/>
            <w:rFonts w:ascii="Times New Roman" w:hAnsi="Times New Roman" w:cs="Times New Roman"/>
            <w:sz w:val="22"/>
            <w:szCs w:val="22"/>
          </w:rPr>
          <w:t>2</w:t>
        </w:r>
      </w:hyperlink>
      <w:r w:rsidRPr="00DD0A30">
        <w:rPr>
          <w:rFonts w:ascii="Times New Roman" w:hAnsi="Times New Roman" w:cs="Times New Roman"/>
          <w:sz w:val="22"/>
          <w:szCs w:val="22"/>
        </w:rPr>
        <w:t xml:space="preserve"> and </w:t>
      </w:r>
      <w:hyperlink w:anchor="fig:susp_minute_eu">
        <w:r w:rsidR="00D35D27" w:rsidRPr="00DD0A30">
          <w:rPr>
            <w:rStyle w:val="Hyperlink"/>
            <w:rFonts w:ascii="Times New Roman" w:hAnsi="Times New Roman" w:cs="Times New Roman"/>
            <w:sz w:val="22"/>
            <w:szCs w:val="22"/>
          </w:rPr>
          <w:t>3</w:t>
        </w:r>
      </w:hyperlink>
      <w:r w:rsidRPr="00DD0A30">
        <w:rPr>
          <w:rFonts w:ascii="Times New Roman" w:hAnsi="Times New Roman" w:cs="Times New Roman"/>
          <w:sz w:val="22"/>
          <w:szCs w:val="22"/>
        </w:rPr>
        <w:t xml:space="preserve"> display the average suspense per minute under each rule for the World Cup and the European Championship respectively. In the World Cup, FIFA rules generate systematically higher suspense across the full 90 minutes, with the gap largest in the final stage of the match. In the European Championship, by contrast, </w:t>
      </w:r>
      <w:r w:rsidRPr="00DD0A30">
        <w:rPr>
          <w:rFonts w:ascii="Times New Roman" w:hAnsi="Times New Roman" w:cs="Times New Roman"/>
          <w:sz w:val="22"/>
          <w:szCs w:val="22"/>
        </w:rPr>
        <w:lastRenderedPageBreak/>
        <w:t>the difference between the two rules is small and — consistent with the statistical tests — not statistically significant. The contrast between the two panels makes the point directly: the effect of the tie-breaking rule on suspense is specific to the World Cup and does not arise from how the rules operate in any tournament context.</w:t>
      </w:r>
    </w:p>
    <w:p w14:paraId="0AC47D72" w14:textId="77777777" w:rsidR="00D35D27" w:rsidRPr="00DD0A30" w:rsidRDefault="00000000" w:rsidP="00831F1A">
      <w:pPr>
        <w:pStyle w:val="CaptionedFigure"/>
        <w:spacing w:line="360" w:lineRule="auto"/>
        <w:jc w:val="center"/>
        <w:rPr>
          <w:rFonts w:ascii="Times New Roman" w:hAnsi="Times New Roman" w:cs="Times New Roman"/>
          <w:sz w:val="22"/>
          <w:szCs w:val="22"/>
        </w:rPr>
      </w:pPr>
      <w:bookmarkStart w:id="14" w:name="fig:susp_minute_wc"/>
      <w:r w:rsidRPr="00DD0A30">
        <w:rPr>
          <w:rFonts w:ascii="Times New Roman" w:hAnsi="Times New Roman" w:cs="Times New Roman"/>
          <w:noProof/>
          <w:sz w:val="22"/>
          <w:szCs w:val="22"/>
        </w:rPr>
        <w:drawing>
          <wp:inline distT="0" distB="0" distL="0" distR="0" wp14:anchorId="53ADAA7A" wp14:editId="4871F89D">
            <wp:extent cx="5334000" cy="318528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susp_minute_wc.png"/>
                    <pic:cNvPicPr>
                      <a:picLocks noChangeAspect="1" noChangeArrowheads="1"/>
                    </pic:cNvPicPr>
                  </pic:nvPicPr>
                  <pic:blipFill>
                    <a:blip r:embed="rId10"/>
                    <a:stretch>
                      <a:fillRect/>
                    </a:stretch>
                  </pic:blipFill>
                  <pic:spPr bwMode="auto">
                    <a:xfrm>
                      <a:off x="0" y="0"/>
                      <a:ext cx="5334000" cy="3185283"/>
                    </a:xfrm>
                    <a:prstGeom prst="rect">
                      <a:avLst/>
                    </a:prstGeom>
                    <a:noFill/>
                    <a:ln w="9525">
                      <a:noFill/>
                      <a:headEnd/>
                      <a:tailEnd/>
                    </a:ln>
                  </pic:spPr>
                </pic:pic>
              </a:graphicData>
            </a:graphic>
          </wp:inline>
        </w:drawing>
      </w:r>
    </w:p>
    <w:p w14:paraId="2F0D4021" w14:textId="0DB153D8" w:rsidR="00D35D27" w:rsidRPr="00DD0A30" w:rsidRDefault="00831F1A" w:rsidP="00831F1A">
      <w:pPr>
        <w:pStyle w:val="ImageCaption"/>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Figure 2: </w:t>
      </w:r>
      <w:r w:rsidR="00000000" w:rsidRPr="00DD0A30">
        <w:rPr>
          <w:rFonts w:ascii="Times New Roman" w:hAnsi="Times New Roman" w:cs="Times New Roman"/>
          <w:sz w:val="22"/>
          <w:szCs w:val="22"/>
        </w:rPr>
        <w:t>Average suspense per minute under FIFA and UEFA rules — World Cup.</w:t>
      </w:r>
    </w:p>
    <w:p w14:paraId="2A61F0EE" w14:textId="77777777" w:rsidR="00D35D27" w:rsidRPr="00DD0A30" w:rsidRDefault="00000000" w:rsidP="00831F1A">
      <w:pPr>
        <w:pStyle w:val="CaptionedFigure"/>
        <w:spacing w:line="360" w:lineRule="auto"/>
        <w:jc w:val="center"/>
        <w:rPr>
          <w:rFonts w:ascii="Times New Roman" w:hAnsi="Times New Roman" w:cs="Times New Roman"/>
          <w:sz w:val="22"/>
          <w:szCs w:val="22"/>
        </w:rPr>
      </w:pPr>
      <w:bookmarkStart w:id="15" w:name="fig:susp_minute_eu"/>
      <w:bookmarkEnd w:id="14"/>
      <w:r w:rsidRPr="00DD0A30">
        <w:rPr>
          <w:rFonts w:ascii="Times New Roman" w:hAnsi="Times New Roman" w:cs="Times New Roman"/>
          <w:noProof/>
          <w:sz w:val="22"/>
          <w:szCs w:val="22"/>
        </w:rPr>
        <w:drawing>
          <wp:inline distT="0" distB="0" distL="0" distR="0" wp14:anchorId="575B8742" wp14:editId="6D60E237">
            <wp:extent cx="5334000" cy="318206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susp_minute_eu.png"/>
                    <pic:cNvPicPr>
                      <a:picLocks noChangeAspect="1" noChangeArrowheads="1"/>
                    </pic:cNvPicPr>
                  </pic:nvPicPr>
                  <pic:blipFill>
                    <a:blip r:embed="rId11"/>
                    <a:stretch>
                      <a:fillRect/>
                    </a:stretch>
                  </pic:blipFill>
                  <pic:spPr bwMode="auto">
                    <a:xfrm>
                      <a:off x="0" y="0"/>
                      <a:ext cx="5334000" cy="3182062"/>
                    </a:xfrm>
                    <a:prstGeom prst="rect">
                      <a:avLst/>
                    </a:prstGeom>
                    <a:noFill/>
                    <a:ln w="9525">
                      <a:noFill/>
                      <a:headEnd/>
                      <a:tailEnd/>
                    </a:ln>
                  </pic:spPr>
                </pic:pic>
              </a:graphicData>
            </a:graphic>
          </wp:inline>
        </w:drawing>
      </w:r>
    </w:p>
    <w:p w14:paraId="0A64A41E" w14:textId="2B397775" w:rsidR="00D35D27" w:rsidRPr="00DD0A30" w:rsidRDefault="00831F1A" w:rsidP="00831F1A">
      <w:pPr>
        <w:pStyle w:val="ImageCaption"/>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Figure 3: </w:t>
      </w:r>
      <w:r w:rsidR="00000000" w:rsidRPr="00DD0A30">
        <w:rPr>
          <w:rFonts w:ascii="Times New Roman" w:hAnsi="Times New Roman" w:cs="Times New Roman"/>
          <w:sz w:val="22"/>
          <w:szCs w:val="22"/>
        </w:rPr>
        <w:t>Average suspense per minute under FIFA and UEFA rules — European Championship.</w:t>
      </w:r>
    </w:p>
    <w:bookmarkEnd w:id="15"/>
    <w:p w14:paraId="51F8DB94"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lastRenderedPageBreak/>
        <w:t>This pattern is consistent with Csató (2023), who, analysing the 2022/23 UEFA Nations League, argues from a theoretical perspective and through simulated outcomes that prioritising goal difference (FIFA) over head-to-head (UEFA) criteria raises the stakes of matches toward the end of competition. Figure </w:t>
      </w:r>
      <w:hyperlink w:anchor="fig:susp_minute_wc">
        <w:r w:rsidR="00D35D27" w:rsidRPr="00DD0A30">
          <w:rPr>
            <w:rStyle w:val="Hyperlink"/>
            <w:rFonts w:ascii="Times New Roman" w:hAnsi="Times New Roman" w:cs="Times New Roman"/>
            <w:sz w:val="22"/>
            <w:szCs w:val="22"/>
          </w:rPr>
          <w:t>2</w:t>
        </w:r>
      </w:hyperlink>
      <w:r w:rsidRPr="00DD0A30">
        <w:rPr>
          <w:rFonts w:ascii="Times New Roman" w:hAnsi="Times New Roman" w:cs="Times New Roman"/>
          <w:sz w:val="22"/>
          <w:szCs w:val="22"/>
        </w:rPr>
        <w:t xml:space="preserve"> provides direct empirical support for this mechanism in the World Cup context. A breakdown of suspense trajectories by group type for both tournaments is reported in Appendix </w:t>
      </w:r>
      <w:hyperlink w:anchor="app:wc_trajectories">
        <w:r w:rsidR="00D35D27" w:rsidRPr="00DD0A30">
          <w:rPr>
            <w:rStyle w:val="Hyperlink"/>
            <w:rFonts w:ascii="Times New Roman" w:hAnsi="Times New Roman" w:cs="Times New Roman"/>
            <w:sz w:val="22"/>
            <w:szCs w:val="22"/>
          </w:rPr>
          <w:t>6.3</w:t>
        </w:r>
      </w:hyperlink>
      <w:r w:rsidRPr="00DD0A30">
        <w:rPr>
          <w:rFonts w:ascii="Times New Roman" w:hAnsi="Times New Roman" w:cs="Times New Roman"/>
          <w:sz w:val="22"/>
          <w:szCs w:val="22"/>
        </w:rPr>
        <w:t xml:space="preserve"> and Appendix </w:t>
      </w:r>
      <w:hyperlink w:anchor="app:euro_trajectories">
        <w:r w:rsidR="00D35D27" w:rsidRPr="00DD0A30">
          <w:rPr>
            <w:rStyle w:val="Hyperlink"/>
            <w:rFonts w:ascii="Times New Roman" w:hAnsi="Times New Roman" w:cs="Times New Roman"/>
            <w:sz w:val="22"/>
            <w:szCs w:val="22"/>
          </w:rPr>
          <w:t>6.4</w:t>
        </w:r>
      </w:hyperlink>
      <w:r w:rsidRPr="00DD0A30">
        <w:rPr>
          <w:rFonts w:ascii="Times New Roman" w:hAnsi="Times New Roman" w:cs="Times New Roman"/>
          <w:sz w:val="22"/>
          <w:szCs w:val="22"/>
        </w:rPr>
        <w:t>.</w:t>
      </w:r>
    </w:p>
    <w:p w14:paraId="530C9DF2" w14:textId="5700A1A1" w:rsidR="00D35D27" w:rsidRPr="00216A31" w:rsidRDefault="00000000" w:rsidP="0019023B">
      <w:pPr>
        <w:pStyle w:val="Heading1"/>
        <w:numPr>
          <w:ilvl w:val="1"/>
          <w:numId w:val="10"/>
        </w:numPr>
        <w:spacing w:line="360" w:lineRule="auto"/>
        <w:jc w:val="both"/>
        <w:rPr>
          <w:rFonts w:ascii="Times New Roman" w:hAnsi="Times New Roman" w:cs="Times New Roman"/>
          <w:b/>
          <w:bCs/>
          <w:color w:val="auto"/>
          <w:sz w:val="22"/>
          <w:szCs w:val="22"/>
        </w:rPr>
      </w:pPr>
      <w:bookmarkStart w:id="16" w:name="regression-analysis"/>
      <w:bookmarkEnd w:id="12"/>
      <w:r w:rsidRPr="00216A31">
        <w:rPr>
          <w:rFonts w:ascii="Times New Roman" w:hAnsi="Times New Roman" w:cs="Times New Roman"/>
          <w:b/>
          <w:bCs/>
          <w:color w:val="auto"/>
          <w:sz w:val="22"/>
          <w:szCs w:val="22"/>
        </w:rPr>
        <w:t>Regression Analysis</w:t>
      </w:r>
    </w:p>
    <w:p w14:paraId="26143D4F"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We estimate seven models to test whether the FIFA rule is associated with more frequent qualification changes and higher suspense, after controlling for competitive balance. All logit models report average marginal effects (AME) with standard errors clustered at the group (year </w:t>
      </w:r>
      <m:oMath>
        <m:r>
          <m:rPr>
            <m:sty m:val="p"/>
          </m:rPr>
          <w:rPr>
            <w:rFonts w:ascii="Cambria Math" w:hAnsi="Cambria Math" w:cs="Times New Roman"/>
            <w:sz w:val="22"/>
            <w:szCs w:val="22"/>
          </w:rPr>
          <m:t>×</m:t>
        </m:r>
      </m:oMath>
      <w:r w:rsidRPr="00DD0A30">
        <w:rPr>
          <w:rFonts w:ascii="Times New Roman" w:hAnsi="Times New Roman" w:cs="Times New Roman"/>
          <w:sz w:val="22"/>
          <w:szCs w:val="22"/>
        </w:rPr>
        <w:t> stage) level.</w:t>
      </w:r>
    </w:p>
    <w:p w14:paraId="7180C4DB" w14:textId="77777777" w:rsidR="00D35D27" w:rsidRPr="00216A31"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17" w:name="X10077ffd45507d3488acb95882a7ea09f541921"/>
      <w:r w:rsidRPr="00216A31">
        <w:rPr>
          <w:rFonts w:ascii="Times New Roman" w:hAnsi="Times New Roman" w:cs="Times New Roman"/>
          <w:b/>
          <w:bCs/>
          <w:i w:val="0"/>
          <w:iCs w:val="0"/>
          <w:color w:val="auto"/>
          <w:sz w:val="22"/>
          <w:szCs w:val="22"/>
        </w:rPr>
        <w:t>Model 1 — Logit for qualification change, match-level Elo (Table </w:t>
      </w:r>
      <w:hyperlink w:anchor="tab:reg_grp">
        <w:r w:rsidR="00D35D27" w:rsidRPr="00216A31">
          <w:rPr>
            <w:b/>
            <w:bCs/>
            <w:i w:val="0"/>
            <w:iCs w:val="0"/>
            <w:color w:val="auto"/>
          </w:rPr>
          <w:t>4</w:t>
        </w:r>
      </w:hyperlink>
      <w:r w:rsidRPr="00216A31">
        <w:rPr>
          <w:rFonts w:ascii="Times New Roman" w:hAnsi="Times New Roman" w:cs="Times New Roman"/>
          <w:b/>
          <w:bCs/>
          <w:i w:val="0"/>
          <w:iCs w:val="0"/>
          <w:color w:val="auto"/>
          <w:sz w:val="22"/>
          <w:szCs w:val="22"/>
        </w:rPr>
        <w:t>).</w:t>
      </w:r>
    </w:p>
    <w:p w14:paraId="740CF87F"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The unit of observation is a goal </w:t>
      </w:r>
      <m:oMath>
        <m:r>
          <w:rPr>
            <w:rFonts w:ascii="Cambria Math" w:hAnsi="Cambria Math" w:cs="Times New Roman"/>
            <w:sz w:val="22"/>
            <w:szCs w:val="22"/>
          </w:rPr>
          <m:t>k</m:t>
        </m:r>
      </m:oMath>
      <w:r w:rsidRPr="00DD0A30">
        <w:rPr>
          <w:rFonts w:ascii="Times New Roman" w:hAnsi="Times New Roman" w:cs="Times New Roman"/>
          <w:sz w:val="22"/>
          <w:szCs w:val="22"/>
        </w:rPr>
        <w:t xml:space="preserve"> in group </w:t>
      </w:r>
      <m:oMath>
        <m:r>
          <w:rPr>
            <w:rFonts w:ascii="Cambria Math" w:hAnsi="Cambria Math" w:cs="Times New Roman"/>
            <w:sz w:val="22"/>
            <w:szCs w:val="22"/>
          </w:rPr>
          <m:t>g</m:t>
        </m:r>
      </m:oMath>
      <w:r w:rsidRPr="00DD0A30">
        <w:rPr>
          <w:rFonts w:ascii="Times New Roman" w:hAnsi="Times New Roman" w:cs="Times New Roman"/>
          <w:sz w:val="22"/>
          <w:szCs w:val="22"/>
        </w:rPr>
        <w:t xml:space="preserve">. The dependent variable is </w:t>
      </w:r>
      <w:r w:rsidRPr="00DD0A30">
        <w:rPr>
          <w:rFonts w:ascii="Times New Roman" w:hAnsi="Times New Roman" w:cs="Times New Roman"/>
          <w:i/>
          <w:iCs/>
          <w:sz w:val="22"/>
          <w:szCs w:val="22"/>
        </w:rPr>
        <w:t>qual_changed</w:t>
      </w:r>
      <w:r w:rsidRPr="00DD0A30">
        <w:rPr>
          <w:rFonts w:ascii="Times New Roman" w:hAnsi="Times New Roman" w:cs="Times New Roman"/>
          <w:sz w:val="22"/>
          <w:szCs w:val="22"/>
        </w:rPr>
        <w:t>, a binary indicator equal to 1 when the set of qualifying teams changes from one goal to the next:</w:t>
      </w:r>
    </w:p>
    <w:p w14:paraId="30A6128E"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r>
            <m:rPr>
              <m:sty m:val="p"/>
            </m:rPr>
            <w:rPr>
              <w:rFonts w:ascii="Cambria Math" w:hAnsi="Cambria Math" w:cs="Times New Roman"/>
              <w:sz w:val="22"/>
              <w:szCs w:val="22"/>
            </w:rPr>
            <m:t>Pr(</m:t>
          </m:r>
          <m:sSub>
            <m:sSubPr>
              <m:ctrlPr>
                <w:rPr>
                  <w:rFonts w:ascii="Cambria Math" w:hAnsi="Cambria Math" w:cs="Times New Roman"/>
                  <w:sz w:val="22"/>
                  <w:szCs w:val="22"/>
                </w:rPr>
              </m:ctrlPr>
            </m:sSubPr>
            <m:e>
              <m:r>
                <m:rPr>
                  <m:nor/>
                </m:rPr>
                <w:rPr>
                  <w:rFonts w:ascii="Times New Roman" w:hAnsi="Times New Roman" w:cs="Times New Roman"/>
                  <w:sz w:val="22"/>
                  <w:szCs w:val="22"/>
                </w:rPr>
                <m:t>qual_changed</m:t>
              </m:r>
            </m:e>
            <m:sub>
              <m:r>
                <w:rPr>
                  <w:rFonts w:ascii="Cambria Math" w:hAnsi="Cambria Math" w:cs="Times New Roman"/>
                  <w:sz w:val="22"/>
                  <w:szCs w:val="22"/>
                </w:rPr>
                <m:t>gk</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)=Λ</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α</m:t>
              </m:r>
              <m:r>
                <m:rPr>
                  <m:sty m:val="p"/>
                </m:rPr>
                <w:rPr>
                  <w:rFonts w:ascii="Cambria Math" w:hAnsi="Cambria Math" w:cs="Times New Roman"/>
                  <w:sz w:val="22"/>
                  <w:szCs w:val="22"/>
                </w:rPr>
                <m:t>+</m:t>
              </m:r>
              <m:r>
                <w:rPr>
                  <w:rFonts w:ascii="Cambria Math" w:hAnsi="Cambria Math" w:cs="Times New Roman"/>
                  <w:sz w:val="22"/>
                  <w:szCs w:val="22"/>
                </w:rPr>
                <m:t>β </m:t>
              </m:r>
              <m:sSub>
                <m:sSubPr>
                  <m:ctrlPr>
                    <w:rPr>
                      <w:rFonts w:ascii="Cambria Math" w:hAnsi="Cambria Math" w:cs="Times New Roman"/>
                      <w:sz w:val="22"/>
                      <w:szCs w:val="22"/>
                    </w:rPr>
                  </m:ctrlPr>
                </m:sSubPr>
                <m:e>
                  <m:r>
                    <m:rPr>
                      <m:nor/>
                    </m:rPr>
                    <w:rPr>
                      <w:rFonts w:ascii="Times New Roman" w:hAnsi="Times New Roman" w:cs="Times New Roman"/>
                      <w:sz w:val="22"/>
                      <w:szCs w:val="22"/>
                    </w:rPr>
                    <m:t>FIFA_rule</m:t>
                  </m:r>
                </m:e>
                <m:sub>
                  <m:r>
                    <w:rPr>
                      <w:rFonts w:ascii="Cambria Math" w:hAnsi="Cambria Math" w:cs="Times New Roman"/>
                      <w:sz w:val="22"/>
                      <w:szCs w:val="22"/>
                    </w:rPr>
                    <m:t>g</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1</m:t>
                  </m:r>
                </m:sub>
              </m:sSub>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elo_fav</m:t>
                  </m:r>
                </m:e>
                <m:sub>
                  <m:r>
                    <w:rPr>
                      <w:rFonts w:ascii="Cambria Math" w:hAnsi="Cambria Math" w:cs="Times New Roman"/>
                      <w:sz w:val="22"/>
                      <w:szCs w:val="22"/>
                    </w:rPr>
                    <m:t>gk</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2</m:t>
                  </m:r>
                </m:sub>
              </m:sSub>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elo_under</m:t>
                  </m:r>
                </m:e>
                <m:sub>
                  <m:r>
                    <w:rPr>
                      <w:rFonts w:ascii="Cambria Math" w:hAnsi="Cambria Math" w:cs="Times New Roman"/>
                      <w:sz w:val="22"/>
                      <w:szCs w:val="22"/>
                    </w:rPr>
                    <m:t>gk</m:t>
                  </m:r>
                </m:sub>
              </m:sSub>
            </m:e>
          </m:d>
        </m:oMath>
      </m:oMathPara>
    </w:p>
    <w:p w14:paraId="6E229325"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where </w:t>
      </w:r>
      <m:oMath>
        <m:r>
          <m:rPr>
            <m:sty m:val="p"/>
          </m:rPr>
          <w:rPr>
            <w:rFonts w:ascii="Cambria Math" w:hAnsi="Cambria Math" w:cs="Times New Roman"/>
            <w:sz w:val="22"/>
            <w:szCs w:val="22"/>
          </w:rPr>
          <m:t>Λ(⋅)</m:t>
        </m:r>
      </m:oMath>
      <w:r w:rsidRPr="00DD0A30">
        <w:rPr>
          <w:rFonts w:ascii="Times New Roman" w:hAnsi="Times New Roman" w:cs="Times New Roman"/>
          <w:sz w:val="22"/>
          <w:szCs w:val="22"/>
        </w:rPr>
        <w:t xml:space="preserve"> is the logistic CDF, </w:t>
      </w:r>
      <w:r w:rsidRPr="00DD0A30">
        <w:rPr>
          <w:rFonts w:ascii="Times New Roman" w:hAnsi="Times New Roman" w:cs="Times New Roman"/>
          <w:i/>
          <w:iCs/>
          <w:sz w:val="22"/>
          <w:szCs w:val="22"/>
        </w:rPr>
        <w:t>elo_fav</w:t>
      </w:r>
      <w:r w:rsidRPr="00DD0A30">
        <w:rPr>
          <w:rFonts w:ascii="Times New Roman" w:hAnsi="Times New Roman" w:cs="Times New Roman"/>
          <w:sz w:val="22"/>
          <w:szCs w:val="22"/>
        </w:rPr>
        <w:t xml:space="preserve"> and </w:t>
      </w:r>
      <w:r w:rsidRPr="00DD0A30">
        <w:rPr>
          <w:rFonts w:ascii="Times New Roman" w:hAnsi="Times New Roman" w:cs="Times New Roman"/>
          <w:i/>
          <w:iCs/>
          <w:sz w:val="22"/>
          <w:szCs w:val="22"/>
        </w:rPr>
        <w:t>elo_under</w:t>
      </w:r>
      <w:r w:rsidRPr="00DD0A30">
        <w:rPr>
          <w:rFonts w:ascii="Times New Roman" w:hAnsi="Times New Roman" w:cs="Times New Roman"/>
          <w:sz w:val="22"/>
          <w:szCs w:val="22"/>
        </w:rPr>
        <w:t xml:space="preserve"> are the Elo ratings of the stronger and weaker team in the match respectively.</w:t>
      </w:r>
    </w:p>
    <w:p w14:paraId="3F73F02C" w14:textId="77777777" w:rsidR="00D35D27" w:rsidRPr="00216A31"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18" w:name="X54c3ab2870223628534ee47d260191dee311efa"/>
      <w:bookmarkEnd w:id="17"/>
      <w:r w:rsidRPr="00216A31">
        <w:rPr>
          <w:rFonts w:ascii="Times New Roman" w:hAnsi="Times New Roman" w:cs="Times New Roman"/>
          <w:b/>
          <w:bCs/>
          <w:i w:val="0"/>
          <w:iCs w:val="0"/>
          <w:color w:val="auto"/>
          <w:sz w:val="22"/>
          <w:szCs w:val="22"/>
        </w:rPr>
        <w:t>Model 2 — Logit for qualification change, group-level Elo ranks (Table </w:t>
      </w:r>
      <w:hyperlink w:anchor="tab:reg_grp">
        <w:r w:rsidR="00D35D27" w:rsidRPr="00216A31">
          <w:rPr>
            <w:b/>
            <w:bCs/>
            <w:i w:val="0"/>
            <w:iCs w:val="0"/>
            <w:color w:val="auto"/>
          </w:rPr>
          <w:t>4</w:t>
        </w:r>
      </w:hyperlink>
      <w:r w:rsidRPr="00216A31">
        <w:rPr>
          <w:rFonts w:ascii="Times New Roman" w:hAnsi="Times New Roman" w:cs="Times New Roman"/>
          <w:b/>
          <w:bCs/>
          <w:i w:val="0"/>
          <w:iCs w:val="0"/>
          <w:color w:val="auto"/>
          <w:sz w:val="22"/>
          <w:szCs w:val="22"/>
        </w:rPr>
        <w:t>).</w:t>
      </w:r>
    </w:p>
    <w:p w14:paraId="5DD19A08"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The match-level Elo controls are replaced by the four group-level Elo ranks (</w:t>
      </w:r>
      <w:r w:rsidRPr="00DD0A30">
        <w:rPr>
          <w:rFonts w:ascii="Times New Roman" w:hAnsi="Times New Roman" w:cs="Times New Roman"/>
          <w:i/>
          <w:iCs/>
          <w:sz w:val="22"/>
          <w:szCs w:val="22"/>
        </w:rPr>
        <w:t>elo1st</w:t>
      </w:r>
      <w:r w:rsidRPr="00DD0A30">
        <w:rPr>
          <w:rFonts w:ascii="Times New Roman" w:hAnsi="Times New Roman" w:cs="Times New Roman"/>
          <w:sz w:val="22"/>
          <w:szCs w:val="22"/>
        </w:rPr>
        <w:t>–</w:t>
      </w:r>
      <w:r w:rsidRPr="00DD0A30">
        <w:rPr>
          <w:rFonts w:ascii="Times New Roman" w:hAnsi="Times New Roman" w:cs="Times New Roman"/>
          <w:i/>
          <w:iCs/>
          <w:sz w:val="22"/>
          <w:szCs w:val="22"/>
        </w:rPr>
        <w:t>elo4th</w:t>
      </w:r>
      <w:r w:rsidRPr="00DD0A30">
        <w:rPr>
          <w:rFonts w:ascii="Times New Roman" w:hAnsi="Times New Roman" w:cs="Times New Roman"/>
          <w:sz w:val="22"/>
          <w:szCs w:val="22"/>
        </w:rPr>
        <w:t>, from highest to lowest within the group), which characterise the overall competitive balance of the group rather than the specific match:</w:t>
      </w:r>
    </w:p>
    <w:p w14:paraId="4D0EFAC6"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r>
            <m:rPr>
              <m:sty m:val="p"/>
            </m:rPr>
            <w:rPr>
              <w:rFonts w:ascii="Cambria Math" w:hAnsi="Cambria Math" w:cs="Times New Roman"/>
              <w:sz w:val="22"/>
              <w:szCs w:val="22"/>
            </w:rPr>
            <m:t>Pr(</m:t>
          </m:r>
          <m:sSub>
            <m:sSubPr>
              <m:ctrlPr>
                <w:rPr>
                  <w:rFonts w:ascii="Cambria Math" w:hAnsi="Cambria Math" w:cs="Times New Roman"/>
                  <w:sz w:val="22"/>
                  <w:szCs w:val="22"/>
                </w:rPr>
              </m:ctrlPr>
            </m:sSubPr>
            <m:e>
              <m:r>
                <m:rPr>
                  <m:nor/>
                </m:rPr>
                <w:rPr>
                  <w:rFonts w:ascii="Times New Roman" w:hAnsi="Times New Roman" w:cs="Times New Roman"/>
                  <w:sz w:val="22"/>
                  <w:szCs w:val="22"/>
                </w:rPr>
                <m:t>qual_changed</m:t>
              </m:r>
            </m:e>
            <m:sub>
              <m:r>
                <w:rPr>
                  <w:rFonts w:ascii="Cambria Math" w:hAnsi="Cambria Math" w:cs="Times New Roman"/>
                  <w:sz w:val="22"/>
                  <w:szCs w:val="22"/>
                </w:rPr>
                <m:t>gk</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)=Λ</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α</m:t>
              </m:r>
              <m:r>
                <m:rPr>
                  <m:sty m:val="p"/>
                </m:rPr>
                <w:rPr>
                  <w:rFonts w:ascii="Cambria Math" w:hAnsi="Cambria Math" w:cs="Times New Roman"/>
                  <w:sz w:val="22"/>
                  <w:szCs w:val="22"/>
                </w:rPr>
                <m:t>+</m:t>
              </m:r>
              <m:r>
                <w:rPr>
                  <w:rFonts w:ascii="Cambria Math" w:hAnsi="Cambria Math" w:cs="Times New Roman"/>
                  <w:sz w:val="22"/>
                  <w:szCs w:val="22"/>
                </w:rPr>
                <m:t>β </m:t>
              </m:r>
              <m:sSub>
                <m:sSubPr>
                  <m:ctrlPr>
                    <w:rPr>
                      <w:rFonts w:ascii="Cambria Math" w:hAnsi="Cambria Math" w:cs="Times New Roman"/>
                      <w:sz w:val="22"/>
                      <w:szCs w:val="22"/>
                    </w:rPr>
                  </m:ctrlPr>
                </m:sSubPr>
                <m:e>
                  <m:r>
                    <m:rPr>
                      <m:nor/>
                    </m:rPr>
                    <w:rPr>
                      <w:rFonts w:ascii="Times New Roman" w:hAnsi="Times New Roman" w:cs="Times New Roman"/>
                      <w:sz w:val="22"/>
                      <w:szCs w:val="22"/>
                    </w:rPr>
                    <m:t>FIFA_rule</m:t>
                  </m:r>
                </m:e>
                <m:sub>
                  <m:r>
                    <w:rPr>
                      <w:rFonts w:ascii="Cambria Math" w:hAnsi="Cambria Math" w:cs="Times New Roman"/>
                      <w:sz w:val="22"/>
                      <w:szCs w:val="22"/>
                    </w:rPr>
                    <m:t>g</m:t>
                  </m:r>
                </m:sub>
              </m:sSub>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r</m:t>
                  </m:r>
                  <m:r>
                    <m:rPr>
                      <m:sty m:val="p"/>
                    </m:rPr>
                    <w:rPr>
                      <w:rFonts w:ascii="Cambria Math" w:hAnsi="Cambria Math" w:cs="Times New Roman"/>
                      <w:sz w:val="22"/>
                      <w:szCs w:val="22"/>
                    </w:rPr>
                    <m:t>=</m:t>
                  </m:r>
                  <m:r>
                    <w:rPr>
                      <w:rFonts w:ascii="Cambria Math" w:hAnsi="Cambria Math" w:cs="Times New Roman"/>
                      <w:sz w:val="22"/>
                      <w:szCs w:val="22"/>
                    </w:rPr>
                    <m:t>1</m:t>
                  </m:r>
                </m:sub>
                <m:sup>
                  <m:r>
                    <w:rPr>
                      <w:rFonts w:ascii="Cambria Math" w:hAnsi="Cambria Math" w:cs="Times New Roman"/>
                      <w:sz w:val="22"/>
                      <w:szCs w:val="22"/>
                    </w:rPr>
                    <m:t>4</m:t>
                  </m:r>
                </m:sup>
                <m:e>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r</m:t>
                      </m:r>
                    </m:sub>
                  </m:sSub>
                </m:e>
              </m:nary>
              <m:r>
                <w:rPr>
                  <w:rFonts w:ascii="Cambria Math" w:hAnsi="Cambria Math" w:cs="Times New Roman"/>
                  <w:sz w:val="22"/>
                  <w:szCs w:val="22"/>
                </w:rPr>
                <m:t> </m:t>
              </m:r>
              <m:sSubSup>
                <m:sSubSupPr>
                  <m:ctrlPr>
                    <w:rPr>
                      <w:rFonts w:ascii="Cambria Math" w:hAnsi="Cambria Math" w:cs="Times New Roman"/>
                      <w:sz w:val="22"/>
                      <w:szCs w:val="22"/>
                    </w:rPr>
                  </m:ctrlPr>
                </m:sSubSupPr>
                <m:e>
                  <m:r>
                    <m:rPr>
                      <m:nor/>
                    </m:rPr>
                    <w:rPr>
                      <w:rFonts w:ascii="Times New Roman" w:hAnsi="Times New Roman" w:cs="Times New Roman"/>
                      <w:sz w:val="22"/>
                      <w:szCs w:val="22"/>
                    </w:rPr>
                    <m:t>elo</m:t>
                  </m:r>
                </m:e>
                <m:sub>
                  <m:r>
                    <w:rPr>
                      <w:rFonts w:ascii="Cambria Math" w:hAnsi="Cambria Math" w:cs="Times New Roman"/>
                      <w:sz w:val="22"/>
                      <w:szCs w:val="22"/>
                    </w:rPr>
                    <m:t>g</m:t>
                  </m:r>
                </m:sub>
                <m:sup>
                  <m:r>
                    <m:rPr>
                      <m:sty m:val="p"/>
                    </m:rPr>
                    <w:rPr>
                      <w:rFonts w:ascii="Cambria Math" w:hAnsi="Cambria Math" w:cs="Times New Roman"/>
                      <w:sz w:val="22"/>
                      <w:szCs w:val="22"/>
                    </w:rPr>
                    <m:t>(</m:t>
                  </m:r>
                  <m:r>
                    <w:rPr>
                      <w:rFonts w:ascii="Cambria Math" w:hAnsi="Cambria Math" w:cs="Times New Roman"/>
                      <w:sz w:val="22"/>
                      <w:szCs w:val="22"/>
                    </w:rPr>
                    <m:t>r</m:t>
                  </m:r>
                  <m:r>
                    <m:rPr>
                      <m:sty m:val="p"/>
                    </m:rPr>
                    <w:rPr>
                      <w:rFonts w:ascii="Cambria Math" w:hAnsi="Cambria Math" w:cs="Times New Roman"/>
                      <w:sz w:val="22"/>
                      <w:szCs w:val="22"/>
                    </w:rPr>
                    <m:t>)</m:t>
                  </m:r>
                </m:sup>
              </m:sSubSup>
            </m:e>
          </m:d>
        </m:oMath>
      </m:oMathPara>
    </w:p>
    <w:p w14:paraId="52B75DE9" w14:textId="77777777" w:rsidR="00D35D27" w:rsidRPr="00216A31"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19" w:name="Xc5edf37bca48e837294c189ebdd5fed3484c748"/>
      <w:bookmarkEnd w:id="18"/>
      <w:r w:rsidRPr="00216A31">
        <w:rPr>
          <w:rFonts w:ascii="Times New Roman" w:hAnsi="Times New Roman" w:cs="Times New Roman"/>
          <w:b/>
          <w:bCs/>
          <w:i w:val="0"/>
          <w:iCs w:val="0"/>
          <w:color w:val="auto"/>
          <w:sz w:val="22"/>
          <w:szCs w:val="22"/>
        </w:rPr>
        <w:t>Model 3 — Poisson for qualification count (Table </w:t>
      </w:r>
      <w:hyperlink w:anchor="tab:reg_grp">
        <w:r w:rsidR="00D35D27" w:rsidRPr="00216A31">
          <w:rPr>
            <w:b/>
            <w:bCs/>
            <w:i w:val="0"/>
            <w:iCs w:val="0"/>
            <w:color w:val="auto"/>
          </w:rPr>
          <w:t>4</w:t>
        </w:r>
      </w:hyperlink>
      <w:r w:rsidRPr="00216A31">
        <w:rPr>
          <w:rFonts w:ascii="Times New Roman" w:hAnsi="Times New Roman" w:cs="Times New Roman"/>
          <w:b/>
          <w:bCs/>
          <w:i w:val="0"/>
          <w:iCs w:val="0"/>
          <w:color w:val="auto"/>
          <w:sz w:val="22"/>
          <w:szCs w:val="22"/>
        </w:rPr>
        <w:t>).</w:t>
      </w:r>
    </w:p>
    <w:p w14:paraId="5F9AA7A2"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The data are collapsed to one observation per group using the maximum value of </w:t>
      </w:r>
      <w:r w:rsidRPr="00DD0A30">
        <w:rPr>
          <w:rFonts w:ascii="Times New Roman" w:hAnsi="Times New Roman" w:cs="Times New Roman"/>
          <w:i/>
          <w:iCs/>
          <w:sz w:val="22"/>
          <w:szCs w:val="22"/>
        </w:rPr>
        <w:t>qual_count</w:t>
      </w:r>
      <w:r w:rsidRPr="00DD0A30">
        <w:rPr>
          <w:rFonts w:ascii="Times New Roman" w:hAnsi="Times New Roman" w:cs="Times New Roman"/>
          <w:sz w:val="22"/>
          <w:szCs w:val="22"/>
        </w:rPr>
        <w:t>, which records the cumulative number of times the qualifying composition changed within a group. A Poisson regression with robust standard errors is estimated:</w:t>
      </w:r>
    </w:p>
    <w:p w14:paraId="4B1DD295"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r>
            <m:rPr>
              <m:scr m:val="double-struck"/>
              <m:sty m:val="p"/>
            </m:rPr>
            <w:rPr>
              <w:rFonts w:ascii="Cambria Math" w:hAnsi="Cambria Math" w:cs="Times New Roman"/>
              <w:sz w:val="22"/>
              <w:szCs w:val="22"/>
            </w:rPr>
            <m:t>E[</m:t>
          </m:r>
          <m:sSub>
            <m:sSubPr>
              <m:ctrlPr>
                <w:rPr>
                  <w:rFonts w:ascii="Cambria Math" w:hAnsi="Cambria Math" w:cs="Times New Roman"/>
                  <w:sz w:val="22"/>
                  <w:szCs w:val="22"/>
                </w:rPr>
              </m:ctrlPr>
            </m:sSubPr>
            <m:e>
              <m:r>
                <m:rPr>
                  <m:nor/>
                </m:rPr>
                <w:rPr>
                  <w:rFonts w:ascii="Times New Roman" w:hAnsi="Times New Roman" w:cs="Times New Roman"/>
                  <w:sz w:val="22"/>
                  <w:szCs w:val="22"/>
                </w:rPr>
                <m:t>qual_count</m:t>
              </m:r>
            </m:e>
            <m:sub>
              <m:r>
                <w:rPr>
                  <w:rFonts w:ascii="Cambria Math" w:hAnsi="Cambria Math" w:cs="Times New Roman"/>
                  <w:sz w:val="22"/>
                  <w:szCs w:val="22"/>
                </w:rPr>
                <m:t>g</m:t>
              </m:r>
            </m:sub>
          </m:sSub>
          <m:r>
            <m:rPr>
              <m:sty m:val="p"/>
            </m:rPr>
            <w:rPr>
              <w:rFonts w:ascii="Cambria Math" w:hAnsi="Cambria Math" w:cs="Times New Roman"/>
              <w:sz w:val="22"/>
              <w:szCs w:val="22"/>
            </w:rPr>
            <m:t>]=exp</m:t>
          </m:r>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α</m:t>
              </m:r>
              <m:r>
                <m:rPr>
                  <m:sty m:val="p"/>
                </m:rPr>
                <w:rPr>
                  <w:rFonts w:ascii="Cambria Math" w:hAnsi="Cambria Math" w:cs="Times New Roman"/>
                  <w:sz w:val="22"/>
                  <w:szCs w:val="22"/>
                </w:rPr>
                <m:t>+</m:t>
              </m:r>
              <m:r>
                <w:rPr>
                  <w:rFonts w:ascii="Cambria Math" w:hAnsi="Cambria Math" w:cs="Times New Roman"/>
                  <w:sz w:val="22"/>
                  <w:szCs w:val="22"/>
                </w:rPr>
                <m:t>β </m:t>
              </m:r>
              <m:sSub>
                <m:sSubPr>
                  <m:ctrlPr>
                    <w:rPr>
                      <w:rFonts w:ascii="Cambria Math" w:hAnsi="Cambria Math" w:cs="Times New Roman"/>
                      <w:sz w:val="22"/>
                      <w:szCs w:val="22"/>
                    </w:rPr>
                  </m:ctrlPr>
                </m:sSubPr>
                <m:e>
                  <m:r>
                    <m:rPr>
                      <m:nor/>
                    </m:rPr>
                    <w:rPr>
                      <w:rFonts w:ascii="Times New Roman" w:hAnsi="Times New Roman" w:cs="Times New Roman"/>
                      <w:sz w:val="22"/>
                      <w:szCs w:val="22"/>
                    </w:rPr>
                    <m:t>FIFA_rule</m:t>
                  </m:r>
                </m:e>
                <m:sub>
                  <m:r>
                    <w:rPr>
                      <w:rFonts w:ascii="Cambria Math" w:hAnsi="Cambria Math" w:cs="Times New Roman"/>
                      <w:sz w:val="22"/>
                      <w:szCs w:val="22"/>
                    </w:rPr>
                    <m:t>g</m:t>
                  </m:r>
                </m:sub>
              </m:sSub>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r</m:t>
                  </m:r>
                  <m:r>
                    <m:rPr>
                      <m:sty m:val="p"/>
                    </m:rPr>
                    <w:rPr>
                      <w:rFonts w:ascii="Cambria Math" w:hAnsi="Cambria Math" w:cs="Times New Roman"/>
                      <w:sz w:val="22"/>
                      <w:szCs w:val="22"/>
                    </w:rPr>
                    <m:t>=</m:t>
                  </m:r>
                  <m:r>
                    <w:rPr>
                      <w:rFonts w:ascii="Cambria Math" w:hAnsi="Cambria Math" w:cs="Times New Roman"/>
                      <w:sz w:val="22"/>
                      <w:szCs w:val="22"/>
                    </w:rPr>
                    <m:t>1</m:t>
                  </m:r>
                </m:sub>
                <m:sup>
                  <m:r>
                    <w:rPr>
                      <w:rFonts w:ascii="Cambria Math" w:hAnsi="Cambria Math" w:cs="Times New Roman"/>
                      <w:sz w:val="22"/>
                      <w:szCs w:val="22"/>
                    </w:rPr>
                    <m:t>4</m:t>
                  </m:r>
                </m:sup>
                <m:e>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r</m:t>
                      </m:r>
                    </m:sub>
                  </m:sSub>
                </m:e>
              </m:nary>
              <m:r>
                <w:rPr>
                  <w:rFonts w:ascii="Cambria Math" w:hAnsi="Cambria Math" w:cs="Times New Roman"/>
                  <w:sz w:val="22"/>
                  <w:szCs w:val="22"/>
                </w:rPr>
                <m:t> </m:t>
              </m:r>
              <m:sSubSup>
                <m:sSubSupPr>
                  <m:ctrlPr>
                    <w:rPr>
                      <w:rFonts w:ascii="Cambria Math" w:hAnsi="Cambria Math" w:cs="Times New Roman"/>
                      <w:sz w:val="22"/>
                      <w:szCs w:val="22"/>
                    </w:rPr>
                  </m:ctrlPr>
                </m:sSubSupPr>
                <m:e>
                  <m:r>
                    <m:rPr>
                      <m:nor/>
                    </m:rPr>
                    <w:rPr>
                      <w:rFonts w:ascii="Times New Roman" w:hAnsi="Times New Roman" w:cs="Times New Roman"/>
                      <w:sz w:val="22"/>
                      <w:szCs w:val="22"/>
                    </w:rPr>
                    <m:t>elo</m:t>
                  </m:r>
                </m:e>
                <m:sub>
                  <m:r>
                    <w:rPr>
                      <w:rFonts w:ascii="Cambria Math" w:hAnsi="Cambria Math" w:cs="Times New Roman"/>
                      <w:sz w:val="22"/>
                      <w:szCs w:val="22"/>
                    </w:rPr>
                    <m:t>g</m:t>
                  </m:r>
                </m:sub>
                <m:sup>
                  <m:r>
                    <m:rPr>
                      <m:sty m:val="p"/>
                    </m:rPr>
                    <w:rPr>
                      <w:rFonts w:ascii="Cambria Math" w:hAnsi="Cambria Math" w:cs="Times New Roman"/>
                      <w:sz w:val="22"/>
                      <w:szCs w:val="22"/>
                    </w:rPr>
                    <m:t>(</m:t>
                  </m:r>
                  <m:r>
                    <w:rPr>
                      <w:rFonts w:ascii="Cambria Math" w:hAnsi="Cambria Math" w:cs="Times New Roman"/>
                      <w:sz w:val="22"/>
                      <w:szCs w:val="22"/>
                    </w:rPr>
                    <m:t>r</m:t>
                  </m:r>
                  <m:r>
                    <m:rPr>
                      <m:sty m:val="p"/>
                    </m:rPr>
                    <w:rPr>
                      <w:rFonts w:ascii="Cambria Math" w:hAnsi="Cambria Math" w:cs="Times New Roman"/>
                      <w:sz w:val="22"/>
                      <w:szCs w:val="22"/>
                    </w:rPr>
                    <m:t>)</m:t>
                  </m:r>
                </m:sup>
              </m:sSubSup>
            </m:e>
          </m:d>
        </m:oMath>
      </m:oMathPara>
    </w:p>
    <w:p w14:paraId="52248B13" w14:textId="77777777" w:rsidR="00D35D27" w:rsidRPr="00216A31"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20" w:name="X722bfc3287052561978cd8251e95d5e908c09c0"/>
      <w:bookmarkEnd w:id="19"/>
      <w:r w:rsidRPr="00216A31">
        <w:rPr>
          <w:rFonts w:ascii="Times New Roman" w:hAnsi="Times New Roman" w:cs="Times New Roman"/>
          <w:b/>
          <w:bCs/>
          <w:i w:val="0"/>
          <w:iCs w:val="0"/>
          <w:color w:val="auto"/>
          <w:sz w:val="22"/>
          <w:szCs w:val="22"/>
        </w:rPr>
        <w:lastRenderedPageBreak/>
        <w:t>Models 4 &amp; 5 — Logit for suspense, goal level (Table </w:t>
      </w:r>
      <w:hyperlink w:anchor="tab:reg_susp">
        <w:r w:rsidR="00D35D27" w:rsidRPr="00216A31">
          <w:rPr>
            <w:b/>
            <w:bCs/>
            <w:i w:val="0"/>
            <w:iCs w:val="0"/>
            <w:color w:val="auto"/>
          </w:rPr>
          <w:t>5</w:t>
        </w:r>
      </w:hyperlink>
      <w:r w:rsidRPr="00216A31">
        <w:rPr>
          <w:rFonts w:ascii="Times New Roman" w:hAnsi="Times New Roman" w:cs="Times New Roman"/>
          <w:b/>
          <w:bCs/>
          <w:i w:val="0"/>
          <w:iCs w:val="0"/>
          <w:color w:val="auto"/>
          <w:sz w:val="22"/>
          <w:szCs w:val="22"/>
        </w:rPr>
        <w:t>).</w:t>
      </w:r>
    </w:p>
    <w:p w14:paraId="5EF835C9"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To test whether the FIFA rule is associated with higher suspense at the moment of each goal, we re-estimate the logit framework with </w:t>
      </w:r>
      <w:r w:rsidRPr="00DD0A30">
        <w:rPr>
          <w:rFonts w:ascii="Times New Roman" w:hAnsi="Times New Roman" w:cs="Times New Roman"/>
          <w:i/>
          <w:iCs/>
          <w:sz w:val="22"/>
          <w:szCs w:val="22"/>
        </w:rPr>
        <w:t>suspense</w:t>
      </w:r>
      <w:r w:rsidRPr="00DD0A30">
        <w:rPr>
          <w:rFonts w:ascii="Times New Roman" w:hAnsi="Times New Roman" w:cs="Times New Roman"/>
          <w:sz w:val="22"/>
          <w:szCs w:val="22"/>
        </w:rPr>
        <w:t xml:space="preserve"> replacing </w:t>
      </w:r>
      <w:r w:rsidRPr="00DD0A30">
        <w:rPr>
          <w:rFonts w:ascii="Times New Roman" w:hAnsi="Times New Roman" w:cs="Times New Roman"/>
          <w:i/>
          <w:iCs/>
          <w:sz w:val="22"/>
          <w:szCs w:val="22"/>
        </w:rPr>
        <w:t>qual_changed</w:t>
      </w:r>
      <w:r w:rsidRPr="00DD0A30">
        <w:rPr>
          <w:rFonts w:ascii="Times New Roman" w:hAnsi="Times New Roman" w:cs="Times New Roman"/>
          <w:sz w:val="22"/>
          <w:szCs w:val="22"/>
        </w:rPr>
        <w:t xml:space="preserve"> as the dependent variable, using the same goal-level dataset. Model 4 retains match-level Elo controls (</w:t>
      </w:r>
      <w:r w:rsidRPr="00DD0A30">
        <w:rPr>
          <w:rFonts w:ascii="Times New Roman" w:hAnsi="Times New Roman" w:cs="Times New Roman"/>
          <w:i/>
          <w:iCs/>
          <w:sz w:val="22"/>
          <w:szCs w:val="22"/>
        </w:rPr>
        <w:t>elo_fav</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elo_und</w:t>
      </w:r>
      <w:r w:rsidRPr="00DD0A30">
        <w:rPr>
          <w:rFonts w:ascii="Times New Roman" w:hAnsi="Times New Roman" w:cs="Times New Roman"/>
          <w:sz w:val="22"/>
          <w:szCs w:val="22"/>
        </w:rPr>
        <w:t>); Model 5 uses group-level Elo ranks (</w:t>
      </w:r>
      <w:r w:rsidRPr="00DD0A30">
        <w:rPr>
          <w:rFonts w:ascii="Times New Roman" w:hAnsi="Times New Roman" w:cs="Times New Roman"/>
          <w:i/>
          <w:iCs/>
          <w:sz w:val="22"/>
          <w:szCs w:val="22"/>
        </w:rPr>
        <w:t>elo1st</w:t>
      </w:r>
      <w:r w:rsidRPr="00DD0A30">
        <w:rPr>
          <w:rFonts w:ascii="Times New Roman" w:hAnsi="Times New Roman" w:cs="Times New Roman"/>
          <w:sz w:val="22"/>
          <w:szCs w:val="22"/>
        </w:rPr>
        <w:t>–</w:t>
      </w:r>
      <w:r w:rsidRPr="00DD0A30">
        <w:rPr>
          <w:rFonts w:ascii="Times New Roman" w:hAnsi="Times New Roman" w:cs="Times New Roman"/>
          <w:i/>
          <w:iCs/>
          <w:sz w:val="22"/>
          <w:szCs w:val="22"/>
        </w:rPr>
        <w:t>elo4th</w:t>
      </w:r>
      <w:r w:rsidRPr="00DD0A30">
        <w:rPr>
          <w:rFonts w:ascii="Times New Roman" w:hAnsi="Times New Roman" w:cs="Times New Roman"/>
          <w:sz w:val="22"/>
          <w:szCs w:val="22"/>
        </w:rPr>
        <w:t>).</w:t>
      </w:r>
    </w:p>
    <w:p w14:paraId="733450B5" w14:textId="77777777" w:rsidR="00D35D27" w:rsidRPr="00216A31"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21" w:name="Xf7633f4b922d47f49c16357c5b4365afb4fba60"/>
      <w:bookmarkEnd w:id="20"/>
      <w:r w:rsidRPr="00216A31">
        <w:rPr>
          <w:rFonts w:ascii="Times New Roman" w:hAnsi="Times New Roman" w:cs="Times New Roman"/>
          <w:b/>
          <w:bCs/>
          <w:i w:val="0"/>
          <w:iCs w:val="0"/>
          <w:color w:val="auto"/>
          <w:sz w:val="22"/>
          <w:szCs w:val="22"/>
        </w:rPr>
        <w:t>MBM Models — Logit for suspense and qualification change (Table </w:t>
      </w:r>
      <w:hyperlink w:anchor="tab:reg_mbm">
        <w:r w:rsidR="00D35D27" w:rsidRPr="00216A31">
          <w:rPr>
            <w:b/>
            <w:bCs/>
            <w:i w:val="0"/>
            <w:iCs w:val="0"/>
            <w:color w:val="auto"/>
          </w:rPr>
          <w:t>6</w:t>
        </w:r>
      </w:hyperlink>
      <w:r w:rsidRPr="00216A31">
        <w:rPr>
          <w:rFonts w:ascii="Times New Roman" w:hAnsi="Times New Roman" w:cs="Times New Roman"/>
          <w:b/>
          <w:bCs/>
          <w:i w:val="0"/>
          <w:iCs w:val="0"/>
          <w:color w:val="auto"/>
          <w:sz w:val="22"/>
          <w:szCs w:val="22"/>
        </w:rPr>
        <w:t>).</w:t>
      </w:r>
    </w:p>
    <w:p w14:paraId="39093726"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At the minute-by-minute level, we estimate two logit models using group-level Elo controls (</w:t>
      </w:r>
      <w:r w:rsidRPr="00DD0A30">
        <w:rPr>
          <w:rFonts w:ascii="Times New Roman" w:hAnsi="Times New Roman" w:cs="Times New Roman"/>
          <w:i/>
          <w:iCs/>
          <w:sz w:val="22"/>
          <w:szCs w:val="22"/>
        </w:rPr>
        <w:t>elo1st</w:t>
      </w:r>
      <w:r w:rsidRPr="00DD0A30">
        <w:rPr>
          <w:rFonts w:ascii="Times New Roman" w:hAnsi="Times New Roman" w:cs="Times New Roman"/>
          <w:sz w:val="22"/>
          <w:szCs w:val="22"/>
        </w:rPr>
        <w:t>–</w:t>
      </w:r>
      <w:r w:rsidRPr="00DD0A30">
        <w:rPr>
          <w:rFonts w:ascii="Times New Roman" w:hAnsi="Times New Roman" w:cs="Times New Roman"/>
          <w:i/>
          <w:iCs/>
          <w:sz w:val="22"/>
          <w:szCs w:val="22"/>
        </w:rPr>
        <w:t>elo4th</w:t>
      </w:r>
      <w:r w:rsidRPr="00DD0A30">
        <w:rPr>
          <w:rFonts w:ascii="Times New Roman" w:hAnsi="Times New Roman" w:cs="Times New Roman"/>
          <w:sz w:val="22"/>
          <w:szCs w:val="22"/>
        </w:rPr>
        <w:t xml:space="preserve">). MBM-A uses the binary </w:t>
      </w:r>
      <w:r w:rsidRPr="00DD0A30">
        <w:rPr>
          <w:rFonts w:ascii="Times New Roman" w:hAnsi="Times New Roman" w:cs="Times New Roman"/>
          <w:i/>
          <w:iCs/>
          <w:sz w:val="22"/>
          <w:szCs w:val="22"/>
        </w:rPr>
        <w:t>suspense</w:t>
      </w:r>
      <w:r w:rsidRPr="00DD0A30">
        <w:rPr>
          <w:rFonts w:ascii="Times New Roman" w:hAnsi="Times New Roman" w:cs="Times New Roman"/>
          <w:sz w:val="22"/>
          <w:szCs w:val="22"/>
        </w:rPr>
        <w:t xml:space="preserve"> indicator as the dependent variable. MBM-B uses </w:t>
      </w:r>
      <w:r w:rsidRPr="00DD0A30">
        <w:rPr>
          <w:rFonts w:ascii="Times New Roman" w:hAnsi="Times New Roman" w:cs="Times New Roman"/>
          <w:i/>
          <w:iCs/>
          <w:sz w:val="22"/>
          <w:szCs w:val="22"/>
        </w:rPr>
        <w:t>qual_changed</w:t>
      </w:r>
      <w:r w:rsidRPr="00DD0A30">
        <w:rPr>
          <w:rFonts w:ascii="Times New Roman" w:hAnsi="Times New Roman" w:cs="Times New Roman"/>
          <w:sz w:val="22"/>
          <w:szCs w:val="22"/>
        </w:rPr>
        <w:t>, testing whether the FIFA rule is associated with changes in the qualifying composition at the minute level.</w:t>
      </w:r>
    </w:p>
    <w:p w14:paraId="31958F56"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Table </w:t>
      </w:r>
      <w:hyperlink w:anchor="tab:reg_grp">
        <w:r w:rsidR="00D35D27" w:rsidRPr="00DD0A30">
          <w:rPr>
            <w:rStyle w:val="Hyperlink"/>
            <w:rFonts w:ascii="Times New Roman" w:hAnsi="Times New Roman" w:cs="Times New Roman"/>
            <w:sz w:val="22"/>
            <w:szCs w:val="22"/>
          </w:rPr>
          <w:t>4</w:t>
        </w:r>
      </w:hyperlink>
      <w:r w:rsidRPr="00DD0A30">
        <w:rPr>
          <w:rFonts w:ascii="Times New Roman" w:hAnsi="Times New Roman" w:cs="Times New Roman"/>
          <w:sz w:val="22"/>
          <w:szCs w:val="22"/>
        </w:rPr>
        <w:t xml:space="preserve"> reports the estimates for Models 1–3. The coefficient on </w:t>
      </w:r>
      <w:r w:rsidRPr="00DD0A30">
        <w:rPr>
          <w:rFonts w:ascii="Times New Roman" w:hAnsi="Times New Roman" w:cs="Times New Roman"/>
          <w:i/>
          <w:iCs/>
          <w:sz w:val="22"/>
          <w:szCs w:val="22"/>
        </w:rPr>
        <w:t>FIFA_rule</w:t>
      </w:r>
      <w:r w:rsidRPr="00DD0A30">
        <w:rPr>
          <w:rFonts w:ascii="Times New Roman" w:hAnsi="Times New Roman" w:cs="Times New Roman"/>
          <w:sz w:val="22"/>
          <w:szCs w:val="22"/>
        </w:rPr>
        <w:t xml:space="preserve"> is consistently negative across all specifications: World Cup goals are on average 9.7 percentage points less likely to change the qualifying composition than European Championship goals (Model 1,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0.045</m:t>
        </m:r>
      </m:oMath>
      <w:r w:rsidRPr="00DD0A30">
        <w:rPr>
          <w:rFonts w:ascii="Times New Roman" w:hAnsi="Times New Roman" w:cs="Times New Roman"/>
          <w:sz w:val="22"/>
          <w:szCs w:val="22"/>
        </w:rPr>
        <w:t xml:space="preserve">, </w:t>
      </w:r>
      <m:oMath>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607</m:t>
        </m:r>
      </m:oMath>
      <w:r w:rsidRPr="00DD0A30">
        <w:rPr>
          <w:rFonts w:ascii="Times New Roman" w:hAnsi="Times New Roman" w:cs="Times New Roman"/>
          <w:sz w:val="22"/>
          <w:szCs w:val="22"/>
        </w:rPr>
        <w:t>), with a consistent direction in Model 2 (</w:t>
      </w:r>
      <m:oMath>
        <m:r>
          <m:rPr>
            <m:sty m:val="p"/>
          </m:rPr>
          <w:rPr>
            <w:rFonts w:ascii="Cambria Math" w:hAnsi="Cambria Math" w:cs="Times New Roman"/>
            <w:sz w:val="22"/>
            <w:szCs w:val="22"/>
          </w:rPr>
          <m:t>-</m:t>
        </m:r>
        <m:r>
          <w:rPr>
            <w:rFonts w:ascii="Cambria Math" w:hAnsi="Cambria Math" w:cs="Times New Roman"/>
            <w:sz w:val="22"/>
            <w:szCs w:val="22"/>
          </w:rPr>
          <m:t>6.5</m:t>
        </m:r>
      </m:oMath>
      <w:r w:rsidRPr="00DD0A30">
        <w:rPr>
          <w:rFonts w:ascii="Times New Roman" w:hAnsi="Times New Roman" w:cs="Times New Roman"/>
          <w:sz w:val="22"/>
          <w:szCs w:val="22"/>
        </w:rPr>
        <w:t xml:space="preserve"> pp,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0.146</m:t>
        </m:r>
      </m:oMath>
      <w:r w:rsidRPr="00DD0A30">
        <w:rPr>
          <w:rFonts w:ascii="Times New Roman" w:hAnsi="Times New Roman" w:cs="Times New Roman"/>
          <w:sz w:val="22"/>
          <w:szCs w:val="22"/>
        </w:rPr>
        <w:t xml:space="preserve">, </w:t>
      </w:r>
      <m:oMath>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725</m:t>
        </m:r>
      </m:oMath>
      <w:r w:rsidRPr="00DD0A30">
        <w:rPr>
          <w:rFonts w:ascii="Times New Roman" w:hAnsi="Times New Roman" w:cs="Times New Roman"/>
          <w:sz w:val="22"/>
          <w:szCs w:val="22"/>
        </w:rPr>
        <w:t xml:space="preserve">) and in the Poisson for qualification count (Model 3, coefficient </w:t>
      </w:r>
      <m:oMath>
        <m:r>
          <m:rPr>
            <m:sty m:val="p"/>
          </m:rPr>
          <w:rPr>
            <w:rFonts w:ascii="Cambria Math" w:hAnsi="Cambria Math" w:cs="Times New Roman"/>
            <w:sz w:val="22"/>
            <w:szCs w:val="22"/>
          </w:rPr>
          <m:t>-</m:t>
        </m:r>
        <m:r>
          <w:rPr>
            <w:rFonts w:ascii="Cambria Math" w:hAnsi="Cambria Math" w:cs="Times New Roman"/>
            <w:sz w:val="22"/>
            <w:szCs w:val="22"/>
          </w:rPr>
          <m:t>0.33</m:t>
        </m:r>
      </m:oMath>
      <w:r w:rsidRPr="00DD0A30">
        <w:rPr>
          <w:rFonts w:ascii="Times New Roman" w:hAnsi="Times New Roman" w:cs="Times New Roman"/>
          <w:sz w:val="22"/>
          <w:szCs w:val="22"/>
        </w:rPr>
        <w:t xml:space="preserve">,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0.173</m:t>
        </m:r>
      </m:oMath>
      <w:r w:rsidRPr="00DD0A30">
        <w:rPr>
          <w:rFonts w:ascii="Times New Roman" w:hAnsi="Times New Roman" w:cs="Times New Roman"/>
          <w:sz w:val="22"/>
          <w:szCs w:val="22"/>
        </w:rPr>
        <w:t>). MBM-B in Table </w:t>
      </w:r>
      <w:hyperlink w:anchor="tab:reg_mbm">
        <w:r w:rsidR="00D35D27" w:rsidRPr="00DD0A30">
          <w:rPr>
            <w:rStyle w:val="Hyperlink"/>
            <w:rFonts w:ascii="Times New Roman" w:hAnsi="Times New Roman" w:cs="Times New Roman"/>
            <w:sz w:val="22"/>
            <w:szCs w:val="22"/>
          </w:rPr>
          <w:t>6</w:t>
        </w:r>
      </w:hyperlink>
      <w:r w:rsidRPr="00DD0A30">
        <w:rPr>
          <w:rFonts w:ascii="Times New Roman" w:hAnsi="Times New Roman" w:cs="Times New Roman"/>
          <w:sz w:val="22"/>
          <w:szCs w:val="22"/>
        </w:rPr>
        <w:t xml:space="preserve"> confirms this pattern at the minute level: World Cup minutes are 10.3 percentage points less likely to involve a change in the qualifying composition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0.034</m:t>
        </m:r>
      </m:oMath>
      <w:r w:rsidRPr="00DD0A30">
        <w:rPr>
          <w:rFonts w:ascii="Times New Roman" w:hAnsi="Times New Roman" w:cs="Times New Roman"/>
          <w:sz w:val="22"/>
          <w:szCs w:val="22"/>
        </w:rPr>
        <w:t>), with consistent results under the 3-points rule (</w:t>
      </w:r>
      <m:oMath>
        <m:r>
          <m:rPr>
            <m:sty m:val="p"/>
          </m:rPr>
          <w:rPr>
            <w:rFonts w:ascii="Cambria Math" w:hAnsi="Cambria Math" w:cs="Times New Roman"/>
            <w:sz w:val="22"/>
            <w:szCs w:val="22"/>
          </w:rPr>
          <m:t>-</m:t>
        </m:r>
        <m:r>
          <w:rPr>
            <w:rFonts w:ascii="Cambria Math" w:hAnsi="Cambria Math" w:cs="Times New Roman"/>
            <w:sz w:val="22"/>
            <w:szCs w:val="22"/>
          </w:rPr>
          <m:t>0.105</m:t>
        </m:r>
      </m:oMath>
      <w:r w:rsidRPr="00DD0A30">
        <w:rPr>
          <w:rFonts w:ascii="Times New Roman" w:hAnsi="Times New Roman" w:cs="Times New Roman"/>
          <w:sz w:val="22"/>
          <w:szCs w:val="22"/>
        </w:rPr>
        <w:t xml:space="preserve">,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0.021</m:t>
        </m:r>
      </m:oMath>
      <w:r w:rsidRPr="00DD0A30">
        <w:rPr>
          <w:rFonts w:ascii="Times New Roman" w:hAnsi="Times New Roman" w:cs="Times New Roman"/>
          <w:sz w:val="22"/>
          <w:szCs w:val="22"/>
        </w:rPr>
        <w:t>) and the Elo common support sample (</w:t>
      </w:r>
      <m:oMath>
        <m:r>
          <m:rPr>
            <m:sty m:val="p"/>
          </m:rPr>
          <w:rPr>
            <w:rFonts w:ascii="Cambria Math" w:hAnsi="Cambria Math" w:cs="Times New Roman"/>
            <w:sz w:val="22"/>
            <w:szCs w:val="22"/>
          </w:rPr>
          <m:t>-</m:t>
        </m:r>
        <m:r>
          <w:rPr>
            <w:rFonts w:ascii="Cambria Math" w:hAnsi="Cambria Math" w:cs="Times New Roman"/>
            <w:sz w:val="22"/>
            <w:szCs w:val="22"/>
          </w:rPr>
          <m:t>0.083</m:t>
        </m:r>
      </m:oMath>
      <w:r w:rsidRPr="00DD0A30">
        <w:rPr>
          <w:rFonts w:ascii="Times New Roman" w:hAnsi="Times New Roman" w:cs="Times New Roman"/>
          <w:sz w:val="22"/>
          <w:szCs w:val="22"/>
        </w:rPr>
        <w:t xml:space="preserve">,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0.082</m:t>
        </m:r>
      </m:oMath>
      <w:r w:rsidRPr="00DD0A30">
        <w:rPr>
          <w:rFonts w:ascii="Times New Roman" w:hAnsi="Times New Roman" w:cs="Times New Roman"/>
          <w:sz w:val="22"/>
          <w:szCs w:val="22"/>
        </w:rPr>
        <w:t>).</w:t>
      </w:r>
    </w:p>
    <w:p w14:paraId="51A8AA9C"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The picture is considerably different when the dependent variable is </w:t>
      </w:r>
      <w:r w:rsidRPr="00DD0A30">
        <w:rPr>
          <w:rFonts w:ascii="Times New Roman" w:hAnsi="Times New Roman" w:cs="Times New Roman"/>
          <w:i/>
          <w:iCs/>
          <w:sz w:val="22"/>
          <w:szCs w:val="22"/>
        </w:rPr>
        <w:t>suspense</w:t>
      </w:r>
      <w:r w:rsidRPr="00DD0A30">
        <w:rPr>
          <w:rFonts w:ascii="Times New Roman" w:hAnsi="Times New Roman" w:cs="Times New Roman"/>
          <w:sz w:val="22"/>
          <w:szCs w:val="22"/>
        </w:rPr>
        <w:t xml:space="preserve"> — the indicator that the current state is such that one more goal </w:t>
      </w:r>
      <w:r w:rsidRPr="00DD0A30">
        <w:rPr>
          <w:rFonts w:ascii="Times New Roman" w:hAnsi="Times New Roman" w:cs="Times New Roman"/>
          <w:i/>
          <w:iCs/>
          <w:sz w:val="22"/>
          <w:szCs w:val="22"/>
        </w:rPr>
        <w:t>would</w:t>
      </w:r>
      <w:r w:rsidRPr="00DD0A30">
        <w:rPr>
          <w:rFonts w:ascii="Times New Roman" w:hAnsi="Times New Roman" w:cs="Times New Roman"/>
          <w:sz w:val="22"/>
          <w:szCs w:val="22"/>
        </w:rPr>
        <w:t xml:space="preserve"> potentially change the qualifying composition. Table </w:t>
      </w:r>
      <w:hyperlink w:anchor="tab:reg_susp">
        <w:r w:rsidR="00D35D27" w:rsidRPr="00DD0A30">
          <w:rPr>
            <w:rStyle w:val="Hyperlink"/>
            <w:rFonts w:ascii="Times New Roman" w:hAnsi="Times New Roman" w:cs="Times New Roman"/>
            <w:sz w:val="22"/>
            <w:szCs w:val="22"/>
          </w:rPr>
          <w:t>5</w:t>
        </w:r>
      </w:hyperlink>
      <w:r w:rsidRPr="00DD0A30">
        <w:rPr>
          <w:rFonts w:ascii="Times New Roman" w:hAnsi="Times New Roman" w:cs="Times New Roman"/>
          <w:sz w:val="22"/>
          <w:szCs w:val="22"/>
        </w:rPr>
        <w:t xml:space="preserve"> shows that the FIFA_rule coefficient in Models 4–5 is small, inconsistent in sign, and never approaches significance (</w:t>
      </w:r>
      <m:oMath>
        <m:r>
          <m:rPr>
            <m:sty m:val="p"/>
          </m:rPr>
          <w:rPr>
            <w:rFonts w:ascii="Cambria Math" w:hAnsi="Cambria Math" w:cs="Times New Roman"/>
            <w:sz w:val="22"/>
            <w:szCs w:val="22"/>
          </w:rPr>
          <m:t>-</m:t>
        </m:r>
        <m:r>
          <w:rPr>
            <w:rFonts w:ascii="Cambria Math" w:hAnsi="Cambria Math" w:cs="Times New Roman"/>
            <w:sz w:val="22"/>
            <w:szCs w:val="22"/>
          </w:rPr>
          <m:t>0.015</m:t>
        </m:r>
      </m:oMath>
      <w:r w:rsidRPr="00DD0A30">
        <w:rPr>
          <w:rFonts w:ascii="Times New Roman" w:hAnsi="Times New Roman" w:cs="Times New Roman"/>
          <w:sz w:val="22"/>
          <w:szCs w:val="22"/>
        </w:rPr>
        <w:t xml:space="preserve">,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0.846</m:t>
        </m:r>
      </m:oMath>
      <w:r w:rsidRPr="00DD0A30">
        <w:rPr>
          <w:rFonts w:ascii="Times New Roman" w:hAnsi="Times New Roman" w:cs="Times New Roman"/>
          <w:sz w:val="22"/>
          <w:szCs w:val="22"/>
        </w:rPr>
        <w:t xml:space="preserve"> in Model 4; </w:t>
      </w:r>
      <m:oMath>
        <m:r>
          <m:rPr>
            <m:sty m:val="p"/>
          </m:rPr>
          <w:rPr>
            <w:rFonts w:ascii="Cambria Math" w:hAnsi="Cambria Math" w:cs="Times New Roman"/>
            <w:sz w:val="22"/>
            <w:szCs w:val="22"/>
          </w:rPr>
          <m:t>+</m:t>
        </m:r>
        <m:r>
          <w:rPr>
            <w:rFonts w:ascii="Cambria Math" w:hAnsi="Cambria Math" w:cs="Times New Roman"/>
            <w:sz w:val="22"/>
            <w:szCs w:val="22"/>
          </w:rPr>
          <m:t>0.019</m:t>
        </m:r>
      </m:oMath>
      <w:r w:rsidRPr="00DD0A30">
        <w:rPr>
          <w:rFonts w:ascii="Times New Roman" w:hAnsi="Times New Roman" w:cs="Times New Roman"/>
          <w:sz w:val="22"/>
          <w:szCs w:val="22"/>
        </w:rPr>
        <w:t xml:space="preserve">,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0.800</m:t>
        </m:r>
      </m:oMath>
      <w:r w:rsidRPr="00DD0A30">
        <w:rPr>
          <w:rFonts w:ascii="Times New Roman" w:hAnsi="Times New Roman" w:cs="Times New Roman"/>
          <w:sz w:val="22"/>
          <w:szCs w:val="22"/>
        </w:rPr>
        <w:t xml:space="preserve"> in Model 5). MBM-A tells the same story (</w:t>
      </w:r>
      <m:oMath>
        <m:r>
          <m:rPr>
            <m:sty m:val="p"/>
          </m:rPr>
          <w:rPr>
            <w:rFonts w:ascii="Cambria Math" w:hAnsi="Cambria Math" w:cs="Times New Roman"/>
            <w:sz w:val="22"/>
            <w:szCs w:val="22"/>
          </w:rPr>
          <m:t>-</m:t>
        </m:r>
        <m:r>
          <w:rPr>
            <w:rFonts w:ascii="Cambria Math" w:hAnsi="Cambria Math" w:cs="Times New Roman"/>
            <w:sz w:val="22"/>
            <w:szCs w:val="22"/>
          </w:rPr>
          <m:t>0.031</m:t>
        </m:r>
      </m:oMath>
      <w:r w:rsidRPr="00DD0A30">
        <w:rPr>
          <w:rFonts w:ascii="Times New Roman" w:hAnsi="Times New Roman" w:cs="Times New Roman"/>
          <w:sz w:val="22"/>
          <w:szCs w:val="22"/>
        </w:rPr>
        <w:t xml:space="preserve">,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0.696</m:t>
        </m:r>
      </m:oMath>
      <w:r w:rsidRPr="00DD0A30">
        <w:rPr>
          <w:rFonts w:ascii="Times New Roman" w:hAnsi="Times New Roman" w:cs="Times New Roman"/>
          <w:sz w:val="22"/>
          <w:szCs w:val="22"/>
        </w:rPr>
        <w:t xml:space="preserve">). The FIFA rule thus reduces the frequency of </w:t>
      </w:r>
      <w:r w:rsidRPr="00DD0A30">
        <w:rPr>
          <w:rFonts w:ascii="Times New Roman" w:hAnsi="Times New Roman" w:cs="Times New Roman"/>
          <w:i/>
          <w:iCs/>
          <w:sz w:val="22"/>
          <w:szCs w:val="22"/>
        </w:rPr>
        <w:t>actual</w:t>
      </w:r>
      <w:r w:rsidRPr="00DD0A30">
        <w:rPr>
          <w:rFonts w:ascii="Times New Roman" w:hAnsi="Times New Roman" w:cs="Times New Roman"/>
          <w:sz w:val="22"/>
          <w:szCs w:val="22"/>
        </w:rPr>
        <w:t xml:space="preserve"> changes in the qualifying composition without systematically altering the share of moments that potentially can lead to a change — a distinction between realised turnover and anticipated volatility.</w:t>
      </w:r>
    </w:p>
    <w:p w14:paraId="4EA610BE"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A notable twist emerges from the 2-points versus 3-points rule subsamples. Under the old 2-points system (years </w:t>
      </w:r>
      <m:oMath>
        <m:r>
          <m:rPr>
            <m:sty m:val="p"/>
          </m:rPr>
          <w:rPr>
            <w:rFonts w:ascii="Cambria Math" w:hAnsi="Cambria Math" w:cs="Times New Roman"/>
            <w:sz w:val="22"/>
            <w:szCs w:val="22"/>
          </w:rPr>
          <m:t>≤</m:t>
        </m:r>
        <m:r>
          <w:rPr>
            <w:rFonts w:ascii="Cambria Math" w:hAnsi="Cambria Math" w:cs="Times New Roman"/>
            <w:sz w:val="22"/>
            <w:szCs w:val="22"/>
          </w:rPr>
          <m:t>1992</m:t>
        </m:r>
      </m:oMath>
      <w:r w:rsidRPr="00DD0A30">
        <w:rPr>
          <w:rFonts w:ascii="Times New Roman" w:hAnsi="Times New Roman" w:cs="Times New Roman"/>
          <w:sz w:val="22"/>
          <w:szCs w:val="22"/>
        </w:rPr>
        <w:t xml:space="preserve">), the FIFA rule is associated with </w:t>
      </w:r>
      <w:r w:rsidRPr="00DD0A30">
        <w:rPr>
          <w:rFonts w:ascii="Times New Roman" w:hAnsi="Times New Roman" w:cs="Times New Roman"/>
          <w:i/>
          <w:iCs/>
          <w:sz w:val="22"/>
          <w:szCs w:val="22"/>
        </w:rPr>
        <w:t>more</w:t>
      </w:r>
      <w:r w:rsidRPr="00DD0A30">
        <w:rPr>
          <w:rFonts w:ascii="Times New Roman" w:hAnsi="Times New Roman" w:cs="Times New Roman"/>
          <w:sz w:val="22"/>
          <w:szCs w:val="22"/>
        </w:rPr>
        <w:t xml:space="preserve"> changes in the qualifying composition: </w:t>
      </w:r>
      <m:oMath>
        <m:r>
          <m:rPr>
            <m:sty m:val="p"/>
          </m:rPr>
          <w:rPr>
            <w:rFonts w:ascii="Cambria Math" w:hAnsi="Cambria Math" w:cs="Times New Roman"/>
            <w:sz w:val="22"/>
            <w:szCs w:val="22"/>
          </w:rPr>
          <m:t>+</m:t>
        </m:r>
        <m:r>
          <w:rPr>
            <w:rFonts w:ascii="Cambria Math" w:hAnsi="Cambria Math" w:cs="Times New Roman"/>
            <w:sz w:val="22"/>
            <w:szCs w:val="22"/>
          </w:rPr>
          <m:t>0.290</m:t>
        </m:r>
      </m:oMath>
      <w:r w:rsidRPr="00DD0A30">
        <w:rPr>
          <w:rFonts w:ascii="Times New Roman" w:hAnsi="Times New Roman" w:cs="Times New Roman"/>
          <w:sz w:val="22"/>
          <w:szCs w:val="22"/>
        </w:rPr>
        <w:t xml:space="preserve"> in MBM-B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0.041</m:t>
        </m:r>
      </m:oMath>
      <w:r w:rsidRPr="00DD0A30">
        <w:rPr>
          <w:rFonts w:ascii="Times New Roman" w:hAnsi="Times New Roman" w:cs="Times New Roman"/>
          <w:sz w:val="22"/>
          <w:szCs w:val="22"/>
        </w:rPr>
        <w:t xml:space="preserve">) and a positive but imprecise direction in Models 1–3. Under the modern 3-points system (years </w:t>
      </w:r>
      <m:oMath>
        <m:r>
          <m:rPr>
            <m:sty m:val="p"/>
          </m:rPr>
          <w:rPr>
            <w:rFonts w:ascii="Cambria Math" w:hAnsi="Cambria Math" w:cs="Times New Roman"/>
            <w:sz w:val="22"/>
            <w:szCs w:val="22"/>
          </w:rPr>
          <m:t>&gt;</m:t>
        </m:r>
        <m:r>
          <w:rPr>
            <w:rFonts w:ascii="Cambria Math" w:hAnsi="Cambria Math" w:cs="Times New Roman"/>
            <w:sz w:val="22"/>
            <w:szCs w:val="22"/>
          </w:rPr>
          <m:t>1992</m:t>
        </m:r>
      </m:oMath>
      <w:r w:rsidRPr="00DD0A30">
        <w:rPr>
          <w:rFonts w:ascii="Times New Roman" w:hAnsi="Times New Roman" w:cs="Times New Roman"/>
          <w:sz w:val="22"/>
          <w:szCs w:val="22"/>
        </w:rPr>
        <w:t>), the sign reverses to negative across all models (</w:t>
      </w:r>
      <m:oMath>
        <m:r>
          <m:rPr>
            <m:sty m:val="p"/>
          </m:rPr>
          <w:rPr>
            <w:rFonts w:ascii="Cambria Math" w:hAnsi="Cambria Math" w:cs="Times New Roman"/>
            <w:sz w:val="22"/>
            <w:szCs w:val="22"/>
          </w:rPr>
          <m:t>-</m:t>
        </m:r>
        <m:r>
          <w:rPr>
            <w:rFonts w:ascii="Cambria Math" w:hAnsi="Cambria Math" w:cs="Times New Roman"/>
            <w:sz w:val="22"/>
            <w:szCs w:val="22"/>
          </w:rPr>
          <m:t>0.105</m:t>
        </m:r>
      </m:oMath>
      <w:r w:rsidRPr="00DD0A30">
        <w:rPr>
          <w:rFonts w:ascii="Times New Roman" w:hAnsi="Times New Roman" w:cs="Times New Roman"/>
          <w:sz w:val="22"/>
          <w:szCs w:val="22"/>
        </w:rPr>
        <w:t xml:space="preserve"> in MBM-B, </w:t>
      </w:r>
      <m:oMath>
        <m:r>
          <w:rPr>
            <w:rFonts w:ascii="Cambria Math" w:hAnsi="Cambria Math" w:cs="Times New Roman"/>
            <w:sz w:val="22"/>
            <w:szCs w:val="22"/>
          </w:rPr>
          <m:t>p</m:t>
        </m:r>
        <m:r>
          <m:rPr>
            <m:sty m:val="p"/>
          </m:rPr>
          <w:rPr>
            <w:rFonts w:ascii="Cambria Math" w:hAnsi="Cambria Math" w:cs="Times New Roman"/>
            <w:sz w:val="22"/>
            <w:szCs w:val="22"/>
          </w:rPr>
          <m:t>=</m:t>
        </m:r>
        <m:r>
          <w:rPr>
            <w:rFonts w:ascii="Cambria Math" w:hAnsi="Cambria Math" w:cs="Times New Roman"/>
            <w:sz w:val="22"/>
            <w:szCs w:val="22"/>
          </w:rPr>
          <m:t>0.021</m:t>
        </m:r>
      </m:oMath>
      <w:r w:rsidRPr="00DD0A30">
        <w:rPr>
          <w:rFonts w:ascii="Times New Roman" w:hAnsi="Times New Roman" w:cs="Times New Roman"/>
          <w:sz w:val="22"/>
          <w:szCs w:val="22"/>
        </w:rPr>
        <w:t xml:space="preserve">). This flip is consistent with the idea that under the old system, the greater prevalence of draws made goal difference a more frequently decisive tiebreaker, so FIFA-rule groups experienced more volatility in the composition of qualifying teams. Once wins became more valuable and draws rarer under the 3-points system, qualification was settled more directly through </w:t>
      </w:r>
      <w:r w:rsidRPr="00DD0A30">
        <w:rPr>
          <w:rFonts w:ascii="Times New Roman" w:hAnsi="Times New Roman" w:cs="Times New Roman"/>
          <w:sz w:val="22"/>
          <w:szCs w:val="22"/>
        </w:rPr>
        <w:lastRenderedPageBreak/>
        <w:t>points, reducing the marginal importance of goal difference and changing the compositional twist that the FIFA rule previously induced. Robustness checks are reported in the same tables.</w:t>
      </w:r>
    </w:p>
    <w:p w14:paraId="53DD1C58" w14:textId="4CE5C781" w:rsidR="00D35D27" w:rsidRPr="00DD0A30" w:rsidRDefault="00DF6052" w:rsidP="00DD0A30">
      <w:pPr>
        <w:pStyle w:val="TableCaption"/>
        <w:spacing w:line="360" w:lineRule="auto"/>
        <w:jc w:val="both"/>
        <w:rPr>
          <w:rFonts w:ascii="Times New Roman" w:hAnsi="Times New Roman" w:cs="Times New Roman"/>
          <w:sz w:val="22"/>
          <w:szCs w:val="22"/>
        </w:rPr>
      </w:pPr>
      <w:bookmarkStart w:id="22" w:name="tab:reg_grp"/>
      <w:r>
        <w:rPr>
          <w:rFonts w:ascii="Times New Roman" w:hAnsi="Times New Roman" w:cs="Times New Roman"/>
          <w:sz w:val="22"/>
          <w:szCs w:val="22"/>
        </w:rPr>
        <w:t xml:space="preserve">Table 4: </w:t>
      </w:r>
      <w:r w:rsidR="00000000" w:rsidRPr="00DD0A30">
        <w:rPr>
          <w:rFonts w:ascii="Times New Roman" w:hAnsi="Times New Roman" w:cs="Times New Roman"/>
          <w:sz w:val="22"/>
          <w:szCs w:val="22"/>
        </w:rPr>
        <w:t>Effect of FIFA tie-breaking rule on qualification change and count</w:t>
      </w:r>
    </w:p>
    <w:tbl>
      <w:tblPr>
        <w:tblStyle w:val="Table"/>
        <w:tblW w:w="5000" w:type="pct"/>
        <w:tblLook w:val="0000" w:firstRow="0" w:lastRow="0" w:firstColumn="0" w:lastColumn="0" w:noHBand="0" w:noVBand="0"/>
      </w:tblPr>
      <w:tblGrid>
        <w:gridCol w:w="3915"/>
        <w:gridCol w:w="1157"/>
        <w:gridCol w:w="1074"/>
        <w:gridCol w:w="1000"/>
        <w:gridCol w:w="1000"/>
        <w:gridCol w:w="1023"/>
        <w:gridCol w:w="1019"/>
      </w:tblGrid>
      <w:tr w:rsidR="00D35D27" w:rsidRPr="00DD0A30" w14:paraId="1B24CABF" w14:textId="77777777" w:rsidTr="00DF6052">
        <w:tc>
          <w:tcPr>
            <w:tcW w:w="1921" w:type="pct"/>
            <w:tcBorders>
              <w:top w:val="single" w:sz="4" w:space="0" w:color="000000" w:themeColor="text1"/>
            </w:tcBorders>
          </w:tcPr>
          <w:p w14:paraId="64953535"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Borders>
              <w:top w:val="single" w:sz="4" w:space="0" w:color="000000" w:themeColor="text1"/>
            </w:tcBorders>
          </w:tcPr>
          <w:p w14:paraId="4B2718E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M1: Logit (AME)</w:t>
            </w:r>
          </w:p>
        </w:tc>
        <w:tc>
          <w:tcPr>
            <w:tcW w:w="981" w:type="pct"/>
            <w:gridSpan w:val="2"/>
            <w:tcBorders>
              <w:top w:val="single" w:sz="4" w:space="0" w:color="000000" w:themeColor="text1"/>
            </w:tcBorders>
          </w:tcPr>
          <w:p w14:paraId="35F3504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M2: Logit (AME)</w:t>
            </w:r>
          </w:p>
        </w:tc>
        <w:tc>
          <w:tcPr>
            <w:tcW w:w="1003" w:type="pct"/>
            <w:gridSpan w:val="2"/>
            <w:tcBorders>
              <w:top w:val="single" w:sz="4" w:space="0" w:color="000000" w:themeColor="text1"/>
            </w:tcBorders>
          </w:tcPr>
          <w:p w14:paraId="525B7F0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M3: Poisson (coef)</w:t>
            </w:r>
          </w:p>
        </w:tc>
      </w:tr>
      <w:tr w:rsidR="00D35D27" w:rsidRPr="00DD0A30" w14:paraId="747988D6" w14:textId="77777777" w:rsidTr="00DF6052">
        <w:tc>
          <w:tcPr>
            <w:tcW w:w="1921" w:type="pct"/>
          </w:tcPr>
          <w:p w14:paraId="6D82B263"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Borders>
              <w:bottom w:val="single" w:sz="4" w:space="0" w:color="000000" w:themeColor="text1"/>
            </w:tcBorders>
          </w:tcPr>
          <w:p w14:paraId="4A02783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qual_changed</w:t>
            </w:r>
          </w:p>
        </w:tc>
        <w:tc>
          <w:tcPr>
            <w:tcW w:w="981" w:type="pct"/>
            <w:gridSpan w:val="2"/>
          </w:tcPr>
          <w:p w14:paraId="5BCB111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qual_changed</w:t>
            </w:r>
          </w:p>
        </w:tc>
        <w:tc>
          <w:tcPr>
            <w:tcW w:w="1003" w:type="pct"/>
            <w:gridSpan w:val="2"/>
            <w:tcBorders>
              <w:bottom w:val="single" w:sz="4" w:space="0" w:color="000000" w:themeColor="text1"/>
            </w:tcBorders>
          </w:tcPr>
          <w:p w14:paraId="185AF51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qual_count</w:t>
            </w:r>
          </w:p>
        </w:tc>
      </w:tr>
      <w:tr w:rsidR="00D35D27" w:rsidRPr="00DD0A30" w14:paraId="59894C0D" w14:textId="77777777" w:rsidTr="00DF6052">
        <w:tc>
          <w:tcPr>
            <w:tcW w:w="1921" w:type="pct"/>
            <w:tcBorders>
              <w:bottom w:val="single" w:sz="4" w:space="0" w:color="000000" w:themeColor="text1"/>
            </w:tcBorders>
          </w:tcPr>
          <w:p w14:paraId="758361E4" w14:textId="26236BC4" w:rsidR="00D35D27" w:rsidRPr="00DD0A30" w:rsidRDefault="00D35D27" w:rsidP="00DD0A30">
            <w:pPr>
              <w:pStyle w:val="Compact"/>
              <w:spacing w:line="360" w:lineRule="auto"/>
              <w:jc w:val="both"/>
              <w:rPr>
                <w:rFonts w:ascii="Times New Roman" w:hAnsi="Times New Roman" w:cs="Times New Roman"/>
                <w:sz w:val="22"/>
                <w:szCs w:val="22"/>
              </w:rPr>
            </w:pPr>
          </w:p>
        </w:tc>
        <w:tc>
          <w:tcPr>
            <w:tcW w:w="568" w:type="pct"/>
            <w:tcBorders>
              <w:top w:val="single" w:sz="4" w:space="0" w:color="000000" w:themeColor="text1"/>
              <w:bottom w:val="single" w:sz="4" w:space="0" w:color="000000" w:themeColor="text1"/>
            </w:tcBorders>
          </w:tcPr>
          <w:p w14:paraId="4C4F544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w:t>
            </w:r>
          </w:p>
        </w:tc>
        <w:tc>
          <w:tcPr>
            <w:tcW w:w="527" w:type="pct"/>
            <w:tcBorders>
              <w:top w:val="single" w:sz="4" w:space="0" w:color="000000" w:themeColor="text1"/>
              <w:bottom w:val="single" w:sz="4" w:space="0" w:color="000000" w:themeColor="text1"/>
            </w:tcBorders>
          </w:tcPr>
          <w:p w14:paraId="1A5FEEC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w:t>
            </w:r>
          </w:p>
        </w:tc>
        <w:tc>
          <w:tcPr>
            <w:tcW w:w="491" w:type="pct"/>
            <w:tcBorders>
              <w:top w:val="single" w:sz="4" w:space="0" w:color="000000" w:themeColor="text1"/>
              <w:bottom w:val="single" w:sz="4" w:space="0" w:color="000000" w:themeColor="text1"/>
            </w:tcBorders>
          </w:tcPr>
          <w:p w14:paraId="6D58CFE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(3)</w:t>
            </w:r>
          </w:p>
        </w:tc>
        <w:tc>
          <w:tcPr>
            <w:tcW w:w="491" w:type="pct"/>
            <w:tcBorders>
              <w:top w:val="single" w:sz="4" w:space="0" w:color="000000" w:themeColor="text1"/>
              <w:bottom w:val="single" w:sz="4" w:space="0" w:color="000000" w:themeColor="text1"/>
            </w:tcBorders>
          </w:tcPr>
          <w:p w14:paraId="032C381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(4)</w:t>
            </w:r>
          </w:p>
        </w:tc>
        <w:tc>
          <w:tcPr>
            <w:tcW w:w="502" w:type="pct"/>
            <w:tcBorders>
              <w:top w:val="single" w:sz="4" w:space="0" w:color="000000" w:themeColor="text1"/>
              <w:bottom w:val="single" w:sz="4" w:space="0" w:color="000000" w:themeColor="text1"/>
            </w:tcBorders>
          </w:tcPr>
          <w:p w14:paraId="5271AC1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(5)</w:t>
            </w:r>
          </w:p>
        </w:tc>
        <w:tc>
          <w:tcPr>
            <w:tcW w:w="502" w:type="pct"/>
            <w:tcBorders>
              <w:top w:val="single" w:sz="4" w:space="0" w:color="000000" w:themeColor="text1"/>
              <w:bottom w:val="single" w:sz="4" w:space="0" w:color="000000" w:themeColor="text1"/>
            </w:tcBorders>
          </w:tcPr>
          <w:p w14:paraId="6DE3DC5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w:t>
            </w:r>
          </w:p>
        </w:tc>
      </w:tr>
      <w:tr w:rsidR="00D35D27" w:rsidRPr="00DD0A30" w14:paraId="7EE4374B" w14:textId="77777777" w:rsidTr="00DF6052">
        <w:tc>
          <w:tcPr>
            <w:tcW w:w="5000" w:type="pct"/>
            <w:gridSpan w:val="7"/>
            <w:tcBorders>
              <w:top w:val="single" w:sz="4" w:space="0" w:color="000000" w:themeColor="text1"/>
            </w:tcBorders>
          </w:tcPr>
          <w:p w14:paraId="0337632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Panel A: Main specifications</w:t>
            </w:r>
          </w:p>
        </w:tc>
      </w:tr>
      <w:tr w:rsidR="00D35D27" w:rsidRPr="00DD0A30" w14:paraId="2482D02E" w14:textId="77777777" w:rsidTr="00DF6052">
        <w:tc>
          <w:tcPr>
            <w:tcW w:w="1921" w:type="pct"/>
          </w:tcPr>
          <w:p w14:paraId="142A2DD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FIFA_rule</w:t>
            </w:r>
          </w:p>
        </w:tc>
        <w:tc>
          <w:tcPr>
            <w:tcW w:w="568" w:type="pct"/>
          </w:tcPr>
          <w:p w14:paraId="312C4ED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0.097</m:t>
                    </m:r>
                  </m:e>
                  <m:sup>
                    <m:r>
                      <m:rPr>
                        <m:sty m:val="p"/>
                      </m:rPr>
                      <w:rPr>
                        <w:rFonts w:ascii="Cambria Math" w:hAnsi="Cambria Math" w:cs="Times New Roman"/>
                        <w:sz w:val="22"/>
                        <w:szCs w:val="22"/>
                      </w:rPr>
                      <m:t>**</m:t>
                    </m:r>
                  </m:sup>
                </m:sSup>
              </m:oMath>
            </m:oMathPara>
          </w:p>
        </w:tc>
        <w:tc>
          <w:tcPr>
            <w:tcW w:w="527" w:type="pct"/>
          </w:tcPr>
          <w:p w14:paraId="0BD881F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0.083</m:t>
                    </m:r>
                  </m:e>
                  <m:sup>
                    <m:r>
                      <m:rPr>
                        <m:sty m:val="p"/>
                      </m:rPr>
                      <w:rPr>
                        <w:rFonts w:ascii="Cambria Math" w:hAnsi="Cambria Math" w:cs="Times New Roman"/>
                        <w:sz w:val="22"/>
                        <w:szCs w:val="22"/>
                      </w:rPr>
                      <m:t>*</m:t>
                    </m:r>
                  </m:sup>
                </m:sSup>
              </m:oMath>
            </m:oMathPara>
          </w:p>
        </w:tc>
        <w:tc>
          <w:tcPr>
            <w:tcW w:w="491" w:type="pct"/>
          </w:tcPr>
          <w:p w14:paraId="0BFFAD7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0.065</m:t>
                </m:r>
              </m:oMath>
            </m:oMathPara>
          </w:p>
        </w:tc>
        <w:tc>
          <w:tcPr>
            <w:tcW w:w="491" w:type="pct"/>
          </w:tcPr>
          <w:p w14:paraId="6AAF616F"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0.043</m:t>
                </m:r>
              </m:oMath>
            </m:oMathPara>
          </w:p>
        </w:tc>
        <w:tc>
          <w:tcPr>
            <w:tcW w:w="502" w:type="pct"/>
          </w:tcPr>
          <w:p w14:paraId="6539D509"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0.331</m:t>
                </m:r>
              </m:oMath>
            </m:oMathPara>
          </w:p>
        </w:tc>
        <w:tc>
          <w:tcPr>
            <w:tcW w:w="502" w:type="pct"/>
          </w:tcPr>
          <w:p w14:paraId="76AEA1D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0.271</m:t>
                </m:r>
              </m:oMath>
            </m:oMathPara>
          </w:p>
        </w:tc>
      </w:tr>
      <w:tr w:rsidR="00D35D27" w:rsidRPr="00DD0A30" w14:paraId="52F68829" w14:textId="77777777" w:rsidTr="00DF6052">
        <w:tc>
          <w:tcPr>
            <w:tcW w:w="1921" w:type="pct"/>
          </w:tcPr>
          <w:p w14:paraId="497934ED"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568" w:type="pct"/>
          </w:tcPr>
          <w:p w14:paraId="49F0352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0.048</m:t>
                </m:r>
                <m:r>
                  <m:rPr>
                    <m:sty m:val="p"/>
                  </m:rPr>
                  <w:rPr>
                    <w:rFonts w:ascii="Cambria Math" w:hAnsi="Cambria Math" w:cs="Times New Roman"/>
                    <w:sz w:val="22"/>
                    <w:szCs w:val="22"/>
                  </w:rPr>
                  <m:t>)</m:t>
                </m:r>
              </m:oMath>
            </m:oMathPara>
          </w:p>
        </w:tc>
        <w:tc>
          <w:tcPr>
            <w:tcW w:w="527" w:type="pct"/>
          </w:tcPr>
          <w:p w14:paraId="1F32DBF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0.046</m:t>
                </m:r>
                <m:r>
                  <m:rPr>
                    <m:sty m:val="p"/>
                  </m:rPr>
                  <w:rPr>
                    <w:rFonts w:ascii="Cambria Math" w:hAnsi="Cambria Math" w:cs="Times New Roman"/>
                    <w:sz w:val="22"/>
                    <w:szCs w:val="22"/>
                  </w:rPr>
                  <m:t>)</m:t>
                </m:r>
              </m:oMath>
            </m:oMathPara>
          </w:p>
        </w:tc>
        <w:tc>
          <w:tcPr>
            <w:tcW w:w="491" w:type="pct"/>
          </w:tcPr>
          <w:p w14:paraId="7D2DC70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0.045</m:t>
                </m:r>
                <m:r>
                  <m:rPr>
                    <m:sty m:val="p"/>
                  </m:rPr>
                  <w:rPr>
                    <w:rFonts w:ascii="Cambria Math" w:hAnsi="Cambria Math" w:cs="Times New Roman"/>
                    <w:sz w:val="22"/>
                    <w:szCs w:val="22"/>
                  </w:rPr>
                  <m:t>)</m:t>
                </m:r>
              </m:oMath>
            </m:oMathPara>
          </w:p>
        </w:tc>
        <w:tc>
          <w:tcPr>
            <w:tcW w:w="491" w:type="pct"/>
          </w:tcPr>
          <w:p w14:paraId="6038729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0.042</m:t>
                </m:r>
                <m:r>
                  <m:rPr>
                    <m:sty m:val="p"/>
                  </m:rPr>
                  <w:rPr>
                    <w:rFonts w:ascii="Cambria Math" w:hAnsi="Cambria Math" w:cs="Times New Roman"/>
                    <w:sz w:val="22"/>
                    <w:szCs w:val="22"/>
                  </w:rPr>
                  <m:t>)</m:t>
                </m:r>
              </m:oMath>
            </m:oMathPara>
          </w:p>
        </w:tc>
        <w:tc>
          <w:tcPr>
            <w:tcW w:w="502" w:type="pct"/>
          </w:tcPr>
          <w:p w14:paraId="7091D79C"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0.243</m:t>
                </m:r>
                <m:r>
                  <m:rPr>
                    <m:sty m:val="p"/>
                  </m:rPr>
                  <w:rPr>
                    <w:rFonts w:ascii="Cambria Math" w:hAnsi="Cambria Math" w:cs="Times New Roman"/>
                    <w:sz w:val="22"/>
                    <w:szCs w:val="22"/>
                  </w:rPr>
                  <m:t>)</m:t>
                </m:r>
              </m:oMath>
            </m:oMathPara>
          </w:p>
        </w:tc>
        <w:tc>
          <w:tcPr>
            <w:tcW w:w="502" w:type="pct"/>
          </w:tcPr>
          <w:p w14:paraId="26096F1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0.237</m:t>
                </m:r>
                <m:r>
                  <m:rPr>
                    <m:sty m:val="p"/>
                  </m:rPr>
                  <w:rPr>
                    <w:rFonts w:ascii="Cambria Math" w:hAnsi="Cambria Math" w:cs="Times New Roman"/>
                    <w:sz w:val="22"/>
                    <w:szCs w:val="22"/>
                  </w:rPr>
                  <m:t>)</m:t>
                </m:r>
              </m:oMath>
            </m:oMathPara>
          </w:p>
        </w:tc>
      </w:tr>
      <w:tr w:rsidR="00D35D27" w:rsidRPr="00DD0A30" w14:paraId="0C678BF6" w14:textId="77777777" w:rsidTr="00DF6052">
        <w:tc>
          <w:tcPr>
            <w:tcW w:w="1921" w:type="pct"/>
          </w:tcPr>
          <w:p w14:paraId="56D2747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Match-level Elo</w:t>
            </w:r>
          </w:p>
        </w:tc>
        <w:tc>
          <w:tcPr>
            <w:tcW w:w="568" w:type="pct"/>
          </w:tcPr>
          <w:p w14:paraId="62CA144D" w14:textId="77FAF436"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527" w:type="pct"/>
          </w:tcPr>
          <w:p w14:paraId="7D79B479" w14:textId="5C07A865"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491" w:type="pct"/>
          </w:tcPr>
          <w:p w14:paraId="410D7261" w14:textId="2C216C4C"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491" w:type="pct"/>
          </w:tcPr>
          <w:p w14:paraId="3BE9C6C9" w14:textId="7D361D3A"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502" w:type="pct"/>
          </w:tcPr>
          <w:p w14:paraId="127BD4CE" w14:textId="2DAF38D4"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502" w:type="pct"/>
          </w:tcPr>
          <w:p w14:paraId="339F96C3" w14:textId="7BBECA67"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r>
      <w:tr w:rsidR="00D35D27" w:rsidRPr="00DD0A30" w14:paraId="0DAD8A68" w14:textId="77777777" w:rsidTr="00DF6052">
        <w:tc>
          <w:tcPr>
            <w:tcW w:w="1921" w:type="pct"/>
          </w:tcPr>
          <w:p w14:paraId="7B711D0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Group-level Elo</w:t>
            </w:r>
          </w:p>
        </w:tc>
        <w:tc>
          <w:tcPr>
            <w:tcW w:w="568" w:type="pct"/>
          </w:tcPr>
          <w:p w14:paraId="3D738C61" w14:textId="02C62F60"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527" w:type="pct"/>
          </w:tcPr>
          <w:p w14:paraId="14DD4261" w14:textId="5B331222"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491" w:type="pct"/>
          </w:tcPr>
          <w:p w14:paraId="07482E40" w14:textId="0E55CBB0"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491" w:type="pct"/>
          </w:tcPr>
          <w:p w14:paraId="77230AC3" w14:textId="5C43A54B"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502" w:type="pct"/>
          </w:tcPr>
          <w:p w14:paraId="1660DFEA" w14:textId="452621CD"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502" w:type="pct"/>
          </w:tcPr>
          <w:p w14:paraId="1D7ADE44" w14:textId="44A4614F"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r>
      <w:tr w:rsidR="00D35D27" w:rsidRPr="00DD0A30" w14:paraId="607DE3FC" w14:textId="77777777" w:rsidTr="00DF6052">
        <w:tc>
          <w:tcPr>
            <w:tcW w:w="1921" w:type="pct"/>
          </w:tcPr>
          <w:p w14:paraId="55A377F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Year trend</w:t>
            </w:r>
          </w:p>
        </w:tc>
        <w:tc>
          <w:tcPr>
            <w:tcW w:w="568" w:type="pct"/>
          </w:tcPr>
          <w:p w14:paraId="7B3F3EA9" w14:textId="4A5316B8"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527" w:type="pct"/>
          </w:tcPr>
          <w:p w14:paraId="4453CF1B" w14:textId="6D2F4611"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491" w:type="pct"/>
          </w:tcPr>
          <w:p w14:paraId="5E3D266F" w14:textId="1B3CD0B4"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491" w:type="pct"/>
          </w:tcPr>
          <w:p w14:paraId="6AF8522E" w14:textId="65DF2B4F"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502" w:type="pct"/>
          </w:tcPr>
          <w:p w14:paraId="53759117" w14:textId="5A04CD42"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502" w:type="pct"/>
          </w:tcPr>
          <w:p w14:paraId="604C0C3A" w14:textId="39E3C998"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r>
      <w:tr w:rsidR="00D35D27" w:rsidRPr="00DD0A30" w14:paraId="1FE792D9" w14:textId="77777777" w:rsidTr="00DF6052">
        <w:tc>
          <w:tcPr>
            <w:tcW w:w="1921" w:type="pct"/>
            <w:tcBorders>
              <w:bottom w:val="single" w:sz="4" w:space="0" w:color="000000" w:themeColor="text1"/>
            </w:tcBorders>
          </w:tcPr>
          <w:p w14:paraId="58A02F5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Observations</w:t>
            </w:r>
          </w:p>
        </w:tc>
        <w:tc>
          <w:tcPr>
            <w:tcW w:w="568" w:type="pct"/>
            <w:tcBorders>
              <w:bottom w:val="single" w:sz="4" w:space="0" w:color="000000" w:themeColor="text1"/>
            </w:tcBorders>
          </w:tcPr>
          <w:p w14:paraId="1445BD1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607</w:t>
            </w:r>
          </w:p>
        </w:tc>
        <w:tc>
          <w:tcPr>
            <w:tcW w:w="527" w:type="pct"/>
            <w:tcBorders>
              <w:bottom w:val="single" w:sz="4" w:space="0" w:color="000000" w:themeColor="text1"/>
            </w:tcBorders>
          </w:tcPr>
          <w:p w14:paraId="52738E3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607</w:t>
            </w:r>
          </w:p>
        </w:tc>
        <w:tc>
          <w:tcPr>
            <w:tcW w:w="491" w:type="pct"/>
            <w:tcBorders>
              <w:bottom w:val="single" w:sz="4" w:space="0" w:color="000000" w:themeColor="text1"/>
            </w:tcBorders>
          </w:tcPr>
          <w:p w14:paraId="3624C28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725</w:t>
            </w:r>
          </w:p>
        </w:tc>
        <w:tc>
          <w:tcPr>
            <w:tcW w:w="491" w:type="pct"/>
            <w:tcBorders>
              <w:bottom w:val="single" w:sz="4" w:space="0" w:color="000000" w:themeColor="text1"/>
            </w:tcBorders>
          </w:tcPr>
          <w:p w14:paraId="3B47A55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725</w:t>
            </w:r>
          </w:p>
        </w:tc>
        <w:tc>
          <w:tcPr>
            <w:tcW w:w="502" w:type="pct"/>
            <w:tcBorders>
              <w:bottom w:val="single" w:sz="4" w:space="0" w:color="000000" w:themeColor="text1"/>
            </w:tcBorders>
          </w:tcPr>
          <w:p w14:paraId="469F9EF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118</w:t>
            </w:r>
          </w:p>
        </w:tc>
        <w:tc>
          <w:tcPr>
            <w:tcW w:w="502" w:type="pct"/>
          </w:tcPr>
          <w:p w14:paraId="74A2AD8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118</w:t>
            </w:r>
          </w:p>
        </w:tc>
      </w:tr>
      <w:tr w:rsidR="00D35D27" w:rsidRPr="00DD0A30" w14:paraId="22FB9C2A" w14:textId="77777777" w:rsidTr="00DF6052">
        <w:tc>
          <w:tcPr>
            <w:tcW w:w="5000" w:type="pct"/>
            <w:gridSpan w:val="7"/>
            <w:tcBorders>
              <w:top w:val="single" w:sz="4" w:space="0" w:color="000000" w:themeColor="text1"/>
            </w:tcBorders>
          </w:tcPr>
          <w:p w14:paraId="11F945E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Panel B: Robustness — FIFA_rule only (all specifications include year trend)</w:t>
            </w:r>
          </w:p>
        </w:tc>
      </w:tr>
      <w:tr w:rsidR="00D35D27" w:rsidRPr="00DD0A30" w14:paraId="6DF9B95F" w14:textId="77777777" w:rsidTr="00DF6052">
        <w:tc>
          <w:tcPr>
            <w:tcW w:w="1921" w:type="pct"/>
          </w:tcPr>
          <w:p w14:paraId="29A2CAA8"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Borders>
              <w:bottom w:val="single" w:sz="4" w:space="0" w:color="000000" w:themeColor="text1"/>
            </w:tcBorders>
          </w:tcPr>
          <w:p w14:paraId="654548E0" w14:textId="77777777" w:rsidR="00D35D27" w:rsidRPr="00DD0A30" w:rsidRDefault="00000000" w:rsidP="00DF6052">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M1</w:t>
            </w:r>
          </w:p>
        </w:tc>
        <w:tc>
          <w:tcPr>
            <w:tcW w:w="981" w:type="pct"/>
            <w:gridSpan w:val="2"/>
            <w:tcBorders>
              <w:bottom w:val="single" w:sz="4" w:space="0" w:color="000000" w:themeColor="text1"/>
            </w:tcBorders>
          </w:tcPr>
          <w:p w14:paraId="2E099BE8" w14:textId="77777777" w:rsidR="00D35D27" w:rsidRPr="00DD0A30" w:rsidRDefault="00000000" w:rsidP="00DF6052">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M2</w:t>
            </w:r>
          </w:p>
        </w:tc>
        <w:tc>
          <w:tcPr>
            <w:tcW w:w="1003" w:type="pct"/>
            <w:gridSpan w:val="2"/>
            <w:tcBorders>
              <w:bottom w:val="single" w:sz="4" w:space="0" w:color="000000" w:themeColor="text1"/>
            </w:tcBorders>
          </w:tcPr>
          <w:p w14:paraId="41AEE7A7" w14:textId="77777777" w:rsidR="00D35D27" w:rsidRPr="00DD0A30" w:rsidRDefault="00000000" w:rsidP="00DF6052">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M3</w:t>
            </w:r>
          </w:p>
        </w:tc>
      </w:tr>
      <w:tr w:rsidR="00D35D27" w:rsidRPr="00DD0A30" w14:paraId="02C19500" w14:textId="77777777" w:rsidTr="00DF6052">
        <w:tc>
          <w:tcPr>
            <w:tcW w:w="1921" w:type="pct"/>
          </w:tcPr>
          <w:p w14:paraId="20496B3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2-3(lr)4-5(lr)6-7 Two qualifying teams</w:t>
            </w:r>
          </w:p>
        </w:tc>
        <w:tc>
          <w:tcPr>
            <w:tcW w:w="1095" w:type="pct"/>
            <w:gridSpan w:val="2"/>
            <w:tcBorders>
              <w:top w:val="single" w:sz="4" w:space="0" w:color="000000" w:themeColor="text1"/>
            </w:tcBorders>
          </w:tcPr>
          <w:p w14:paraId="3BA2366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0.074</m:t>
                </m:r>
              </m:oMath>
            </m:oMathPara>
          </w:p>
        </w:tc>
        <w:tc>
          <w:tcPr>
            <w:tcW w:w="981" w:type="pct"/>
            <w:gridSpan w:val="2"/>
            <w:tcBorders>
              <w:top w:val="single" w:sz="4" w:space="0" w:color="000000" w:themeColor="text1"/>
            </w:tcBorders>
          </w:tcPr>
          <w:p w14:paraId="590DF412"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0.031</m:t>
                </m:r>
              </m:oMath>
            </m:oMathPara>
          </w:p>
        </w:tc>
        <w:tc>
          <w:tcPr>
            <w:tcW w:w="1003" w:type="pct"/>
            <w:gridSpan w:val="2"/>
          </w:tcPr>
          <w:p w14:paraId="07592A8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0.118</m:t>
                </m:r>
              </m:oMath>
            </m:oMathPara>
          </w:p>
        </w:tc>
      </w:tr>
      <w:tr w:rsidR="00D35D27" w:rsidRPr="00DD0A30" w14:paraId="075B021C" w14:textId="77777777" w:rsidTr="00DF6052">
        <w:tc>
          <w:tcPr>
            <w:tcW w:w="1921" w:type="pct"/>
          </w:tcPr>
          <w:p w14:paraId="577DE290"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Pr>
          <w:p w14:paraId="136985AF"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0.046</m:t>
                </m:r>
                <m:r>
                  <m:rPr>
                    <m:sty m:val="p"/>
                  </m:rPr>
                  <w:rPr>
                    <w:rFonts w:ascii="Cambria Math" w:hAnsi="Cambria Math" w:cs="Times New Roman"/>
                    <w:sz w:val="22"/>
                    <w:szCs w:val="22"/>
                  </w:rPr>
                  <m:t>)</m:t>
                </m:r>
              </m:oMath>
            </m:oMathPara>
          </w:p>
        </w:tc>
        <w:tc>
          <w:tcPr>
            <w:tcW w:w="981" w:type="pct"/>
            <w:gridSpan w:val="2"/>
          </w:tcPr>
          <w:p w14:paraId="523A4D1C"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0.044</m:t>
                </m:r>
                <m:r>
                  <m:rPr>
                    <m:sty m:val="p"/>
                  </m:rPr>
                  <w:rPr>
                    <w:rFonts w:ascii="Cambria Math" w:hAnsi="Cambria Math" w:cs="Times New Roman"/>
                    <w:sz w:val="22"/>
                    <w:szCs w:val="22"/>
                  </w:rPr>
                  <m:t>)</m:t>
                </m:r>
              </m:oMath>
            </m:oMathPara>
          </w:p>
        </w:tc>
        <w:tc>
          <w:tcPr>
            <w:tcW w:w="1003" w:type="pct"/>
            <w:gridSpan w:val="2"/>
          </w:tcPr>
          <w:p w14:paraId="21AD106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0.304</m:t>
                </m:r>
                <m:r>
                  <m:rPr>
                    <m:sty m:val="p"/>
                  </m:rPr>
                  <w:rPr>
                    <w:rFonts w:ascii="Cambria Math" w:hAnsi="Cambria Math" w:cs="Times New Roman"/>
                    <w:sz w:val="22"/>
                    <w:szCs w:val="22"/>
                  </w:rPr>
                  <m:t>)</m:t>
                </m:r>
              </m:oMath>
            </m:oMathPara>
          </w:p>
        </w:tc>
      </w:tr>
      <w:tr w:rsidR="00D35D27" w:rsidRPr="00DD0A30" w14:paraId="1CAC0D05" w14:textId="77777777" w:rsidTr="00DF6052">
        <w:tc>
          <w:tcPr>
            <w:tcW w:w="1921" w:type="pct"/>
          </w:tcPr>
          <w:p w14:paraId="496C929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Three qualifying teams</w:t>
            </w:r>
          </w:p>
        </w:tc>
        <w:tc>
          <w:tcPr>
            <w:tcW w:w="1095" w:type="pct"/>
            <w:gridSpan w:val="2"/>
          </w:tcPr>
          <w:p w14:paraId="65414B7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0.414</m:t>
                </m:r>
              </m:oMath>
            </m:oMathPara>
          </w:p>
        </w:tc>
        <w:tc>
          <w:tcPr>
            <w:tcW w:w="981" w:type="pct"/>
            <w:gridSpan w:val="2"/>
          </w:tcPr>
          <w:p w14:paraId="14F97B3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0.539</m:t>
                </m:r>
              </m:oMath>
            </m:oMathPara>
          </w:p>
        </w:tc>
        <w:tc>
          <w:tcPr>
            <w:tcW w:w="1003" w:type="pct"/>
            <w:gridSpan w:val="2"/>
          </w:tcPr>
          <w:p w14:paraId="41F9869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2.597</m:t>
                </m:r>
              </m:oMath>
            </m:oMathPara>
          </w:p>
        </w:tc>
      </w:tr>
      <w:tr w:rsidR="00D35D27" w:rsidRPr="00DD0A30" w14:paraId="362FDE03" w14:textId="77777777" w:rsidTr="00DF6052">
        <w:tc>
          <w:tcPr>
            <w:tcW w:w="1921" w:type="pct"/>
          </w:tcPr>
          <w:p w14:paraId="0F7C2FF8"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Pr>
          <w:p w14:paraId="2A48E495"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0.629</m:t>
                </m:r>
                <m:r>
                  <m:rPr>
                    <m:sty m:val="p"/>
                  </m:rPr>
                  <w:rPr>
                    <w:rFonts w:ascii="Cambria Math" w:hAnsi="Cambria Math" w:cs="Times New Roman"/>
                    <w:sz w:val="22"/>
                    <w:szCs w:val="22"/>
                  </w:rPr>
                  <m:t>)</m:t>
                </m:r>
              </m:oMath>
            </m:oMathPara>
          </w:p>
        </w:tc>
        <w:tc>
          <w:tcPr>
            <w:tcW w:w="981" w:type="pct"/>
            <w:gridSpan w:val="2"/>
          </w:tcPr>
          <w:p w14:paraId="4975F76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0.499</m:t>
                </m:r>
                <m:r>
                  <m:rPr>
                    <m:sty m:val="p"/>
                  </m:rPr>
                  <w:rPr>
                    <w:rFonts w:ascii="Cambria Math" w:hAnsi="Cambria Math" w:cs="Times New Roman"/>
                    <w:sz w:val="22"/>
                    <w:szCs w:val="22"/>
                  </w:rPr>
                  <m:t>)</m:t>
                </m:r>
              </m:oMath>
            </m:oMathPara>
          </w:p>
        </w:tc>
        <w:tc>
          <w:tcPr>
            <w:tcW w:w="1003" w:type="pct"/>
            <w:gridSpan w:val="2"/>
          </w:tcPr>
          <w:p w14:paraId="4DA10B0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1.892</m:t>
                </m:r>
                <m:r>
                  <m:rPr>
                    <m:sty m:val="p"/>
                  </m:rPr>
                  <w:rPr>
                    <w:rFonts w:ascii="Cambria Math" w:hAnsi="Cambria Math" w:cs="Times New Roman"/>
                    <w:sz w:val="22"/>
                    <w:szCs w:val="22"/>
                  </w:rPr>
                  <m:t>)</m:t>
                </m:r>
              </m:oMath>
            </m:oMathPara>
          </w:p>
        </w:tc>
      </w:tr>
      <w:tr w:rsidR="00D35D27" w:rsidRPr="00DD0A30" w14:paraId="2797A098" w14:textId="77777777" w:rsidTr="00DF6052">
        <w:tc>
          <w:tcPr>
            <w:tcW w:w="1921" w:type="pct"/>
          </w:tcPr>
          <w:p w14:paraId="6564D8D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2-points rule (</w:t>
            </w:r>
            <m:oMath>
              <m:r>
                <m:rPr>
                  <m:sty m:val="p"/>
                </m:rPr>
                <w:rPr>
                  <w:rFonts w:ascii="Cambria Math" w:hAnsi="Cambria Math" w:cs="Times New Roman"/>
                  <w:sz w:val="22"/>
                  <w:szCs w:val="22"/>
                </w:rPr>
                <m:t>≤</m:t>
              </m:r>
              <m:r>
                <w:rPr>
                  <w:rFonts w:ascii="Cambria Math" w:hAnsi="Cambria Math" w:cs="Times New Roman"/>
                  <w:sz w:val="22"/>
                  <w:szCs w:val="22"/>
                </w:rPr>
                <m:t>1992</m:t>
              </m:r>
            </m:oMath>
            <w:r w:rsidRPr="00DD0A30">
              <w:rPr>
                <w:rFonts w:ascii="Times New Roman" w:hAnsi="Times New Roman" w:cs="Times New Roman"/>
                <w:sz w:val="22"/>
                <w:szCs w:val="22"/>
              </w:rPr>
              <w:t>)</w:t>
            </w:r>
          </w:p>
        </w:tc>
        <w:tc>
          <w:tcPr>
            <w:tcW w:w="1095" w:type="pct"/>
            <w:gridSpan w:val="2"/>
          </w:tcPr>
          <w:p w14:paraId="68E0132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w:rPr>
                    <w:rFonts w:ascii="Cambria Math" w:hAnsi="Cambria Math" w:cs="Times New Roman"/>
                    <w:sz w:val="22"/>
                    <w:szCs w:val="22"/>
                  </w:rPr>
                  <m:t>0.044</m:t>
                </m:r>
              </m:oMath>
            </m:oMathPara>
          </w:p>
        </w:tc>
        <w:tc>
          <w:tcPr>
            <w:tcW w:w="981" w:type="pct"/>
            <w:gridSpan w:val="2"/>
          </w:tcPr>
          <w:p w14:paraId="774B0DC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w:rPr>
                    <w:rFonts w:ascii="Cambria Math" w:hAnsi="Cambria Math" w:cs="Times New Roman"/>
                    <w:sz w:val="22"/>
                    <w:szCs w:val="22"/>
                  </w:rPr>
                  <m:t>0.242</m:t>
                </m:r>
              </m:oMath>
            </m:oMathPara>
          </w:p>
        </w:tc>
        <w:tc>
          <w:tcPr>
            <w:tcW w:w="1003" w:type="pct"/>
            <w:gridSpan w:val="2"/>
          </w:tcPr>
          <w:p w14:paraId="155CE3B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w:rPr>
                    <w:rFonts w:ascii="Cambria Math" w:hAnsi="Cambria Math" w:cs="Times New Roman"/>
                    <w:sz w:val="22"/>
                    <w:szCs w:val="22"/>
                  </w:rPr>
                  <m:t>0.599</m:t>
                </m:r>
              </m:oMath>
            </m:oMathPara>
          </w:p>
        </w:tc>
      </w:tr>
      <w:tr w:rsidR="00D35D27" w:rsidRPr="00DD0A30" w14:paraId="70DCB755" w14:textId="77777777" w:rsidTr="00DF6052">
        <w:tc>
          <w:tcPr>
            <w:tcW w:w="1921" w:type="pct"/>
          </w:tcPr>
          <w:p w14:paraId="7EF8AFE5"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Pr>
          <w:p w14:paraId="2580EBB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0.125</m:t>
                </m:r>
                <m:r>
                  <m:rPr>
                    <m:sty m:val="p"/>
                  </m:rPr>
                  <w:rPr>
                    <w:rFonts w:ascii="Cambria Math" w:hAnsi="Cambria Math" w:cs="Times New Roman"/>
                    <w:sz w:val="22"/>
                    <w:szCs w:val="22"/>
                  </w:rPr>
                  <m:t>)</m:t>
                </m:r>
              </m:oMath>
            </m:oMathPara>
          </w:p>
        </w:tc>
        <w:tc>
          <w:tcPr>
            <w:tcW w:w="981" w:type="pct"/>
            <w:gridSpan w:val="2"/>
          </w:tcPr>
          <w:p w14:paraId="5DE07BC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0.170</m:t>
                </m:r>
                <m:r>
                  <m:rPr>
                    <m:sty m:val="p"/>
                  </m:rPr>
                  <w:rPr>
                    <w:rFonts w:ascii="Cambria Math" w:hAnsi="Cambria Math" w:cs="Times New Roman"/>
                    <w:sz w:val="22"/>
                    <w:szCs w:val="22"/>
                  </w:rPr>
                  <m:t>)</m:t>
                </m:r>
              </m:oMath>
            </m:oMathPara>
          </w:p>
        </w:tc>
        <w:tc>
          <w:tcPr>
            <w:tcW w:w="1003" w:type="pct"/>
            <w:gridSpan w:val="2"/>
          </w:tcPr>
          <w:p w14:paraId="07F8DA56"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0.829</m:t>
                </m:r>
                <m:r>
                  <m:rPr>
                    <m:sty m:val="p"/>
                  </m:rPr>
                  <w:rPr>
                    <w:rFonts w:ascii="Cambria Math" w:hAnsi="Cambria Math" w:cs="Times New Roman"/>
                    <w:sz w:val="22"/>
                    <w:szCs w:val="22"/>
                  </w:rPr>
                  <m:t>)</m:t>
                </m:r>
              </m:oMath>
            </m:oMathPara>
          </w:p>
        </w:tc>
      </w:tr>
      <w:tr w:rsidR="00D35D27" w:rsidRPr="00DD0A30" w14:paraId="0C24E577" w14:textId="77777777" w:rsidTr="00DF6052">
        <w:tc>
          <w:tcPr>
            <w:tcW w:w="1921" w:type="pct"/>
          </w:tcPr>
          <w:p w14:paraId="5E722A8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3-points rule (</w:t>
            </w:r>
            <m:oMath>
              <m:r>
                <m:rPr>
                  <m:sty m:val="p"/>
                </m:rPr>
                <w:rPr>
                  <w:rFonts w:ascii="Cambria Math" w:hAnsi="Cambria Math" w:cs="Times New Roman"/>
                  <w:sz w:val="22"/>
                  <w:szCs w:val="22"/>
                </w:rPr>
                <m:t>&gt;</m:t>
              </m:r>
              <m:r>
                <w:rPr>
                  <w:rFonts w:ascii="Cambria Math" w:hAnsi="Cambria Math" w:cs="Times New Roman"/>
                  <w:sz w:val="22"/>
                  <w:szCs w:val="22"/>
                </w:rPr>
                <m:t>1992</m:t>
              </m:r>
            </m:oMath>
            <w:r w:rsidRPr="00DD0A30">
              <w:rPr>
                <w:rFonts w:ascii="Times New Roman" w:hAnsi="Times New Roman" w:cs="Times New Roman"/>
                <w:sz w:val="22"/>
                <w:szCs w:val="22"/>
              </w:rPr>
              <w:t>)</w:t>
            </w:r>
          </w:p>
        </w:tc>
        <w:tc>
          <w:tcPr>
            <w:tcW w:w="1095" w:type="pct"/>
            <w:gridSpan w:val="2"/>
          </w:tcPr>
          <w:p w14:paraId="5CD606DB"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0.092</m:t>
                    </m:r>
                  </m:e>
                  <m:sup>
                    <m:r>
                      <m:rPr>
                        <m:sty m:val="p"/>
                      </m:rPr>
                      <w:rPr>
                        <w:rFonts w:ascii="Cambria Math" w:hAnsi="Cambria Math" w:cs="Times New Roman"/>
                        <w:sz w:val="22"/>
                        <w:szCs w:val="22"/>
                      </w:rPr>
                      <m:t>*</m:t>
                    </m:r>
                  </m:sup>
                </m:sSup>
              </m:oMath>
            </m:oMathPara>
          </w:p>
        </w:tc>
        <w:tc>
          <w:tcPr>
            <w:tcW w:w="981" w:type="pct"/>
            <w:gridSpan w:val="2"/>
          </w:tcPr>
          <w:p w14:paraId="19D1F7E5"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0.047</m:t>
                </m:r>
              </m:oMath>
            </m:oMathPara>
          </w:p>
        </w:tc>
        <w:tc>
          <w:tcPr>
            <w:tcW w:w="1003" w:type="pct"/>
            <w:gridSpan w:val="2"/>
          </w:tcPr>
          <w:p w14:paraId="271FDB18"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0.284</m:t>
                </m:r>
              </m:oMath>
            </m:oMathPara>
          </w:p>
        </w:tc>
      </w:tr>
      <w:tr w:rsidR="00D35D27" w:rsidRPr="00DD0A30" w14:paraId="75B63C41" w14:textId="77777777" w:rsidTr="00DF6052">
        <w:tc>
          <w:tcPr>
            <w:tcW w:w="1921" w:type="pct"/>
          </w:tcPr>
          <w:p w14:paraId="7E83AD1D"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Pr>
          <w:p w14:paraId="1C953C28"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0.048</m:t>
                </m:r>
                <m:r>
                  <m:rPr>
                    <m:sty m:val="p"/>
                  </m:rPr>
                  <w:rPr>
                    <w:rFonts w:ascii="Cambria Math" w:hAnsi="Cambria Math" w:cs="Times New Roman"/>
                    <w:sz w:val="22"/>
                    <w:szCs w:val="22"/>
                  </w:rPr>
                  <m:t>)</m:t>
                </m:r>
              </m:oMath>
            </m:oMathPara>
          </w:p>
        </w:tc>
        <w:tc>
          <w:tcPr>
            <w:tcW w:w="981" w:type="pct"/>
            <w:gridSpan w:val="2"/>
          </w:tcPr>
          <w:p w14:paraId="24317F82"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0.041</m:t>
                </m:r>
                <m:r>
                  <m:rPr>
                    <m:sty m:val="p"/>
                  </m:rPr>
                  <w:rPr>
                    <w:rFonts w:ascii="Cambria Math" w:hAnsi="Cambria Math" w:cs="Times New Roman"/>
                    <w:sz w:val="22"/>
                    <w:szCs w:val="22"/>
                  </w:rPr>
                  <m:t>)</m:t>
                </m:r>
              </m:oMath>
            </m:oMathPara>
          </w:p>
        </w:tc>
        <w:tc>
          <w:tcPr>
            <w:tcW w:w="1003" w:type="pct"/>
            <w:gridSpan w:val="2"/>
          </w:tcPr>
          <w:p w14:paraId="19F561D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0.252</m:t>
                </m:r>
                <m:r>
                  <m:rPr>
                    <m:sty m:val="p"/>
                  </m:rPr>
                  <w:rPr>
                    <w:rFonts w:ascii="Cambria Math" w:hAnsi="Cambria Math" w:cs="Times New Roman"/>
                    <w:sz w:val="22"/>
                    <w:szCs w:val="22"/>
                  </w:rPr>
                  <m:t>)</m:t>
                </m:r>
              </m:oMath>
            </m:oMathPara>
          </w:p>
        </w:tc>
      </w:tr>
      <w:tr w:rsidR="00D35D27" w:rsidRPr="00DD0A30" w14:paraId="36620DEC" w14:textId="77777777" w:rsidTr="00DF6052">
        <w:tc>
          <w:tcPr>
            <w:tcW w:w="1921" w:type="pct"/>
          </w:tcPr>
          <w:p w14:paraId="6B3285B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common support</w:t>
            </w:r>
          </w:p>
        </w:tc>
        <w:tc>
          <w:tcPr>
            <w:tcW w:w="1095" w:type="pct"/>
            <w:gridSpan w:val="2"/>
          </w:tcPr>
          <w:p w14:paraId="0C3FCFB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0.071</m:t>
                </m:r>
              </m:oMath>
            </m:oMathPara>
          </w:p>
        </w:tc>
        <w:tc>
          <w:tcPr>
            <w:tcW w:w="981" w:type="pct"/>
            <w:gridSpan w:val="2"/>
          </w:tcPr>
          <w:p w14:paraId="07104F1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0.043</m:t>
                </m:r>
              </m:oMath>
            </m:oMathPara>
          </w:p>
        </w:tc>
        <w:tc>
          <w:tcPr>
            <w:tcW w:w="1003" w:type="pct"/>
            <w:gridSpan w:val="2"/>
          </w:tcPr>
          <w:p w14:paraId="17B5D96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0.263</m:t>
                </m:r>
              </m:oMath>
            </m:oMathPara>
          </w:p>
        </w:tc>
      </w:tr>
      <w:tr w:rsidR="00D35D27" w:rsidRPr="00DD0A30" w14:paraId="7037363E" w14:textId="77777777" w:rsidTr="00DF6052">
        <w:tc>
          <w:tcPr>
            <w:tcW w:w="1921" w:type="pct"/>
            <w:tcBorders>
              <w:bottom w:val="single" w:sz="4" w:space="0" w:color="000000" w:themeColor="text1"/>
            </w:tcBorders>
          </w:tcPr>
          <w:p w14:paraId="6ABCF7D7"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095" w:type="pct"/>
            <w:gridSpan w:val="2"/>
            <w:tcBorders>
              <w:bottom w:val="single" w:sz="4" w:space="0" w:color="000000" w:themeColor="text1"/>
            </w:tcBorders>
          </w:tcPr>
          <w:p w14:paraId="6E7CDC8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0.048</m:t>
                </m:r>
                <m:r>
                  <m:rPr>
                    <m:sty m:val="p"/>
                  </m:rPr>
                  <w:rPr>
                    <w:rFonts w:ascii="Cambria Math" w:hAnsi="Cambria Math" w:cs="Times New Roman"/>
                    <w:sz w:val="22"/>
                    <w:szCs w:val="22"/>
                  </w:rPr>
                  <m:t>)</m:t>
                </m:r>
              </m:oMath>
            </m:oMathPara>
          </w:p>
        </w:tc>
        <w:tc>
          <w:tcPr>
            <w:tcW w:w="981" w:type="pct"/>
            <w:gridSpan w:val="2"/>
            <w:tcBorders>
              <w:bottom w:val="single" w:sz="4" w:space="0" w:color="000000" w:themeColor="text1"/>
            </w:tcBorders>
          </w:tcPr>
          <w:p w14:paraId="472516B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0.044</m:t>
                </m:r>
                <m:r>
                  <m:rPr>
                    <m:sty m:val="p"/>
                  </m:rPr>
                  <w:rPr>
                    <w:rFonts w:ascii="Cambria Math" w:hAnsi="Cambria Math" w:cs="Times New Roman"/>
                    <w:sz w:val="22"/>
                    <w:szCs w:val="22"/>
                  </w:rPr>
                  <m:t>)</m:t>
                </m:r>
              </m:oMath>
            </m:oMathPara>
          </w:p>
        </w:tc>
        <w:tc>
          <w:tcPr>
            <w:tcW w:w="1003" w:type="pct"/>
            <w:gridSpan w:val="2"/>
            <w:tcBorders>
              <w:bottom w:val="single" w:sz="4" w:space="0" w:color="000000" w:themeColor="text1"/>
            </w:tcBorders>
          </w:tcPr>
          <w:p w14:paraId="74E42A49"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0.240</m:t>
                </m:r>
                <m:r>
                  <m:rPr>
                    <m:sty m:val="p"/>
                  </m:rPr>
                  <w:rPr>
                    <w:rFonts w:ascii="Cambria Math" w:hAnsi="Cambria Math" w:cs="Times New Roman"/>
                    <w:sz w:val="22"/>
                    <w:szCs w:val="22"/>
                  </w:rPr>
                  <m:t>)</m:t>
                </m:r>
              </m:oMath>
            </m:oMathPara>
          </w:p>
        </w:tc>
      </w:tr>
    </w:tbl>
    <w:bookmarkEnd w:id="22"/>
    <w:p w14:paraId="1128CEF4" w14:textId="77777777" w:rsidR="00D35D27" w:rsidRPr="00DF6052" w:rsidRDefault="00000000" w:rsidP="00DD0A30">
      <w:pPr>
        <w:pStyle w:val="BodyText"/>
        <w:spacing w:line="360" w:lineRule="auto"/>
        <w:jc w:val="both"/>
        <w:rPr>
          <w:rFonts w:ascii="Times New Roman" w:hAnsi="Times New Roman" w:cs="Times New Roman"/>
          <w:sz w:val="18"/>
          <w:szCs w:val="18"/>
        </w:rPr>
      </w:pPr>
      <w:r w:rsidRPr="00DF6052">
        <w:rPr>
          <w:rFonts w:ascii="Times New Roman" w:hAnsi="Times New Roman" w:cs="Times New Roman"/>
          <w:i/>
          <w:iCs/>
          <w:sz w:val="18"/>
          <w:szCs w:val="18"/>
        </w:rPr>
        <w:t>Notes:</w:t>
      </w:r>
      <w:r w:rsidRPr="00DF6052">
        <w:rPr>
          <w:rFonts w:ascii="Times New Roman" w:hAnsi="Times New Roman" w:cs="Times New Roman"/>
          <w:sz w:val="18"/>
          <w:szCs w:val="18"/>
        </w:rPr>
        <w:t xml:space="preserve"> M1 and M2 are logit models; coefficients are average marginal effects (AME). M3 is a Poisson model reporting log-rate coefficients. M1 controls for the Elo ratings of the stronger (</w:t>
      </w:r>
      <w:r w:rsidRPr="00DF6052">
        <w:rPr>
          <w:rFonts w:ascii="Times New Roman" w:hAnsi="Times New Roman" w:cs="Times New Roman"/>
          <w:i/>
          <w:iCs/>
          <w:sz w:val="18"/>
          <w:szCs w:val="18"/>
        </w:rPr>
        <w:t>elo_fav</w:t>
      </w:r>
      <w:r w:rsidRPr="00DF6052">
        <w:rPr>
          <w:rFonts w:ascii="Times New Roman" w:hAnsi="Times New Roman" w:cs="Times New Roman"/>
          <w:sz w:val="18"/>
          <w:szCs w:val="18"/>
        </w:rPr>
        <w:t>) and weaker (</w:t>
      </w:r>
      <w:r w:rsidRPr="00DF6052">
        <w:rPr>
          <w:rFonts w:ascii="Times New Roman" w:hAnsi="Times New Roman" w:cs="Times New Roman"/>
          <w:i/>
          <w:iCs/>
          <w:sz w:val="18"/>
          <w:szCs w:val="18"/>
        </w:rPr>
        <w:t>elo_und</w:t>
      </w:r>
      <w:r w:rsidRPr="00DF6052">
        <w:rPr>
          <w:rFonts w:ascii="Times New Roman" w:hAnsi="Times New Roman" w:cs="Times New Roman"/>
          <w:sz w:val="18"/>
          <w:szCs w:val="18"/>
        </w:rPr>
        <w:t>) team in each match. M2 and M3 include the four group-level Elo ranks (</w:t>
      </w:r>
      <w:r w:rsidRPr="00DF6052">
        <w:rPr>
          <w:rFonts w:ascii="Times New Roman" w:hAnsi="Times New Roman" w:cs="Times New Roman"/>
          <w:i/>
          <w:iCs/>
          <w:sz w:val="18"/>
          <w:szCs w:val="18"/>
        </w:rPr>
        <w:t>elo1st</w:t>
      </w:r>
      <w:r w:rsidRPr="00DF6052">
        <w:rPr>
          <w:rFonts w:ascii="Times New Roman" w:hAnsi="Times New Roman" w:cs="Times New Roman"/>
          <w:sz w:val="18"/>
          <w:szCs w:val="18"/>
        </w:rPr>
        <w:t>–</w:t>
      </w:r>
      <w:r w:rsidRPr="00DF6052">
        <w:rPr>
          <w:rFonts w:ascii="Times New Roman" w:hAnsi="Times New Roman" w:cs="Times New Roman"/>
          <w:i/>
          <w:iCs/>
          <w:sz w:val="18"/>
          <w:szCs w:val="18"/>
        </w:rPr>
        <w:t>elo4th</w:t>
      </w:r>
      <w:r w:rsidRPr="00DF6052">
        <w:rPr>
          <w:rFonts w:ascii="Times New Roman" w:hAnsi="Times New Roman" w:cs="Times New Roman"/>
          <w:sz w:val="18"/>
          <w:szCs w:val="18"/>
        </w:rPr>
        <w:t>). Standard errors are clustered at the group (year </w:t>
      </w:r>
      <m:oMath>
        <m:r>
          <m:rPr>
            <m:sty m:val="p"/>
          </m:rPr>
          <w:rPr>
            <w:rFonts w:ascii="Cambria Math" w:hAnsi="Cambria Math" w:cs="Times New Roman"/>
            <w:sz w:val="18"/>
            <w:szCs w:val="18"/>
          </w:rPr>
          <m:t>×</m:t>
        </m:r>
      </m:oMath>
      <w:r w:rsidRPr="00DF6052">
        <w:rPr>
          <w:rFonts w:ascii="Times New Roman" w:hAnsi="Times New Roman" w:cs="Times New Roman"/>
          <w:sz w:val="18"/>
          <w:szCs w:val="18"/>
        </w:rPr>
        <w:t xml:space="preserve"> stage) level for M1–M2; HC0 robust standard errors for M3. The outcome variable is </w:t>
      </w:r>
      <w:r w:rsidRPr="00DF6052">
        <w:rPr>
          <w:rFonts w:ascii="Times New Roman" w:hAnsi="Times New Roman" w:cs="Times New Roman"/>
          <w:i/>
          <w:iCs/>
          <w:sz w:val="18"/>
          <w:szCs w:val="18"/>
        </w:rPr>
        <w:t>qual_changed</w:t>
      </w:r>
      <w:r w:rsidRPr="00DF6052">
        <w:rPr>
          <w:rFonts w:ascii="Times New Roman" w:hAnsi="Times New Roman" w:cs="Times New Roman"/>
          <w:sz w:val="18"/>
          <w:szCs w:val="18"/>
        </w:rPr>
        <w:t xml:space="preserve"> (binary) in M1–M2 and the group-level maximum of </w:t>
      </w:r>
      <w:r w:rsidRPr="00DF6052">
        <w:rPr>
          <w:rFonts w:ascii="Times New Roman" w:hAnsi="Times New Roman" w:cs="Times New Roman"/>
          <w:i/>
          <w:iCs/>
          <w:sz w:val="18"/>
          <w:szCs w:val="18"/>
        </w:rPr>
        <w:t>qual_count</w:t>
      </w:r>
      <w:r w:rsidRPr="00DF6052">
        <w:rPr>
          <w:rFonts w:ascii="Times New Roman" w:hAnsi="Times New Roman" w:cs="Times New Roman"/>
          <w:sz w:val="18"/>
          <w:szCs w:val="18"/>
        </w:rPr>
        <w:t xml:space="preserve"> in M3. Panel B reports only the FIFA_rule estimate; all Panel B specifications include year trend.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0.10</m:t>
        </m:r>
      </m:oMath>
      <w:r w:rsidRPr="00DF6052">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0.05</m:t>
        </m:r>
      </m:oMath>
      <w:r w:rsidRPr="00DF6052">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0.01</m:t>
        </m:r>
      </m:oMath>
      <w:r w:rsidRPr="00DF6052">
        <w:rPr>
          <w:rFonts w:ascii="Times New Roman" w:hAnsi="Times New Roman" w:cs="Times New Roman"/>
          <w:sz w:val="18"/>
          <w:szCs w:val="18"/>
        </w:rPr>
        <w:t>.</w:t>
      </w:r>
    </w:p>
    <w:p w14:paraId="659825CE" w14:textId="7F4AAC72" w:rsidR="00D35D27" w:rsidRPr="00DD0A30" w:rsidRDefault="00570E8B" w:rsidP="00DD0A30">
      <w:pPr>
        <w:pStyle w:val="TableCaption"/>
        <w:spacing w:line="360" w:lineRule="auto"/>
        <w:jc w:val="both"/>
        <w:rPr>
          <w:rFonts w:ascii="Times New Roman" w:hAnsi="Times New Roman" w:cs="Times New Roman"/>
          <w:sz w:val="22"/>
          <w:szCs w:val="22"/>
        </w:rPr>
      </w:pPr>
      <w:bookmarkStart w:id="23" w:name="tab:reg_susp"/>
      <w:r>
        <w:rPr>
          <w:rFonts w:ascii="Times New Roman" w:hAnsi="Times New Roman" w:cs="Times New Roman"/>
          <w:sz w:val="22"/>
          <w:szCs w:val="22"/>
        </w:rPr>
        <w:lastRenderedPageBreak/>
        <w:t xml:space="preserve">Table 5: </w:t>
      </w:r>
      <w:r w:rsidR="00000000" w:rsidRPr="00DD0A30">
        <w:rPr>
          <w:rFonts w:ascii="Times New Roman" w:hAnsi="Times New Roman" w:cs="Times New Roman"/>
          <w:sz w:val="22"/>
          <w:szCs w:val="22"/>
        </w:rPr>
        <w:t>Effect of FIFA tie-breaking rule on suspense — goal-level logit (AME)</w:t>
      </w:r>
    </w:p>
    <w:tbl>
      <w:tblPr>
        <w:tblStyle w:val="Table"/>
        <w:tblW w:w="5000" w:type="pct"/>
        <w:tblLook w:val="0020" w:firstRow="1" w:lastRow="0" w:firstColumn="0" w:lastColumn="0" w:noHBand="0" w:noVBand="0"/>
      </w:tblPr>
      <w:tblGrid>
        <w:gridCol w:w="4474"/>
        <w:gridCol w:w="1343"/>
        <w:gridCol w:w="1514"/>
        <w:gridCol w:w="1343"/>
        <w:gridCol w:w="1514"/>
      </w:tblGrid>
      <w:tr w:rsidR="00D35D27" w:rsidRPr="00DD0A30" w14:paraId="70C6F0C0" w14:textId="77777777" w:rsidTr="001D2AC4">
        <w:trPr>
          <w:cnfStyle w:val="100000000000" w:firstRow="1" w:lastRow="0" w:firstColumn="0" w:lastColumn="0" w:oddVBand="0" w:evenVBand="0" w:oddHBand="0" w:evenHBand="0" w:firstRowFirstColumn="0" w:firstRowLastColumn="0" w:lastRowFirstColumn="0" w:lastRowLastColumn="0"/>
          <w:tblHeader/>
        </w:trPr>
        <w:tc>
          <w:tcPr>
            <w:tcW w:w="2196" w:type="pct"/>
            <w:tcBorders>
              <w:top w:val="single" w:sz="4" w:space="0" w:color="000000" w:themeColor="text1"/>
              <w:bottom w:val="single" w:sz="4" w:space="0" w:color="FFFFFF" w:themeColor="background1"/>
            </w:tcBorders>
          </w:tcPr>
          <w:p w14:paraId="18EF2E66"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Borders>
              <w:top w:val="single" w:sz="4" w:space="0" w:color="000000" w:themeColor="text1"/>
            </w:tcBorders>
          </w:tcPr>
          <w:p w14:paraId="2AD3BB6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M4: Match-level Elo</w:t>
            </w:r>
          </w:p>
        </w:tc>
        <w:tc>
          <w:tcPr>
            <w:tcW w:w="1402" w:type="pct"/>
            <w:gridSpan w:val="2"/>
            <w:tcBorders>
              <w:top w:val="single" w:sz="4" w:space="0" w:color="000000" w:themeColor="text1"/>
            </w:tcBorders>
          </w:tcPr>
          <w:p w14:paraId="17C80DD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M5: Group-level Elo</w:t>
            </w:r>
          </w:p>
        </w:tc>
      </w:tr>
      <w:tr w:rsidR="00D35D27" w:rsidRPr="00DD0A30" w14:paraId="4D2C66D6" w14:textId="77777777" w:rsidTr="001D2AC4">
        <w:tc>
          <w:tcPr>
            <w:tcW w:w="2196" w:type="pct"/>
            <w:tcBorders>
              <w:top w:val="single" w:sz="4" w:space="0" w:color="FFFFFF" w:themeColor="background1"/>
              <w:bottom w:val="single" w:sz="4" w:space="0" w:color="auto"/>
            </w:tcBorders>
          </w:tcPr>
          <w:p w14:paraId="1B0EF02F" w14:textId="7F02C521" w:rsidR="00D35D27" w:rsidRPr="00DD0A30" w:rsidRDefault="00D35D27" w:rsidP="00DD0A30">
            <w:pPr>
              <w:pStyle w:val="Compact"/>
              <w:spacing w:line="360" w:lineRule="auto"/>
              <w:jc w:val="both"/>
              <w:rPr>
                <w:rFonts w:ascii="Times New Roman" w:hAnsi="Times New Roman" w:cs="Times New Roman"/>
                <w:sz w:val="22"/>
                <w:szCs w:val="22"/>
              </w:rPr>
            </w:pPr>
          </w:p>
        </w:tc>
        <w:tc>
          <w:tcPr>
            <w:tcW w:w="659" w:type="pct"/>
            <w:tcBorders>
              <w:bottom w:val="single" w:sz="4" w:space="0" w:color="000000" w:themeColor="text1"/>
            </w:tcBorders>
          </w:tcPr>
          <w:p w14:paraId="27210D6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 Main</w:t>
            </w:r>
          </w:p>
        </w:tc>
        <w:tc>
          <w:tcPr>
            <w:tcW w:w="743" w:type="pct"/>
            <w:tcBorders>
              <w:bottom w:val="single" w:sz="4" w:space="0" w:color="000000" w:themeColor="text1"/>
            </w:tcBorders>
          </w:tcPr>
          <w:p w14:paraId="3A0CB39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(2) </w:t>
            </w:r>
            <m:oMath>
              <m:r>
                <m:rPr>
                  <m:sty m:val="p"/>
                </m:rPr>
                <w:rPr>
                  <w:rFonts w:ascii="Cambria Math" w:hAnsi="Cambria Math" w:cs="Times New Roman"/>
                  <w:sz w:val="22"/>
                  <w:szCs w:val="22"/>
                </w:rPr>
                <m:t>+</m:t>
              </m:r>
            </m:oMath>
            <w:r w:rsidRPr="00DD0A30">
              <w:rPr>
                <w:rFonts w:ascii="Times New Roman" w:hAnsi="Times New Roman" w:cs="Times New Roman"/>
                <w:sz w:val="22"/>
                <w:szCs w:val="22"/>
              </w:rPr>
              <w:t>Year</w:t>
            </w:r>
          </w:p>
        </w:tc>
        <w:tc>
          <w:tcPr>
            <w:tcW w:w="659" w:type="pct"/>
            <w:tcBorders>
              <w:bottom w:val="single" w:sz="4" w:space="0" w:color="000000" w:themeColor="text1"/>
            </w:tcBorders>
          </w:tcPr>
          <w:p w14:paraId="14535D8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(3) Main</w:t>
            </w:r>
          </w:p>
        </w:tc>
        <w:tc>
          <w:tcPr>
            <w:tcW w:w="743" w:type="pct"/>
            <w:tcBorders>
              <w:bottom w:val="single" w:sz="4" w:space="0" w:color="auto"/>
            </w:tcBorders>
          </w:tcPr>
          <w:p w14:paraId="5D381FE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(4) </w:t>
            </w:r>
            <m:oMath>
              <m:r>
                <m:rPr>
                  <m:sty m:val="p"/>
                </m:rPr>
                <w:rPr>
                  <w:rFonts w:ascii="Cambria Math" w:hAnsi="Cambria Math" w:cs="Times New Roman"/>
                  <w:sz w:val="22"/>
                  <w:szCs w:val="22"/>
                </w:rPr>
                <m:t>+</m:t>
              </m:r>
            </m:oMath>
            <w:r w:rsidRPr="00DD0A30">
              <w:rPr>
                <w:rFonts w:ascii="Times New Roman" w:hAnsi="Times New Roman" w:cs="Times New Roman"/>
                <w:sz w:val="22"/>
                <w:szCs w:val="22"/>
              </w:rPr>
              <w:t>Year</w:t>
            </w:r>
          </w:p>
        </w:tc>
      </w:tr>
      <w:tr w:rsidR="00D35D27" w:rsidRPr="00DD0A30" w14:paraId="208323A7" w14:textId="77777777" w:rsidTr="001D2AC4">
        <w:tc>
          <w:tcPr>
            <w:tcW w:w="5000" w:type="pct"/>
            <w:gridSpan w:val="5"/>
          </w:tcPr>
          <w:p w14:paraId="3B7206F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Panel A: Main specifications</w:t>
            </w:r>
          </w:p>
        </w:tc>
      </w:tr>
      <w:tr w:rsidR="00D35D27" w:rsidRPr="00DD0A30" w14:paraId="09C48ADE" w14:textId="77777777" w:rsidTr="001D2AC4">
        <w:tc>
          <w:tcPr>
            <w:tcW w:w="2196" w:type="pct"/>
          </w:tcPr>
          <w:p w14:paraId="61FB8E4A" w14:textId="77777777" w:rsidR="00D35D27" w:rsidRPr="00DD0A30" w:rsidRDefault="00000000" w:rsidP="00DD0A30">
            <w:pPr>
              <w:pStyle w:val="Compact"/>
              <w:spacing w:line="360" w:lineRule="auto"/>
              <w:jc w:val="both"/>
              <w:rPr>
                <w:rFonts w:ascii="Times New Roman" w:hAnsi="Times New Roman" w:cs="Times New Roman"/>
                <w:sz w:val="22"/>
                <w:szCs w:val="22"/>
              </w:rPr>
            </w:pPr>
            <w:proofErr w:type="spellStart"/>
            <w:r w:rsidRPr="00DD0A30">
              <w:rPr>
                <w:rFonts w:ascii="Times New Roman" w:hAnsi="Times New Roman" w:cs="Times New Roman"/>
                <w:sz w:val="22"/>
                <w:szCs w:val="22"/>
              </w:rPr>
              <w:t>FIFA_rule</w:t>
            </w:r>
            <w:proofErr w:type="spellEnd"/>
          </w:p>
        </w:tc>
        <w:tc>
          <w:tcPr>
            <w:tcW w:w="659" w:type="pct"/>
          </w:tcPr>
          <w:p w14:paraId="0A8E97CF"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0.015</m:t>
                </m:r>
              </m:oMath>
            </m:oMathPara>
          </w:p>
        </w:tc>
        <w:tc>
          <w:tcPr>
            <w:tcW w:w="743" w:type="pct"/>
          </w:tcPr>
          <w:p w14:paraId="1B629B65"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0.001</m:t>
                </m:r>
              </m:oMath>
            </m:oMathPara>
          </w:p>
        </w:tc>
        <w:tc>
          <w:tcPr>
            <w:tcW w:w="659" w:type="pct"/>
          </w:tcPr>
          <w:p w14:paraId="30F0383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0.019</m:t>
                </m:r>
              </m:oMath>
            </m:oMathPara>
          </w:p>
        </w:tc>
        <w:tc>
          <w:tcPr>
            <w:tcW w:w="743" w:type="pct"/>
          </w:tcPr>
          <w:p w14:paraId="0AA8D37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0.044</m:t>
                </m:r>
              </m:oMath>
            </m:oMathPara>
          </w:p>
        </w:tc>
      </w:tr>
      <w:tr w:rsidR="00D35D27" w:rsidRPr="00DD0A30" w14:paraId="218D6D1E" w14:textId="77777777" w:rsidTr="001D2AC4">
        <w:tc>
          <w:tcPr>
            <w:tcW w:w="2196" w:type="pct"/>
          </w:tcPr>
          <w:p w14:paraId="541020F1"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659" w:type="pct"/>
          </w:tcPr>
          <w:p w14:paraId="09CCA388"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0.075</m:t>
                </m:r>
                <m:r>
                  <m:rPr>
                    <m:sty m:val="p"/>
                  </m:rPr>
                  <w:rPr>
                    <w:rFonts w:ascii="Cambria Math" w:hAnsi="Cambria Math" w:cs="Times New Roman"/>
                    <w:sz w:val="22"/>
                    <w:szCs w:val="22"/>
                  </w:rPr>
                  <m:t>)</m:t>
                </m:r>
              </m:oMath>
            </m:oMathPara>
          </w:p>
        </w:tc>
        <w:tc>
          <w:tcPr>
            <w:tcW w:w="743" w:type="pct"/>
          </w:tcPr>
          <w:p w14:paraId="0AAA540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0.077</m:t>
                </m:r>
                <m:r>
                  <m:rPr>
                    <m:sty m:val="p"/>
                  </m:rPr>
                  <w:rPr>
                    <w:rFonts w:ascii="Cambria Math" w:hAnsi="Cambria Math" w:cs="Times New Roman"/>
                    <w:sz w:val="22"/>
                    <w:szCs w:val="22"/>
                  </w:rPr>
                  <m:t>)</m:t>
                </m:r>
              </m:oMath>
            </m:oMathPara>
          </w:p>
        </w:tc>
        <w:tc>
          <w:tcPr>
            <w:tcW w:w="659" w:type="pct"/>
          </w:tcPr>
          <w:p w14:paraId="436740A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0.075</m:t>
                </m:r>
                <m:r>
                  <m:rPr>
                    <m:sty m:val="p"/>
                  </m:rPr>
                  <w:rPr>
                    <w:rFonts w:ascii="Cambria Math" w:hAnsi="Cambria Math" w:cs="Times New Roman"/>
                    <w:sz w:val="22"/>
                    <w:szCs w:val="22"/>
                  </w:rPr>
                  <m:t>)</m:t>
                </m:r>
              </m:oMath>
            </m:oMathPara>
          </w:p>
        </w:tc>
        <w:tc>
          <w:tcPr>
            <w:tcW w:w="743" w:type="pct"/>
          </w:tcPr>
          <w:p w14:paraId="6B291166"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0.076</m:t>
                </m:r>
                <m:r>
                  <m:rPr>
                    <m:sty m:val="p"/>
                  </m:rPr>
                  <w:rPr>
                    <w:rFonts w:ascii="Cambria Math" w:hAnsi="Cambria Math" w:cs="Times New Roman"/>
                    <w:sz w:val="22"/>
                    <w:szCs w:val="22"/>
                  </w:rPr>
                  <m:t>)</m:t>
                </m:r>
              </m:oMath>
            </m:oMathPara>
          </w:p>
        </w:tc>
      </w:tr>
      <w:tr w:rsidR="00D35D27" w:rsidRPr="00DD0A30" w14:paraId="0B8BA480" w14:textId="77777777" w:rsidTr="001D2AC4">
        <w:tc>
          <w:tcPr>
            <w:tcW w:w="2196" w:type="pct"/>
          </w:tcPr>
          <w:p w14:paraId="499FE38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Match-level Elo (</w:t>
            </w:r>
            <w:r w:rsidRPr="00DD0A30">
              <w:rPr>
                <w:rFonts w:ascii="Times New Roman" w:hAnsi="Times New Roman" w:cs="Times New Roman"/>
                <w:i/>
                <w:iCs/>
                <w:sz w:val="22"/>
                <w:szCs w:val="22"/>
              </w:rPr>
              <w:t>elo_fav</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elo_und</w:t>
            </w:r>
            <w:r w:rsidRPr="00DD0A30">
              <w:rPr>
                <w:rFonts w:ascii="Times New Roman" w:hAnsi="Times New Roman" w:cs="Times New Roman"/>
                <w:sz w:val="22"/>
                <w:szCs w:val="22"/>
              </w:rPr>
              <w:t>)</w:t>
            </w:r>
          </w:p>
        </w:tc>
        <w:tc>
          <w:tcPr>
            <w:tcW w:w="659" w:type="pct"/>
          </w:tcPr>
          <w:p w14:paraId="15E789E8" w14:textId="7029E6C2"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743" w:type="pct"/>
          </w:tcPr>
          <w:p w14:paraId="6EA24C0A" w14:textId="5FC489CF"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659" w:type="pct"/>
          </w:tcPr>
          <w:p w14:paraId="634C15C4" w14:textId="46B59FE8"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743" w:type="pct"/>
          </w:tcPr>
          <w:p w14:paraId="78EBDD09" w14:textId="4A774A3D"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r>
      <w:tr w:rsidR="00D35D27" w:rsidRPr="00DD0A30" w14:paraId="2152000C" w14:textId="77777777" w:rsidTr="001D2AC4">
        <w:tc>
          <w:tcPr>
            <w:tcW w:w="2196" w:type="pct"/>
          </w:tcPr>
          <w:p w14:paraId="07326A4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Group-level Elo (</w:t>
            </w:r>
            <w:r w:rsidRPr="00DD0A30">
              <w:rPr>
                <w:rFonts w:ascii="Times New Roman" w:hAnsi="Times New Roman" w:cs="Times New Roman"/>
                <w:i/>
                <w:iCs/>
                <w:sz w:val="22"/>
                <w:szCs w:val="22"/>
              </w:rPr>
              <w:t>elo1st</w:t>
            </w:r>
            <w:r w:rsidRPr="00DD0A30">
              <w:rPr>
                <w:rFonts w:ascii="Times New Roman" w:hAnsi="Times New Roman" w:cs="Times New Roman"/>
                <w:sz w:val="22"/>
                <w:szCs w:val="22"/>
              </w:rPr>
              <w:t>–</w:t>
            </w:r>
            <w:r w:rsidRPr="00DD0A30">
              <w:rPr>
                <w:rFonts w:ascii="Times New Roman" w:hAnsi="Times New Roman" w:cs="Times New Roman"/>
                <w:i/>
                <w:iCs/>
                <w:sz w:val="22"/>
                <w:szCs w:val="22"/>
              </w:rPr>
              <w:t>elo4th</w:t>
            </w:r>
            <w:r w:rsidRPr="00DD0A30">
              <w:rPr>
                <w:rFonts w:ascii="Times New Roman" w:hAnsi="Times New Roman" w:cs="Times New Roman"/>
                <w:sz w:val="22"/>
                <w:szCs w:val="22"/>
              </w:rPr>
              <w:t>)</w:t>
            </w:r>
          </w:p>
        </w:tc>
        <w:tc>
          <w:tcPr>
            <w:tcW w:w="659" w:type="pct"/>
          </w:tcPr>
          <w:p w14:paraId="34245DAB" w14:textId="711BDA46"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743" w:type="pct"/>
          </w:tcPr>
          <w:p w14:paraId="722A3937" w14:textId="7AF524CF"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659" w:type="pct"/>
          </w:tcPr>
          <w:p w14:paraId="58E1F9DA" w14:textId="435A1126"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743" w:type="pct"/>
          </w:tcPr>
          <w:p w14:paraId="703AF83C" w14:textId="1AECD830"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r>
      <w:tr w:rsidR="00D35D27" w:rsidRPr="00DD0A30" w14:paraId="3EC3C6CE" w14:textId="77777777" w:rsidTr="001D2AC4">
        <w:tc>
          <w:tcPr>
            <w:tcW w:w="2196" w:type="pct"/>
          </w:tcPr>
          <w:p w14:paraId="61D895B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Year trend</w:t>
            </w:r>
          </w:p>
        </w:tc>
        <w:tc>
          <w:tcPr>
            <w:tcW w:w="659" w:type="pct"/>
          </w:tcPr>
          <w:p w14:paraId="4CF460A7" w14:textId="6515A695"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743" w:type="pct"/>
          </w:tcPr>
          <w:p w14:paraId="562CB1F8" w14:textId="2414F3A1"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659" w:type="pct"/>
          </w:tcPr>
          <w:p w14:paraId="0BB465FE" w14:textId="36B8F8EF"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743" w:type="pct"/>
          </w:tcPr>
          <w:p w14:paraId="22B96E28" w14:textId="07ED9F27"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r>
      <w:tr w:rsidR="00D35D27" w:rsidRPr="00DD0A30" w14:paraId="2F10F9F7" w14:textId="77777777" w:rsidTr="001D2AC4">
        <w:tc>
          <w:tcPr>
            <w:tcW w:w="2196" w:type="pct"/>
            <w:tcBorders>
              <w:bottom w:val="single" w:sz="4" w:space="0" w:color="auto"/>
            </w:tcBorders>
          </w:tcPr>
          <w:p w14:paraId="77AE913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Observations</w:t>
            </w:r>
          </w:p>
        </w:tc>
        <w:tc>
          <w:tcPr>
            <w:tcW w:w="659" w:type="pct"/>
            <w:tcBorders>
              <w:bottom w:val="single" w:sz="4" w:space="0" w:color="auto"/>
            </w:tcBorders>
          </w:tcPr>
          <w:p w14:paraId="7F06F18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607</w:t>
            </w:r>
          </w:p>
        </w:tc>
        <w:tc>
          <w:tcPr>
            <w:tcW w:w="743" w:type="pct"/>
            <w:tcBorders>
              <w:bottom w:val="single" w:sz="4" w:space="0" w:color="auto"/>
            </w:tcBorders>
          </w:tcPr>
          <w:p w14:paraId="486BD6F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607</w:t>
            </w:r>
          </w:p>
        </w:tc>
        <w:tc>
          <w:tcPr>
            <w:tcW w:w="659" w:type="pct"/>
            <w:tcBorders>
              <w:bottom w:val="single" w:sz="4" w:space="0" w:color="auto"/>
            </w:tcBorders>
          </w:tcPr>
          <w:p w14:paraId="6C230B0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725</w:t>
            </w:r>
          </w:p>
        </w:tc>
        <w:tc>
          <w:tcPr>
            <w:tcW w:w="743" w:type="pct"/>
            <w:tcBorders>
              <w:bottom w:val="single" w:sz="4" w:space="0" w:color="auto"/>
            </w:tcBorders>
          </w:tcPr>
          <w:p w14:paraId="176C414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725</w:t>
            </w:r>
          </w:p>
        </w:tc>
      </w:tr>
      <w:tr w:rsidR="00D35D27" w:rsidRPr="00DD0A30" w14:paraId="23DDB7BE" w14:textId="77777777" w:rsidTr="001D2AC4">
        <w:tc>
          <w:tcPr>
            <w:tcW w:w="5000" w:type="pct"/>
            <w:gridSpan w:val="5"/>
            <w:tcBorders>
              <w:top w:val="single" w:sz="4" w:space="0" w:color="auto"/>
            </w:tcBorders>
          </w:tcPr>
          <w:p w14:paraId="395242E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Panel B: Robustness — FIFA_rule only (all specifications include year trend)</w:t>
            </w:r>
          </w:p>
        </w:tc>
      </w:tr>
      <w:tr w:rsidR="00D35D27" w:rsidRPr="00DD0A30" w14:paraId="78F4FEDF" w14:textId="77777777" w:rsidTr="001D2AC4">
        <w:tc>
          <w:tcPr>
            <w:tcW w:w="2196" w:type="pct"/>
          </w:tcPr>
          <w:p w14:paraId="0BDEB85D"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Borders>
              <w:bottom w:val="single" w:sz="4" w:space="0" w:color="auto"/>
            </w:tcBorders>
          </w:tcPr>
          <w:p w14:paraId="7A536E12" w14:textId="77777777" w:rsidR="00D35D27" w:rsidRPr="00DD0A30" w:rsidRDefault="00000000" w:rsidP="001D2AC4">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M4</w:t>
            </w:r>
          </w:p>
        </w:tc>
        <w:tc>
          <w:tcPr>
            <w:tcW w:w="1402" w:type="pct"/>
            <w:gridSpan w:val="2"/>
            <w:tcBorders>
              <w:bottom w:val="single" w:sz="4" w:space="0" w:color="auto"/>
            </w:tcBorders>
          </w:tcPr>
          <w:p w14:paraId="6DB2A1C5" w14:textId="77777777" w:rsidR="00D35D27" w:rsidRPr="00DD0A30" w:rsidRDefault="00000000" w:rsidP="001D2AC4">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M5</w:t>
            </w:r>
          </w:p>
        </w:tc>
      </w:tr>
      <w:tr w:rsidR="00D35D27" w:rsidRPr="00DD0A30" w14:paraId="407FCF70" w14:textId="77777777" w:rsidTr="001D2AC4">
        <w:tc>
          <w:tcPr>
            <w:tcW w:w="2196" w:type="pct"/>
          </w:tcPr>
          <w:p w14:paraId="69E29809" w14:textId="738E6564"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Two qualifying teams</w:t>
            </w:r>
          </w:p>
        </w:tc>
        <w:tc>
          <w:tcPr>
            <w:tcW w:w="1402" w:type="pct"/>
            <w:gridSpan w:val="2"/>
            <w:tcBorders>
              <w:top w:val="single" w:sz="4" w:space="0" w:color="auto"/>
            </w:tcBorders>
          </w:tcPr>
          <w:p w14:paraId="34EF882F"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0.080</m:t>
                </m:r>
              </m:oMath>
            </m:oMathPara>
          </w:p>
        </w:tc>
        <w:tc>
          <w:tcPr>
            <w:tcW w:w="1402" w:type="pct"/>
            <w:gridSpan w:val="2"/>
            <w:tcBorders>
              <w:top w:val="single" w:sz="4" w:space="0" w:color="auto"/>
            </w:tcBorders>
          </w:tcPr>
          <w:p w14:paraId="644830A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0.036</m:t>
                </m:r>
              </m:oMath>
            </m:oMathPara>
          </w:p>
        </w:tc>
      </w:tr>
      <w:tr w:rsidR="00D35D27" w:rsidRPr="00DD0A30" w14:paraId="5F3A90E9" w14:textId="77777777" w:rsidTr="001D2AC4">
        <w:tc>
          <w:tcPr>
            <w:tcW w:w="2196" w:type="pct"/>
          </w:tcPr>
          <w:p w14:paraId="0245C1D3"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Pr>
          <w:p w14:paraId="49296FB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0.084</m:t>
                </m:r>
                <m:r>
                  <m:rPr>
                    <m:sty m:val="p"/>
                  </m:rPr>
                  <w:rPr>
                    <w:rFonts w:ascii="Cambria Math" w:hAnsi="Cambria Math" w:cs="Times New Roman"/>
                    <w:sz w:val="22"/>
                    <w:szCs w:val="22"/>
                  </w:rPr>
                  <m:t>)</m:t>
                </m:r>
              </m:oMath>
            </m:oMathPara>
          </w:p>
        </w:tc>
        <w:tc>
          <w:tcPr>
            <w:tcW w:w="1402" w:type="pct"/>
            <w:gridSpan w:val="2"/>
          </w:tcPr>
          <w:p w14:paraId="55B015A0"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0.090</m:t>
                </m:r>
                <m:r>
                  <m:rPr>
                    <m:sty m:val="p"/>
                  </m:rPr>
                  <w:rPr>
                    <w:rFonts w:ascii="Cambria Math" w:hAnsi="Cambria Math" w:cs="Times New Roman"/>
                    <w:sz w:val="22"/>
                    <w:szCs w:val="22"/>
                  </w:rPr>
                  <m:t>)</m:t>
                </m:r>
              </m:oMath>
            </m:oMathPara>
          </w:p>
        </w:tc>
      </w:tr>
      <w:tr w:rsidR="00D35D27" w:rsidRPr="00DD0A30" w14:paraId="4ED6F9FC" w14:textId="77777777" w:rsidTr="001D2AC4">
        <w:tc>
          <w:tcPr>
            <w:tcW w:w="2196" w:type="pct"/>
          </w:tcPr>
          <w:p w14:paraId="64D6292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Three qualifying teams</w:t>
            </w:r>
          </w:p>
        </w:tc>
        <w:tc>
          <w:tcPr>
            <w:tcW w:w="1402" w:type="pct"/>
            <w:gridSpan w:val="2"/>
          </w:tcPr>
          <w:p w14:paraId="06F6070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0.006</m:t>
                </m:r>
              </m:oMath>
            </m:oMathPara>
          </w:p>
        </w:tc>
        <w:tc>
          <w:tcPr>
            <w:tcW w:w="1402" w:type="pct"/>
            <w:gridSpan w:val="2"/>
          </w:tcPr>
          <w:p w14:paraId="2778580F"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0.734</m:t>
                </m:r>
              </m:oMath>
            </m:oMathPara>
          </w:p>
        </w:tc>
      </w:tr>
      <w:tr w:rsidR="00D35D27" w:rsidRPr="00DD0A30" w14:paraId="36B88E5B" w14:textId="77777777" w:rsidTr="001D2AC4">
        <w:tc>
          <w:tcPr>
            <w:tcW w:w="2196" w:type="pct"/>
          </w:tcPr>
          <w:p w14:paraId="28411DC7"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Pr>
          <w:p w14:paraId="65201DF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0.642</m:t>
                </m:r>
                <m:r>
                  <m:rPr>
                    <m:sty m:val="p"/>
                  </m:rPr>
                  <w:rPr>
                    <w:rFonts w:ascii="Cambria Math" w:hAnsi="Cambria Math" w:cs="Times New Roman"/>
                    <w:sz w:val="22"/>
                    <w:szCs w:val="22"/>
                  </w:rPr>
                  <m:t>)</m:t>
                </m:r>
              </m:oMath>
            </m:oMathPara>
          </w:p>
        </w:tc>
        <w:tc>
          <w:tcPr>
            <w:tcW w:w="1402" w:type="pct"/>
            <w:gridSpan w:val="2"/>
          </w:tcPr>
          <w:p w14:paraId="1C2AF2F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0.630</m:t>
                </m:r>
                <m:r>
                  <m:rPr>
                    <m:sty m:val="p"/>
                  </m:rPr>
                  <w:rPr>
                    <w:rFonts w:ascii="Cambria Math" w:hAnsi="Cambria Math" w:cs="Times New Roman"/>
                    <w:sz w:val="22"/>
                    <w:szCs w:val="22"/>
                  </w:rPr>
                  <m:t>)</m:t>
                </m:r>
              </m:oMath>
            </m:oMathPara>
          </w:p>
        </w:tc>
      </w:tr>
      <w:tr w:rsidR="00D35D27" w:rsidRPr="00DD0A30" w14:paraId="59C1E8D6" w14:textId="77777777" w:rsidTr="001D2AC4">
        <w:tc>
          <w:tcPr>
            <w:tcW w:w="2196" w:type="pct"/>
          </w:tcPr>
          <w:p w14:paraId="613A069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2-points rule (</w:t>
            </w:r>
            <m:oMath>
              <m:r>
                <m:rPr>
                  <m:sty m:val="p"/>
                </m:rPr>
                <w:rPr>
                  <w:rFonts w:ascii="Cambria Math" w:hAnsi="Cambria Math" w:cs="Times New Roman"/>
                  <w:sz w:val="22"/>
                  <w:szCs w:val="22"/>
                </w:rPr>
                <m:t>≤</m:t>
              </m:r>
              <m:r>
                <w:rPr>
                  <w:rFonts w:ascii="Cambria Math" w:hAnsi="Cambria Math" w:cs="Times New Roman"/>
                  <w:sz w:val="22"/>
                  <w:szCs w:val="22"/>
                </w:rPr>
                <m:t>1992</m:t>
              </m:r>
            </m:oMath>
            <w:r w:rsidRPr="00DD0A30">
              <w:rPr>
                <w:rFonts w:ascii="Times New Roman" w:hAnsi="Times New Roman" w:cs="Times New Roman"/>
                <w:sz w:val="22"/>
                <w:szCs w:val="22"/>
              </w:rPr>
              <w:t>)</w:t>
            </w:r>
          </w:p>
        </w:tc>
        <w:tc>
          <w:tcPr>
            <w:tcW w:w="1402" w:type="pct"/>
            <w:gridSpan w:val="2"/>
          </w:tcPr>
          <w:p w14:paraId="0A1C687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0.151</m:t>
                </m:r>
              </m:oMath>
            </m:oMathPara>
          </w:p>
        </w:tc>
        <w:tc>
          <w:tcPr>
            <w:tcW w:w="1402" w:type="pct"/>
            <w:gridSpan w:val="2"/>
          </w:tcPr>
          <w:p w14:paraId="7EDF5B6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0.079</m:t>
                </m:r>
              </m:oMath>
            </m:oMathPara>
          </w:p>
        </w:tc>
      </w:tr>
      <w:tr w:rsidR="00D35D27" w:rsidRPr="00DD0A30" w14:paraId="7283AC9F" w14:textId="77777777" w:rsidTr="001D2AC4">
        <w:tc>
          <w:tcPr>
            <w:tcW w:w="2196" w:type="pct"/>
          </w:tcPr>
          <w:p w14:paraId="7F0E4DF4"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Pr>
          <w:p w14:paraId="62D17F4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0.160</m:t>
                </m:r>
                <m:r>
                  <m:rPr>
                    <m:sty m:val="p"/>
                  </m:rPr>
                  <w:rPr>
                    <w:rFonts w:ascii="Cambria Math" w:hAnsi="Cambria Math" w:cs="Times New Roman"/>
                    <w:sz w:val="22"/>
                    <w:szCs w:val="22"/>
                  </w:rPr>
                  <m:t>)</m:t>
                </m:r>
              </m:oMath>
            </m:oMathPara>
          </w:p>
        </w:tc>
        <w:tc>
          <w:tcPr>
            <w:tcW w:w="1402" w:type="pct"/>
            <w:gridSpan w:val="2"/>
          </w:tcPr>
          <w:p w14:paraId="1A0CA78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0.314</m:t>
                </m:r>
                <m:r>
                  <m:rPr>
                    <m:sty m:val="p"/>
                  </m:rPr>
                  <w:rPr>
                    <w:rFonts w:ascii="Cambria Math" w:hAnsi="Cambria Math" w:cs="Times New Roman"/>
                    <w:sz w:val="22"/>
                    <w:szCs w:val="22"/>
                  </w:rPr>
                  <m:t>)</m:t>
                </m:r>
              </m:oMath>
            </m:oMathPara>
          </w:p>
        </w:tc>
      </w:tr>
      <w:tr w:rsidR="00D35D27" w:rsidRPr="00DD0A30" w14:paraId="04261845" w14:textId="77777777" w:rsidTr="001D2AC4">
        <w:tc>
          <w:tcPr>
            <w:tcW w:w="2196" w:type="pct"/>
          </w:tcPr>
          <w:p w14:paraId="4082540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3-points rule (</w:t>
            </w:r>
            <m:oMath>
              <m:r>
                <m:rPr>
                  <m:sty m:val="p"/>
                </m:rPr>
                <w:rPr>
                  <w:rFonts w:ascii="Cambria Math" w:hAnsi="Cambria Math" w:cs="Times New Roman"/>
                  <w:sz w:val="22"/>
                  <w:szCs w:val="22"/>
                </w:rPr>
                <m:t>&gt;</m:t>
              </m:r>
              <m:r>
                <w:rPr>
                  <w:rFonts w:ascii="Cambria Math" w:hAnsi="Cambria Math" w:cs="Times New Roman"/>
                  <w:sz w:val="22"/>
                  <w:szCs w:val="22"/>
                </w:rPr>
                <m:t>1992</m:t>
              </m:r>
            </m:oMath>
            <w:r w:rsidRPr="00DD0A30">
              <w:rPr>
                <w:rFonts w:ascii="Times New Roman" w:hAnsi="Times New Roman" w:cs="Times New Roman"/>
                <w:sz w:val="22"/>
                <w:szCs w:val="22"/>
              </w:rPr>
              <w:t>)</w:t>
            </w:r>
          </w:p>
        </w:tc>
        <w:tc>
          <w:tcPr>
            <w:tcW w:w="1402" w:type="pct"/>
            <w:gridSpan w:val="2"/>
          </w:tcPr>
          <w:p w14:paraId="62DDC17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0.031</m:t>
                </m:r>
              </m:oMath>
            </m:oMathPara>
          </w:p>
        </w:tc>
        <w:tc>
          <w:tcPr>
            <w:tcW w:w="1402" w:type="pct"/>
            <w:gridSpan w:val="2"/>
          </w:tcPr>
          <w:p w14:paraId="7054E6C5"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0.068</m:t>
                </m:r>
              </m:oMath>
            </m:oMathPara>
          </w:p>
        </w:tc>
      </w:tr>
      <w:tr w:rsidR="00D35D27" w:rsidRPr="00DD0A30" w14:paraId="397D7FE0" w14:textId="77777777" w:rsidTr="001D2AC4">
        <w:tc>
          <w:tcPr>
            <w:tcW w:w="2196" w:type="pct"/>
          </w:tcPr>
          <w:p w14:paraId="447DB68E"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Pr>
          <w:p w14:paraId="25D134D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0.082</m:t>
                </m:r>
                <m:r>
                  <m:rPr>
                    <m:sty m:val="p"/>
                  </m:rPr>
                  <w:rPr>
                    <w:rFonts w:ascii="Cambria Math" w:hAnsi="Cambria Math" w:cs="Times New Roman"/>
                    <w:sz w:val="22"/>
                    <w:szCs w:val="22"/>
                  </w:rPr>
                  <m:t>)</m:t>
                </m:r>
              </m:oMath>
            </m:oMathPara>
          </w:p>
        </w:tc>
        <w:tc>
          <w:tcPr>
            <w:tcW w:w="1402" w:type="pct"/>
            <w:gridSpan w:val="2"/>
          </w:tcPr>
          <w:p w14:paraId="65E5BC8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0.080</m:t>
                </m:r>
                <m:r>
                  <m:rPr>
                    <m:sty m:val="p"/>
                  </m:rPr>
                  <w:rPr>
                    <w:rFonts w:ascii="Cambria Math" w:hAnsi="Cambria Math" w:cs="Times New Roman"/>
                    <w:sz w:val="22"/>
                    <w:szCs w:val="22"/>
                  </w:rPr>
                  <m:t>)</m:t>
                </m:r>
              </m:oMath>
            </m:oMathPara>
          </w:p>
        </w:tc>
      </w:tr>
      <w:tr w:rsidR="00D35D27" w:rsidRPr="00DD0A30" w14:paraId="65FDF41C" w14:textId="77777777" w:rsidTr="001D2AC4">
        <w:tc>
          <w:tcPr>
            <w:tcW w:w="2196" w:type="pct"/>
          </w:tcPr>
          <w:p w14:paraId="1E9F742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common support</w:t>
            </w:r>
          </w:p>
        </w:tc>
        <w:tc>
          <w:tcPr>
            <w:tcW w:w="1402" w:type="pct"/>
            <w:gridSpan w:val="2"/>
          </w:tcPr>
          <w:p w14:paraId="663752A8"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0.006</m:t>
                </m:r>
              </m:oMath>
            </m:oMathPara>
          </w:p>
        </w:tc>
        <w:tc>
          <w:tcPr>
            <w:tcW w:w="1402" w:type="pct"/>
            <w:gridSpan w:val="2"/>
          </w:tcPr>
          <w:p w14:paraId="736ADF1B"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0.029</m:t>
                </m:r>
              </m:oMath>
            </m:oMathPara>
          </w:p>
        </w:tc>
      </w:tr>
      <w:tr w:rsidR="00D35D27" w:rsidRPr="00DD0A30" w14:paraId="7B1ABFAD" w14:textId="77777777" w:rsidTr="001D2AC4">
        <w:tc>
          <w:tcPr>
            <w:tcW w:w="2196" w:type="pct"/>
            <w:tcBorders>
              <w:bottom w:val="single" w:sz="4" w:space="0" w:color="auto"/>
            </w:tcBorders>
          </w:tcPr>
          <w:p w14:paraId="5A8AC630"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402" w:type="pct"/>
            <w:gridSpan w:val="2"/>
            <w:tcBorders>
              <w:bottom w:val="single" w:sz="4" w:space="0" w:color="auto"/>
            </w:tcBorders>
          </w:tcPr>
          <w:p w14:paraId="18E20E7C"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0.080</m:t>
                </m:r>
                <m:r>
                  <m:rPr>
                    <m:sty m:val="p"/>
                  </m:rPr>
                  <w:rPr>
                    <w:rFonts w:ascii="Cambria Math" w:hAnsi="Cambria Math" w:cs="Times New Roman"/>
                    <w:sz w:val="22"/>
                    <w:szCs w:val="22"/>
                  </w:rPr>
                  <m:t>)</m:t>
                </m:r>
              </m:oMath>
            </m:oMathPara>
          </w:p>
        </w:tc>
        <w:tc>
          <w:tcPr>
            <w:tcW w:w="1402" w:type="pct"/>
            <w:gridSpan w:val="2"/>
            <w:tcBorders>
              <w:bottom w:val="single" w:sz="4" w:space="0" w:color="auto"/>
            </w:tcBorders>
          </w:tcPr>
          <w:p w14:paraId="335265D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0.077</m:t>
                </m:r>
                <m:r>
                  <m:rPr>
                    <m:sty m:val="p"/>
                  </m:rPr>
                  <w:rPr>
                    <w:rFonts w:ascii="Cambria Math" w:hAnsi="Cambria Math" w:cs="Times New Roman"/>
                    <w:sz w:val="22"/>
                    <w:szCs w:val="22"/>
                  </w:rPr>
                  <m:t>)</m:t>
                </m:r>
              </m:oMath>
            </m:oMathPara>
          </w:p>
        </w:tc>
      </w:tr>
    </w:tbl>
    <w:bookmarkEnd w:id="23"/>
    <w:p w14:paraId="4C383B5F" w14:textId="77777777" w:rsidR="00D35D27" w:rsidRDefault="00000000" w:rsidP="00DD0A30">
      <w:pPr>
        <w:pStyle w:val="BodyText"/>
        <w:spacing w:line="360" w:lineRule="auto"/>
        <w:jc w:val="both"/>
        <w:rPr>
          <w:rFonts w:ascii="Times New Roman" w:hAnsi="Times New Roman" w:cs="Times New Roman"/>
          <w:sz w:val="18"/>
          <w:szCs w:val="18"/>
        </w:rPr>
      </w:pPr>
      <w:r w:rsidRPr="001D2AC4">
        <w:rPr>
          <w:rFonts w:ascii="Times New Roman" w:hAnsi="Times New Roman" w:cs="Times New Roman"/>
          <w:i/>
          <w:iCs/>
          <w:sz w:val="18"/>
          <w:szCs w:val="18"/>
        </w:rPr>
        <w:t>Notes:</w:t>
      </w:r>
      <w:r w:rsidRPr="001D2AC4">
        <w:rPr>
          <w:rFonts w:ascii="Times New Roman" w:hAnsi="Times New Roman" w:cs="Times New Roman"/>
          <w:sz w:val="18"/>
          <w:szCs w:val="18"/>
        </w:rPr>
        <w:t xml:space="preserve"> Logit model for the binary </w:t>
      </w:r>
      <w:r w:rsidRPr="001D2AC4">
        <w:rPr>
          <w:rFonts w:ascii="Times New Roman" w:hAnsi="Times New Roman" w:cs="Times New Roman"/>
          <w:i/>
          <w:iCs/>
          <w:sz w:val="18"/>
          <w:szCs w:val="18"/>
        </w:rPr>
        <w:t>suspense</w:t>
      </w:r>
      <w:r w:rsidRPr="001D2AC4">
        <w:rPr>
          <w:rFonts w:ascii="Times New Roman" w:hAnsi="Times New Roman" w:cs="Times New Roman"/>
          <w:sz w:val="18"/>
          <w:szCs w:val="18"/>
        </w:rPr>
        <w:t xml:space="preserve"> indicator estimated on the goal-level dataset. Coefficients are average marginal effects (AME). M4 controls for match-level Elo ratings (</w:t>
      </w:r>
      <w:r w:rsidRPr="001D2AC4">
        <w:rPr>
          <w:rFonts w:ascii="Times New Roman" w:hAnsi="Times New Roman" w:cs="Times New Roman"/>
          <w:i/>
          <w:iCs/>
          <w:sz w:val="18"/>
          <w:szCs w:val="18"/>
        </w:rPr>
        <w:t>elo_fav</w:t>
      </w:r>
      <w:r w:rsidRPr="001D2AC4">
        <w:rPr>
          <w:rFonts w:ascii="Times New Roman" w:hAnsi="Times New Roman" w:cs="Times New Roman"/>
          <w:sz w:val="18"/>
          <w:szCs w:val="18"/>
        </w:rPr>
        <w:t xml:space="preserve">, </w:t>
      </w:r>
      <w:r w:rsidRPr="001D2AC4">
        <w:rPr>
          <w:rFonts w:ascii="Times New Roman" w:hAnsi="Times New Roman" w:cs="Times New Roman"/>
          <w:i/>
          <w:iCs/>
          <w:sz w:val="18"/>
          <w:szCs w:val="18"/>
        </w:rPr>
        <w:t>elo_und</w:t>
      </w:r>
      <w:r w:rsidRPr="001D2AC4">
        <w:rPr>
          <w:rFonts w:ascii="Times New Roman" w:hAnsi="Times New Roman" w:cs="Times New Roman"/>
          <w:sz w:val="18"/>
          <w:szCs w:val="18"/>
        </w:rPr>
        <w:t>); M5 uses group-level Elo ranks (</w:t>
      </w:r>
      <w:r w:rsidRPr="001D2AC4">
        <w:rPr>
          <w:rFonts w:ascii="Times New Roman" w:hAnsi="Times New Roman" w:cs="Times New Roman"/>
          <w:i/>
          <w:iCs/>
          <w:sz w:val="18"/>
          <w:szCs w:val="18"/>
        </w:rPr>
        <w:t>elo1st</w:t>
      </w:r>
      <w:r w:rsidRPr="001D2AC4">
        <w:rPr>
          <w:rFonts w:ascii="Times New Roman" w:hAnsi="Times New Roman" w:cs="Times New Roman"/>
          <w:sz w:val="18"/>
          <w:szCs w:val="18"/>
        </w:rPr>
        <w:t>–</w:t>
      </w:r>
      <w:r w:rsidRPr="001D2AC4">
        <w:rPr>
          <w:rFonts w:ascii="Times New Roman" w:hAnsi="Times New Roman" w:cs="Times New Roman"/>
          <w:i/>
          <w:iCs/>
          <w:sz w:val="18"/>
          <w:szCs w:val="18"/>
        </w:rPr>
        <w:t>elo4th</w:t>
      </w:r>
      <w:r w:rsidRPr="001D2AC4">
        <w:rPr>
          <w:rFonts w:ascii="Times New Roman" w:hAnsi="Times New Roman" w:cs="Times New Roman"/>
          <w:sz w:val="18"/>
          <w:szCs w:val="18"/>
        </w:rPr>
        <w:t>). Standard errors are clustered at the group (year </w:t>
      </w:r>
      <m:oMath>
        <m:r>
          <m:rPr>
            <m:sty m:val="p"/>
          </m:rPr>
          <w:rPr>
            <w:rFonts w:ascii="Cambria Math" w:hAnsi="Cambria Math" w:cs="Times New Roman"/>
            <w:sz w:val="18"/>
            <w:szCs w:val="18"/>
          </w:rPr>
          <m:t>×</m:t>
        </m:r>
      </m:oMath>
      <w:r w:rsidRPr="001D2AC4">
        <w:rPr>
          <w:rFonts w:ascii="Times New Roman" w:hAnsi="Times New Roman" w:cs="Times New Roman"/>
          <w:sz w:val="18"/>
          <w:szCs w:val="18"/>
        </w:rPr>
        <w:t> stage) level. Panel B robustness samples follow the same definitions as in Table </w:t>
      </w:r>
      <w:hyperlink w:anchor="tab:reg_grp">
        <w:r w:rsidR="00D35D27" w:rsidRPr="001D2AC4">
          <w:rPr>
            <w:rStyle w:val="Hyperlink"/>
            <w:rFonts w:ascii="Times New Roman" w:hAnsi="Times New Roman" w:cs="Times New Roman"/>
            <w:sz w:val="18"/>
            <w:szCs w:val="18"/>
          </w:rPr>
          <w:t>4</w:t>
        </w:r>
      </w:hyperlink>
      <w:r w:rsidRPr="001D2AC4">
        <w:rPr>
          <w:rFonts w:ascii="Times New Roman" w:hAnsi="Times New Roman" w:cs="Times New Roman"/>
          <w:sz w:val="18"/>
          <w:szCs w:val="18"/>
        </w:rPr>
        <w:t xml:space="preserve">; all Panel B specifications include </w:t>
      </w:r>
      <w:r w:rsidRPr="001D2AC4">
        <w:rPr>
          <w:rFonts w:ascii="Times New Roman" w:hAnsi="Times New Roman" w:cs="Times New Roman"/>
          <w:i/>
          <w:iCs/>
          <w:sz w:val="18"/>
          <w:szCs w:val="18"/>
        </w:rPr>
        <w:t>year_c</w:t>
      </w:r>
      <w:r w:rsidRPr="001D2AC4">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0.10</m:t>
        </m:r>
      </m:oMath>
      <w:r w:rsidRPr="001D2AC4">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0.05</m:t>
        </m:r>
      </m:oMath>
      <w:r w:rsidRPr="001D2AC4">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0.01</m:t>
        </m:r>
      </m:oMath>
      <w:r w:rsidRPr="001D2AC4">
        <w:rPr>
          <w:rFonts w:ascii="Times New Roman" w:hAnsi="Times New Roman" w:cs="Times New Roman"/>
          <w:sz w:val="18"/>
          <w:szCs w:val="18"/>
        </w:rPr>
        <w:t>.</w:t>
      </w:r>
    </w:p>
    <w:p w14:paraId="44EC93C5" w14:textId="77777777" w:rsidR="001D2AC4" w:rsidRDefault="001D2AC4" w:rsidP="00DD0A30">
      <w:pPr>
        <w:pStyle w:val="BodyText"/>
        <w:spacing w:line="360" w:lineRule="auto"/>
        <w:jc w:val="both"/>
        <w:rPr>
          <w:rFonts w:ascii="Times New Roman" w:hAnsi="Times New Roman" w:cs="Times New Roman"/>
          <w:sz w:val="18"/>
          <w:szCs w:val="18"/>
        </w:rPr>
      </w:pPr>
    </w:p>
    <w:p w14:paraId="6F478B92" w14:textId="77777777" w:rsidR="001D2AC4" w:rsidRPr="001D2AC4" w:rsidRDefault="001D2AC4" w:rsidP="00DD0A30">
      <w:pPr>
        <w:pStyle w:val="BodyText"/>
        <w:spacing w:line="360" w:lineRule="auto"/>
        <w:jc w:val="both"/>
        <w:rPr>
          <w:rFonts w:ascii="Times New Roman" w:hAnsi="Times New Roman" w:cs="Times New Roman"/>
          <w:sz w:val="18"/>
          <w:szCs w:val="18"/>
        </w:rPr>
      </w:pPr>
    </w:p>
    <w:p w14:paraId="244A782A" w14:textId="4FCAAE1F" w:rsidR="00D35D27" w:rsidRPr="00DD0A30" w:rsidRDefault="00C32A61" w:rsidP="00DD0A30">
      <w:pPr>
        <w:pStyle w:val="TableCaption"/>
        <w:spacing w:line="360" w:lineRule="auto"/>
        <w:jc w:val="both"/>
        <w:rPr>
          <w:rFonts w:ascii="Times New Roman" w:hAnsi="Times New Roman" w:cs="Times New Roman"/>
          <w:sz w:val="22"/>
          <w:szCs w:val="22"/>
        </w:rPr>
      </w:pPr>
      <w:bookmarkStart w:id="24" w:name="tab:reg_mbm"/>
      <w:r>
        <w:rPr>
          <w:rFonts w:ascii="Times New Roman" w:hAnsi="Times New Roman" w:cs="Times New Roman"/>
          <w:sz w:val="22"/>
          <w:szCs w:val="22"/>
        </w:rPr>
        <w:lastRenderedPageBreak/>
        <w:t xml:space="preserve">Table 6: </w:t>
      </w:r>
      <w:r w:rsidR="00000000" w:rsidRPr="00DD0A30">
        <w:rPr>
          <w:rFonts w:ascii="Times New Roman" w:hAnsi="Times New Roman" w:cs="Times New Roman"/>
          <w:sz w:val="22"/>
          <w:szCs w:val="22"/>
        </w:rPr>
        <w:t>MBM logit models: effect of FIFA tie-breaking rule on suspense and qualification change</w:t>
      </w:r>
    </w:p>
    <w:tbl>
      <w:tblPr>
        <w:tblStyle w:val="Table"/>
        <w:tblW w:w="5000" w:type="pct"/>
        <w:tblLook w:val="0020" w:firstRow="1" w:lastRow="0" w:firstColumn="0" w:lastColumn="0" w:noHBand="0" w:noVBand="0"/>
      </w:tblPr>
      <w:tblGrid>
        <w:gridCol w:w="3574"/>
        <w:gridCol w:w="1473"/>
        <w:gridCol w:w="1667"/>
        <w:gridCol w:w="1703"/>
        <w:gridCol w:w="1771"/>
      </w:tblGrid>
      <w:tr w:rsidR="00D35D27" w:rsidRPr="00DD0A30" w14:paraId="767E523A" w14:textId="77777777" w:rsidTr="00C32A61">
        <w:trPr>
          <w:cnfStyle w:val="100000000000" w:firstRow="1" w:lastRow="0" w:firstColumn="0" w:lastColumn="0" w:oddVBand="0" w:evenVBand="0" w:oddHBand="0" w:evenHBand="0" w:firstRowFirstColumn="0" w:firstRowLastColumn="0" w:lastRowFirstColumn="0" w:lastRowLastColumn="0"/>
          <w:tblHeader/>
        </w:trPr>
        <w:tc>
          <w:tcPr>
            <w:tcW w:w="1754" w:type="pct"/>
            <w:tcBorders>
              <w:top w:val="single" w:sz="4" w:space="0" w:color="auto"/>
              <w:bottom w:val="single" w:sz="4" w:space="0" w:color="FFFFFF" w:themeColor="background1"/>
            </w:tcBorders>
          </w:tcPr>
          <w:p w14:paraId="57F0B621"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Borders>
              <w:top w:val="single" w:sz="4" w:space="0" w:color="auto"/>
              <w:bottom w:val="single" w:sz="4" w:space="0" w:color="auto"/>
            </w:tcBorders>
          </w:tcPr>
          <w:p w14:paraId="4887E5C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MBM-A: </w:t>
            </w:r>
            <w:r w:rsidRPr="00DD0A30">
              <w:rPr>
                <w:rFonts w:ascii="Times New Roman" w:hAnsi="Times New Roman" w:cs="Times New Roman"/>
                <w:i/>
                <w:iCs/>
                <w:sz w:val="22"/>
                <w:szCs w:val="22"/>
              </w:rPr>
              <w:t>suspense</w:t>
            </w:r>
          </w:p>
        </w:tc>
        <w:tc>
          <w:tcPr>
            <w:tcW w:w="1705" w:type="pct"/>
            <w:gridSpan w:val="2"/>
            <w:tcBorders>
              <w:top w:val="single" w:sz="4" w:space="0" w:color="auto"/>
            </w:tcBorders>
          </w:tcPr>
          <w:p w14:paraId="208702A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MBM-B: </w:t>
            </w:r>
            <w:r w:rsidRPr="00DD0A30">
              <w:rPr>
                <w:rFonts w:ascii="Times New Roman" w:hAnsi="Times New Roman" w:cs="Times New Roman"/>
                <w:i/>
                <w:iCs/>
                <w:sz w:val="22"/>
                <w:szCs w:val="22"/>
              </w:rPr>
              <w:t>qual_changed</w:t>
            </w:r>
          </w:p>
        </w:tc>
      </w:tr>
      <w:tr w:rsidR="00D35D27" w:rsidRPr="00DD0A30" w14:paraId="192CE869" w14:textId="77777777" w:rsidTr="00C32A61">
        <w:tc>
          <w:tcPr>
            <w:tcW w:w="1754" w:type="pct"/>
            <w:tcBorders>
              <w:top w:val="single" w:sz="4" w:space="0" w:color="FFFFFF" w:themeColor="background1"/>
              <w:bottom w:val="single" w:sz="4" w:space="0" w:color="auto"/>
            </w:tcBorders>
          </w:tcPr>
          <w:p w14:paraId="672581CA" w14:textId="7C0E0BAA" w:rsidR="00D35D27" w:rsidRPr="00DD0A30" w:rsidRDefault="00D35D27" w:rsidP="00DD0A30">
            <w:pPr>
              <w:pStyle w:val="Compact"/>
              <w:spacing w:line="360" w:lineRule="auto"/>
              <w:jc w:val="both"/>
              <w:rPr>
                <w:rFonts w:ascii="Times New Roman" w:hAnsi="Times New Roman" w:cs="Times New Roman"/>
                <w:sz w:val="22"/>
                <w:szCs w:val="22"/>
              </w:rPr>
            </w:pPr>
          </w:p>
        </w:tc>
        <w:tc>
          <w:tcPr>
            <w:tcW w:w="723" w:type="pct"/>
            <w:tcBorders>
              <w:top w:val="single" w:sz="4" w:space="0" w:color="auto"/>
              <w:bottom w:val="single" w:sz="4" w:space="0" w:color="auto"/>
            </w:tcBorders>
          </w:tcPr>
          <w:p w14:paraId="24F1130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 Main</w:t>
            </w:r>
          </w:p>
        </w:tc>
        <w:tc>
          <w:tcPr>
            <w:tcW w:w="817" w:type="pct"/>
            <w:tcBorders>
              <w:top w:val="single" w:sz="4" w:space="0" w:color="auto"/>
              <w:bottom w:val="single" w:sz="4" w:space="0" w:color="auto"/>
            </w:tcBorders>
          </w:tcPr>
          <w:p w14:paraId="4F72C11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(2) </w:t>
            </w:r>
            <m:oMath>
              <m:r>
                <m:rPr>
                  <m:sty m:val="p"/>
                </m:rPr>
                <w:rPr>
                  <w:rFonts w:ascii="Cambria Math" w:hAnsi="Cambria Math" w:cs="Times New Roman"/>
                  <w:sz w:val="22"/>
                  <w:szCs w:val="22"/>
                </w:rPr>
                <m:t>+</m:t>
              </m:r>
            </m:oMath>
            <w:r w:rsidRPr="00DD0A30">
              <w:rPr>
                <w:rFonts w:ascii="Times New Roman" w:hAnsi="Times New Roman" w:cs="Times New Roman"/>
                <w:sz w:val="22"/>
                <w:szCs w:val="22"/>
              </w:rPr>
              <w:t>Year</w:t>
            </w:r>
          </w:p>
        </w:tc>
        <w:tc>
          <w:tcPr>
            <w:tcW w:w="836" w:type="pct"/>
            <w:tcBorders>
              <w:bottom w:val="single" w:sz="4" w:space="0" w:color="auto"/>
            </w:tcBorders>
          </w:tcPr>
          <w:p w14:paraId="0065696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(3) Main</w:t>
            </w:r>
          </w:p>
        </w:tc>
        <w:tc>
          <w:tcPr>
            <w:tcW w:w="869" w:type="pct"/>
            <w:tcBorders>
              <w:bottom w:val="single" w:sz="4" w:space="0" w:color="auto"/>
            </w:tcBorders>
          </w:tcPr>
          <w:p w14:paraId="4D88EE5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(4) </w:t>
            </w:r>
            <m:oMath>
              <m:r>
                <m:rPr>
                  <m:sty m:val="p"/>
                </m:rPr>
                <w:rPr>
                  <w:rFonts w:ascii="Cambria Math" w:hAnsi="Cambria Math" w:cs="Times New Roman"/>
                  <w:sz w:val="22"/>
                  <w:szCs w:val="22"/>
                </w:rPr>
                <m:t>+</m:t>
              </m:r>
            </m:oMath>
            <w:r w:rsidRPr="00DD0A30">
              <w:rPr>
                <w:rFonts w:ascii="Times New Roman" w:hAnsi="Times New Roman" w:cs="Times New Roman"/>
                <w:sz w:val="22"/>
                <w:szCs w:val="22"/>
              </w:rPr>
              <w:t>Year</w:t>
            </w:r>
          </w:p>
        </w:tc>
      </w:tr>
      <w:tr w:rsidR="00D35D27" w:rsidRPr="00DD0A30" w14:paraId="34B30FF0" w14:textId="77777777" w:rsidTr="00C32A61">
        <w:tc>
          <w:tcPr>
            <w:tcW w:w="5000" w:type="pct"/>
            <w:gridSpan w:val="5"/>
            <w:tcBorders>
              <w:top w:val="single" w:sz="4" w:space="0" w:color="auto"/>
            </w:tcBorders>
          </w:tcPr>
          <w:p w14:paraId="6ADCD3B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Panel A: Main specifications</w:t>
            </w:r>
          </w:p>
        </w:tc>
      </w:tr>
      <w:tr w:rsidR="00D35D27" w:rsidRPr="00DD0A30" w14:paraId="2BDB2948" w14:textId="77777777" w:rsidTr="00C32A61">
        <w:tc>
          <w:tcPr>
            <w:tcW w:w="1754" w:type="pct"/>
          </w:tcPr>
          <w:p w14:paraId="547738C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FIFA_rule</w:t>
            </w:r>
          </w:p>
        </w:tc>
        <w:tc>
          <w:tcPr>
            <w:tcW w:w="723" w:type="pct"/>
          </w:tcPr>
          <w:p w14:paraId="7CCA659C"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0.031</m:t>
                </m:r>
              </m:oMath>
            </m:oMathPara>
          </w:p>
        </w:tc>
        <w:tc>
          <w:tcPr>
            <w:tcW w:w="817" w:type="pct"/>
          </w:tcPr>
          <w:p w14:paraId="7BA915C4"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0.001</m:t>
                </m:r>
              </m:oMath>
            </m:oMathPara>
          </w:p>
        </w:tc>
        <w:tc>
          <w:tcPr>
            <w:tcW w:w="836" w:type="pct"/>
          </w:tcPr>
          <w:p w14:paraId="20B50966"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0.103</m:t>
                    </m:r>
                  </m:e>
                  <m:sup>
                    <m:r>
                      <m:rPr>
                        <m:sty m:val="p"/>
                      </m:rPr>
                      <w:rPr>
                        <w:rFonts w:ascii="Cambria Math" w:hAnsi="Cambria Math" w:cs="Times New Roman"/>
                        <w:sz w:val="22"/>
                        <w:szCs w:val="22"/>
                      </w:rPr>
                      <m:t>**</m:t>
                    </m:r>
                  </m:sup>
                </m:sSup>
              </m:oMath>
            </m:oMathPara>
          </w:p>
        </w:tc>
        <w:tc>
          <w:tcPr>
            <w:tcW w:w="869" w:type="pct"/>
          </w:tcPr>
          <w:p w14:paraId="5C365802"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0.086</m:t>
                    </m:r>
                  </m:e>
                  <m:sup>
                    <m:r>
                      <m:rPr>
                        <m:sty m:val="p"/>
                      </m:rPr>
                      <w:rPr>
                        <w:rFonts w:ascii="Cambria Math" w:hAnsi="Cambria Math" w:cs="Times New Roman"/>
                        <w:sz w:val="22"/>
                        <w:szCs w:val="22"/>
                      </w:rPr>
                      <m:t>*</m:t>
                    </m:r>
                  </m:sup>
                </m:sSup>
              </m:oMath>
            </m:oMathPara>
          </w:p>
        </w:tc>
      </w:tr>
      <w:tr w:rsidR="00D35D27" w:rsidRPr="00DD0A30" w14:paraId="2AFB2A92" w14:textId="77777777" w:rsidTr="00C32A61">
        <w:tc>
          <w:tcPr>
            <w:tcW w:w="1754" w:type="pct"/>
          </w:tcPr>
          <w:p w14:paraId="11CB7FDB"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723" w:type="pct"/>
          </w:tcPr>
          <w:p w14:paraId="46F4C016"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0.081</m:t>
                </m:r>
                <m:r>
                  <m:rPr>
                    <m:sty m:val="p"/>
                  </m:rPr>
                  <w:rPr>
                    <w:rFonts w:ascii="Cambria Math" w:hAnsi="Cambria Math" w:cs="Times New Roman"/>
                    <w:sz w:val="22"/>
                    <w:szCs w:val="22"/>
                  </w:rPr>
                  <m:t>)</m:t>
                </m:r>
              </m:oMath>
            </m:oMathPara>
          </w:p>
        </w:tc>
        <w:tc>
          <w:tcPr>
            <w:tcW w:w="817" w:type="pct"/>
          </w:tcPr>
          <w:p w14:paraId="3679E96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0.083</m:t>
                </m:r>
                <m:r>
                  <m:rPr>
                    <m:sty m:val="p"/>
                  </m:rPr>
                  <w:rPr>
                    <w:rFonts w:ascii="Cambria Math" w:hAnsi="Cambria Math" w:cs="Times New Roman"/>
                    <w:sz w:val="22"/>
                    <w:szCs w:val="22"/>
                  </w:rPr>
                  <m:t>)</m:t>
                </m:r>
              </m:oMath>
            </m:oMathPara>
          </w:p>
        </w:tc>
        <w:tc>
          <w:tcPr>
            <w:tcW w:w="836" w:type="pct"/>
          </w:tcPr>
          <w:p w14:paraId="7DFCE7D7"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0.049</m:t>
                </m:r>
                <m:r>
                  <m:rPr>
                    <m:sty m:val="p"/>
                  </m:rPr>
                  <w:rPr>
                    <w:rFonts w:ascii="Cambria Math" w:hAnsi="Cambria Math" w:cs="Times New Roman"/>
                    <w:sz w:val="22"/>
                    <w:szCs w:val="22"/>
                  </w:rPr>
                  <m:t>)</m:t>
                </m:r>
              </m:oMath>
            </m:oMathPara>
          </w:p>
        </w:tc>
        <w:tc>
          <w:tcPr>
            <w:tcW w:w="869" w:type="pct"/>
          </w:tcPr>
          <w:p w14:paraId="6A571CD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0.045</m:t>
                </m:r>
                <m:r>
                  <m:rPr>
                    <m:sty m:val="p"/>
                  </m:rPr>
                  <w:rPr>
                    <w:rFonts w:ascii="Cambria Math" w:hAnsi="Cambria Math" w:cs="Times New Roman"/>
                    <w:sz w:val="22"/>
                    <w:szCs w:val="22"/>
                  </w:rPr>
                  <m:t>)</m:t>
                </m:r>
              </m:oMath>
            </m:oMathPara>
          </w:p>
        </w:tc>
      </w:tr>
      <w:tr w:rsidR="00D35D27" w:rsidRPr="00DD0A30" w14:paraId="28860ACF" w14:textId="77777777" w:rsidTr="00C32A61">
        <w:tc>
          <w:tcPr>
            <w:tcW w:w="1754" w:type="pct"/>
          </w:tcPr>
          <w:p w14:paraId="009CE62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Group-level Elo controls</w:t>
            </w:r>
          </w:p>
        </w:tc>
        <w:tc>
          <w:tcPr>
            <w:tcW w:w="723" w:type="pct"/>
          </w:tcPr>
          <w:p w14:paraId="1E371C99" w14:textId="021DDE88"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817" w:type="pct"/>
          </w:tcPr>
          <w:p w14:paraId="4350E1AA" w14:textId="4E29BBA3"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836" w:type="pct"/>
          </w:tcPr>
          <w:p w14:paraId="10EE1210" w14:textId="5282B59D"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869" w:type="pct"/>
          </w:tcPr>
          <w:p w14:paraId="18379CC6" w14:textId="63301989"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r>
      <w:tr w:rsidR="00D35D27" w:rsidRPr="00DD0A30" w14:paraId="7E90A42A" w14:textId="77777777" w:rsidTr="00C32A61">
        <w:tc>
          <w:tcPr>
            <w:tcW w:w="1754" w:type="pct"/>
          </w:tcPr>
          <w:p w14:paraId="3959677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Year trend</w:t>
            </w:r>
          </w:p>
        </w:tc>
        <w:tc>
          <w:tcPr>
            <w:tcW w:w="723" w:type="pct"/>
          </w:tcPr>
          <w:p w14:paraId="35E3FA68" w14:textId="123486AB"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817" w:type="pct"/>
          </w:tcPr>
          <w:p w14:paraId="060A3303" w14:textId="436C7874"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c>
          <w:tcPr>
            <w:tcW w:w="836" w:type="pct"/>
          </w:tcPr>
          <w:p w14:paraId="5053BBA7" w14:textId="40756216"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NO</w:t>
            </w:r>
          </w:p>
        </w:tc>
        <w:tc>
          <w:tcPr>
            <w:tcW w:w="869" w:type="pct"/>
          </w:tcPr>
          <w:p w14:paraId="3752CD09" w14:textId="334D59B1" w:rsidR="00D35D27" w:rsidRPr="00DD0A30" w:rsidRDefault="00C32A61" w:rsidP="00DD0A30">
            <w:pPr>
              <w:pStyle w:val="Compact"/>
              <w:spacing w:line="360" w:lineRule="auto"/>
              <w:jc w:val="both"/>
              <w:rPr>
                <w:rFonts w:ascii="Times New Roman" w:hAnsi="Times New Roman" w:cs="Times New Roman"/>
                <w:sz w:val="22"/>
                <w:szCs w:val="22"/>
              </w:rPr>
            </w:pPr>
            <w:r>
              <w:rPr>
                <w:rFonts w:ascii="Times New Roman" w:hAnsi="Times New Roman" w:cs="Times New Roman"/>
                <w:sz w:val="22"/>
                <w:szCs w:val="22"/>
              </w:rPr>
              <w:t>YES</w:t>
            </w:r>
          </w:p>
        </w:tc>
      </w:tr>
      <w:tr w:rsidR="00D35D27" w:rsidRPr="00DD0A30" w14:paraId="57BF069B" w14:textId="77777777" w:rsidTr="00C32A61">
        <w:tc>
          <w:tcPr>
            <w:tcW w:w="1754" w:type="pct"/>
            <w:tcBorders>
              <w:bottom w:val="single" w:sz="4" w:space="0" w:color="auto"/>
            </w:tcBorders>
          </w:tcPr>
          <w:p w14:paraId="0DF6CD8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Observations</w:t>
            </w:r>
          </w:p>
        </w:tc>
        <w:tc>
          <w:tcPr>
            <w:tcW w:w="723" w:type="pct"/>
            <w:tcBorders>
              <w:bottom w:val="single" w:sz="4" w:space="0" w:color="auto"/>
            </w:tcBorders>
          </w:tcPr>
          <w:p w14:paraId="5038827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10,833</w:t>
            </w:r>
          </w:p>
        </w:tc>
        <w:tc>
          <w:tcPr>
            <w:tcW w:w="817" w:type="pct"/>
            <w:tcBorders>
              <w:bottom w:val="single" w:sz="4" w:space="0" w:color="auto"/>
            </w:tcBorders>
          </w:tcPr>
          <w:p w14:paraId="22F142A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10,833</w:t>
            </w:r>
          </w:p>
        </w:tc>
        <w:tc>
          <w:tcPr>
            <w:tcW w:w="836" w:type="pct"/>
            <w:tcBorders>
              <w:bottom w:val="single" w:sz="4" w:space="0" w:color="auto"/>
            </w:tcBorders>
          </w:tcPr>
          <w:p w14:paraId="1C96E87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10,833</w:t>
            </w:r>
          </w:p>
        </w:tc>
        <w:tc>
          <w:tcPr>
            <w:tcW w:w="869" w:type="pct"/>
            <w:tcBorders>
              <w:bottom w:val="single" w:sz="4" w:space="0" w:color="auto"/>
            </w:tcBorders>
          </w:tcPr>
          <w:p w14:paraId="646026D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10,833</w:t>
            </w:r>
          </w:p>
        </w:tc>
      </w:tr>
      <w:tr w:rsidR="00D35D27" w:rsidRPr="00DD0A30" w14:paraId="3B837B77" w14:textId="77777777" w:rsidTr="00C32A61">
        <w:tc>
          <w:tcPr>
            <w:tcW w:w="5000" w:type="pct"/>
            <w:gridSpan w:val="5"/>
            <w:tcBorders>
              <w:top w:val="single" w:sz="4" w:space="0" w:color="auto"/>
            </w:tcBorders>
          </w:tcPr>
          <w:p w14:paraId="566D55D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i/>
                <w:iCs/>
                <w:sz w:val="22"/>
                <w:szCs w:val="22"/>
              </w:rPr>
              <w:t>Panel B: Robustness — FIFA_rule only (all specifications include year trend)</w:t>
            </w:r>
          </w:p>
        </w:tc>
      </w:tr>
      <w:tr w:rsidR="00D35D27" w:rsidRPr="00DD0A30" w14:paraId="19F8D695" w14:textId="77777777" w:rsidTr="00C32A61">
        <w:tc>
          <w:tcPr>
            <w:tcW w:w="1754" w:type="pct"/>
          </w:tcPr>
          <w:p w14:paraId="3E2453F4"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Borders>
              <w:bottom w:val="single" w:sz="4" w:space="0" w:color="auto"/>
            </w:tcBorders>
          </w:tcPr>
          <w:p w14:paraId="12B59BAC" w14:textId="77777777" w:rsidR="00D35D27" w:rsidRPr="00DD0A30" w:rsidRDefault="00000000" w:rsidP="00C32A61">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MBM-A</w:t>
            </w:r>
          </w:p>
        </w:tc>
        <w:tc>
          <w:tcPr>
            <w:tcW w:w="1705" w:type="pct"/>
            <w:gridSpan w:val="2"/>
            <w:tcBorders>
              <w:bottom w:val="single" w:sz="4" w:space="0" w:color="auto"/>
            </w:tcBorders>
          </w:tcPr>
          <w:p w14:paraId="5C21DBC4" w14:textId="77777777" w:rsidR="00D35D27" w:rsidRPr="00DD0A30" w:rsidRDefault="00000000" w:rsidP="00C32A61">
            <w:pPr>
              <w:pStyle w:val="Compact"/>
              <w:spacing w:line="360" w:lineRule="auto"/>
              <w:jc w:val="center"/>
              <w:rPr>
                <w:rFonts w:ascii="Times New Roman" w:hAnsi="Times New Roman" w:cs="Times New Roman"/>
                <w:sz w:val="22"/>
                <w:szCs w:val="22"/>
              </w:rPr>
            </w:pPr>
            <w:r w:rsidRPr="00DD0A30">
              <w:rPr>
                <w:rFonts w:ascii="Times New Roman" w:hAnsi="Times New Roman" w:cs="Times New Roman"/>
                <w:sz w:val="22"/>
                <w:szCs w:val="22"/>
              </w:rPr>
              <w:t>MBM-B</w:t>
            </w:r>
          </w:p>
        </w:tc>
      </w:tr>
      <w:tr w:rsidR="00D35D27" w:rsidRPr="00DD0A30" w14:paraId="01B22237" w14:textId="77777777" w:rsidTr="00C32A61">
        <w:tc>
          <w:tcPr>
            <w:tcW w:w="1754" w:type="pct"/>
          </w:tcPr>
          <w:p w14:paraId="7A4CC693" w14:textId="114F41AC"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Two qualifying teams</w:t>
            </w:r>
          </w:p>
        </w:tc>
        <w:tc>
          <w:tcPr>
            <w:tcW w:w="1541" w:type="pct"/>
            <w:gridSpan w:val="2"/>
            <w:tcBorders>
              <w:top w:val="single" w:sz="4" w:space="0" w:color="auto"/>
            </w:tcBorders>
          </w:tcPr>
          <w:p w14:paraId="6E6AFB4C"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0.084</m:t>
                </m:r>
              </m:oMath>
            </m:oMathPara>
          </w:p>
        </w:tc>
        <w:tc>
          <w:tcPr>
            <w:tcW w:w="1705" w:type="pct"/>
            <w:gridSpan w:val="2"/>
            <w:tcBorders>
              <w:top w:val="single" w:sz="4" w:space="0" w:color="auto"/>
            </w:tcBorders>
          </w:tcPr>
          <w:p w14:paraId="1937833B"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0.049</m:t>
                </m:r>
              </m:oMath>
            </m:oMathPara>
          </w:p>
        </w:tc>
      </w:tr>
      <w:tr w:rsidR="00D35D27" w:rsidRPr="00DD0A30" w14:paraId="55FC92B1" w14:textId="77777777" w:rsidTr="00C32A61">
        <w:tc>
          <w:tcPr>
            <w:tcW w:w="1754" w:type="pct"/>
          </w:tcPr>
          <w:p w14:paraId="29D738CD"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Pr>
          <w:p w14:paraId="40AAD96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0.095</m:t>
                </m:r>
                <m:r>
                  <m:rPr>
                    <m:sty m:val="p"/>
                  </m:rPr>
                  <w:rPr>
                    <w:rFonts w:ascii="Cambria Math" w:hAnsi="Cambria Math" w:cs="Times New Roman"/>
                    <w:sz w:val="22"/>
                    <w:szCs w:val="22"/>
                  </w:rPr>
                  <m:t>)</m:t>
                </m:r>
              </m:oMath>
            </m:oMathPara>
          </w:p>
        </w:tc>
        <w:tc>
          <w:tcPr>
            <w:tcW w:w="1705" w:type="pct"/>
            <w:gridSpan w:val="2"/>
          </w:tcPr>
          <w:p w14:paraId="756244F6"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0.052</m:t>
                </m:r>
                <m:r>
                  <m:rPr>
                    <m:sty m:val="p"/>
                  </m:rPr>
                  <w:rPr>
                    <w:rFonts w:ascii="Cambria Math" w:hAnsi="Cambria Math" w:cs="Times New Roman"/>
                    <w:sz w:val="22"/>
                    <w:szCs w:val="22"/>
                  </w:rPr>
                  <m:t>)</m:t>
                </m:r>
              </m:oMath>
            </m:oMathPara>
          </w:p>
        </w:tc>
      </w:tr>
      <w:tr w:rsidR="00D35D27" w:rsidRPr="00DD0A30" w14:paraId="075E23D6" w14:textId="77777777" w:rsidTr="00C32A61">
        <w:tc>
          <w:tcPr>
            <w:tcW w:w="1754" w:type="pct"/>
          </w:tcPr>
          <w:p w14:paraId="55947DE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Three qualifying teams</w:t>
            </w:r>
          </w:p>
        </w:tc>
        <w:tc>
          <w:tcPr>
            <w:tcW w:w="1541" w:type="pct"/>
            <w:gridSpan w:val="2"/>
          </w:tcPr>
          <w:p w14:paraId="3CAF969C"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0.219</m:t>
                </m:r>
              </m:oMath>
            </m:oMathPara>
          </w:p>
        </w:tc>
        <w:tc>
          <w:tcPr>
            <w:tcW w:w="1705" w:type="pct"/>
            <w:gridSpan w:val="2"/>
          </w:tcPr>
          <w:p w14:paraId="3731AA46"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0.073</m:t>
                </m:r>
              </m:oMath>
            </m:oMathPara>
          </w:p>
        </w:tc>
      </w:tr>
      <w:tr w:rsidR="00D35D27" w:rsidRPr="00DD0A30" w14:paraId="6A08520E" w14:textId="77777777" w:rsidTr="00C32A61">
        <w:tc>
          <w:tcPr>
            <w:tcW w:w="1754" w:type="pct"/>
          </w:tcPr>
          <w:p w14:paraId="41918B81"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Pr>
          <w:p w14:paraId="07A1A7A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0.753</m:t>
                </m:r>
                <m:r>
                  <m:rPr>
                    <m:sty m:val="p"/>
                  </m:rPr>
                  <w:rPr>
                    <w:rFonts w:ascii="Cambria Math" w:hAnsi="Cambria Math" w:cs="Times New Roman"/>
                    <w:sz w:val="22"/>
                    <w:szCs w:val="22"/>
                  </w:rPr>
                  <m:t>)</m:t>
                </m:r>
              </m:oMath>
            </m:oMathPara>
          </w:p>
        </w:tc>
        <w:tc>
          <w:tcPr>
            <w:tcW w:w="1705" w:type="pct"/>
            <w:gridSpan w:val="2"/>
          </w:tcPr>
          <w:p w14:paraId="5FA8CE89"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0.525</m:t>
                </m:r>
                <m:r>
                  <m:rPr>
                    <m:sty m:val="p"/>
                  </m:rPr>
                  <w:rPr>
                    <w:rFonts w:ascii="Cambria Math" w:hAnsi="Cambria Math" w:cs="Times New Roman"/>
                    <w:sz w:val="22"/>
                    <w:szCs w:val="22"/>
                  </w:rPr>
                  <m:t>)</m:t>
                </m:r>
              </m:oMath>
            </m:oMathPara>
          </w:p>
        </w:tc>
      </w:tr>
      <w:tr w:rsidR="00D35D27" w:rsidRPr="00DD0A30" w14:paraId="04B27251" w14:textId="77777777" w:rsidTr="00C32A61">
        <w:tc>
          <w:tcPr>
            <w:tcW w:w="1754" w:type="pct"/>
          </w:tcPr>
          <w:p w14:paraId="5C40DFB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2-points rule (</w:t>
            </w:r>
            <m:oMath>
              <m:r>
                <m:rPr>
                  <m:sty m:val="p"/>
                </m:rPr>
                <w:rPr>
                  <w:rFonts w:ascii="Cambria Math" w:hAnsi="Cambria Math" w:cs="Times New Roman"/>
                  <w:sz w:val="22"/>
                  <w:szCs w:val="22"/>
                </w:rPr>
                <m:t>≤</m:t>
              </m:r>
              <m:r>
                <w:rPr>
                  <w:rFonts w:ascii="Cambria Math" w:hAnsi="Cambria Math" w:cs="Times New Roman"/>
                  <w:sz w:val="22"/>
                  <w:szCs w:val="22"/>
                </w:rPr>
                <m:t>1992</m:t>
              </m:r>
            </m:oMath>
            <w:r w:rsidRPr="00DD0A30">
              <w:rPr>
                <w:rFonts w:ascii="Times New Roman" w:hAnsi="Times New Roman" w:cs="Times New Roman"/>
                <w:sz w:val="22"/>
                <w:szCs w:val="22"/>
              </w:rPr>
              <w:t>)</w:t>
            </w:r>
          </w:p>
        </w:tc>
        <w:tc>
          <w:tcPr>
            <w:tcW w:w="1541" w:type="pct"/>
            <w:gridSpan w:val="2"/>
          </w:tcPr>
          <w:p w14:paraId="3FD265C3"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0.265</m:t>
                </m:r>
              </m:oMath>
            </m:oMathPara>
          </w:p>
        </w:tc>
        <w:tc>
          <w:tcPr>
            <w:tcW w:w="1705" w:type="pct"/>
            <w:gridSpan w:val="2"/>
          </w:tcPr>
          <w:p w14:paraId="0596C93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sSup>
                  <m:sSupPr>
                    <m:ctrlPr>
                      <w:rPr>
                        <w:rFonts w:ascii="Cambria Math" w:hAnsi="Cambria Math" w:cs="Times New Roman"/>
                        <w:sz w:val="22"/>
                        <w:szCs w:val="22"/>
                      </w:rPr>
                    </m:ctrlPr>
                  </m:sSupPr>
                  <m:e>
                    <m:r>
                      <w:rPr>
                        <w:rFonts w:ascii="Cambria Math" w:hAnsi="Cambria Math" w:cs="Times New Roman"/>
                        <w:sz w:val="22"/>
                        <w:szCs w:val="22"/>
                      </w:rPr>
                      <m:t>0.290</m:t>
                    </m:r>
                  </m:e>
                  <m:sup>
                    <m:r>
                      <m:rPr>
                        <m:sty m:val="p"/>
                      </m:rPr>
                      <w:rPr>
                        <w:rFonts w:ascii="Cambria Math" w:hAnsi="Cambria Math" w:cs="Times New Roman"/>
                        <w:sz w:val="22"/>
                        <w:szCs w:val="22"/>
                      </w:rPr>
                      <m:t>**</m:t>
                    </m:r>
                  </m:sup>
                </m:sSup>
              </m:oMath>
            </m:oMathPara>
          </w:p>
        </w:tc>
      </w:tr>
      <w:tr w:rsidR="00D35D27" w:rsidRPr="00DD0A30" w14:paraId="5D763C2A" w14:textId="77777777" w:rsidTr="00C32A61">
        <w:tc>
          <w:tcPr>
            <w:tcW w:w="1754" w:type="pct"/>
          </w:tcPr>
          <w:p w14:paraId="4CD84266"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Pr>
          <w:p w14:paraId="1F782D0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0.278</m:t>
                </m:r>
                <m:r>
                  <m:rPr>
                    <m:sty m:val="p"/>
                  </m:rPr>
                  <w:rPr>
                    <w:rFonts w:ascii="Cambria Math" w:hAnsi="Cambria Math" w:cs="Times New Roman"/>
                    <w:sz w:val="22"/>
                    <w:szCs w:val="22"/>
                  </w:rPr>
                  <m:t>)</m:t>
                </m:r>
              </m:oMath>
            </m:oMathPara>
          </w:p>
        </w:tc>
        <w:tc>
          <w:tcPr>
            <w:tcW w:w="1705" w:type="pct"/>
            <w:gridSpan w:val="2"/>
          </w:tcPr>
          <w:p w14:paraId="6063530E"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0.142</m:t>
                </m:r>
                <m:r>
                  <m:rPr>
                    <m:sty m:val="p"/>
                  </m:rPr>
                  <w:rPr>
                    <w:rFonts w:ascii="Cambria Math" w:hAnsi="Cambria Math" w:cs="Times New Roman"/>
                    <w:sz w:val="22"/>
                    <w:szCs w:val="22"/>
                  </w:rPr>
                  <m:t>)</m:t>
                </m:r>
              </m:oMath>
            </m:oMathPara>
          </w:p>
        </w:tc>
      </w:tr>
      <w:tr w:rsidR="00D35D27" w:rsidRPr="00DD0A30" w14:paraId="336E4BD1" w14:textId="77777777" w:rsidTr="00C32A61">
        <w:tc>
          <w:tcPr>
            <w:tcW w:w="1754" w:type="pct"/>
          </w:tcPr>
          <w:p w14:paraId="1BEF0FA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3-points rule (</w:t>
            </w:r>
            <m:oMath>
              <m:r>
                <m:rPr>
                  <m:sty m:val="p"/>
                </m:rPr>
                <w:rPr>
                  <w:rFonts w:ascii="Cambria Math" w:hAnsi="Cambria Math" w:cs="Times New Roman"/>
                  <w:sz w:val="22"/>
                  <w:szCs w:val="22"/>
                </w:rPr>
                <m:t>&gt;</m:t>
              </m:r>
              <m:r>
                <w:rPr>
                  <w:rFonts w:ascii="Cambria Math" w:hAnsi="Cambria Math" w:cs="Times New Roman"/>
                  <w:sz w:val="22"/>
                  <w:szCs w:val="22"/>
                </w:rPr>
                <m:t>1992</m:t>
              </m:r>
            </m:oMath>
            <w:r w:rsidRPr="00DD0A30">
              <w:rPr>
                <w:rFonts w:ascii="Times New Roman" w:hAnsi="Times New Roman" w:cs="Times New Roman"/>
                <w:sz w:val="22"/>
                <w:szCs w:val="22"/>
              </w:rPr>
              <w:t>)</w:t>
            </w:r>
          </w:p>
        </w:tc>
        <w:tc>
          <w:tcPr>
            <w:tcW w:w="1541" w:type="pct"/>
            <w:gridSpan w:val="2"/>
          </w:tcPr>
          <w:p w14:paraId="3D38E8FD"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phant>
                  <m:phantPr>
                    <m:show m:val="0"/>
                    <m:ctrlPr>
                      <w:rPr>
                        <w:rFonts w:ascii="Cambria Math" w:hAnsi="Cambria Math" w:cs="Times New Roman"/>
                        <w:sz w:val="22"/>
                        <w:szCs w:val="22"/>
                      </w:rPr>
                    </m:ctrlPr>
                  </m:phantPr>
                  <m:e>
                    <m:r>
                      <m:rPr>
                        <m:sty m:val="p"/>
                      </m:rPr>
                      <w:rPr>
                        <w:rFonts w:ascii="Cambria Math" w:hAnsi="Cambria Math" w:cs="Times New Roman"/>
                        <w:sz w:val="22"/>
                        <w:szCs w:val="22"/>
                      </w:rPr>
                      <m:t>-</m:t>
                    </m:r>
                  </m:e>
                </m:phant>
                <m:r>
                  <w:rPr>
                    <w:rFonts w:ascii="Cambria Math" w:hAnsi="Cambria Math" w:cs="Times New Roman"/>
                    <w:sz w:val="22"/>
                    <w:szCs w:val="22"/>
                  </w:rPr>
                  <m:t>0.014</m:t>
                </m:r>
              </m:oMath>
            </m:oMathPara>
          </w:p>
        </w:tc>
        <w:tc>
          <w:tcPr>
            <w:tcW w:w="1705" w:type="pct"/>
            <w:gridSpan w:val="2"/>
          </w:tcPr>
          <w:p w14:paraId="4B4F11E5"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0.105</m:t>
                    </m:r>
                  </m:e>
                  <m:sup>
                    <m:r>
                      <m:rPr>
                        <m:sty m:val="p"/>
                      </m:rPr>
                      <w:rPr>
                        <w:rFonts w:ascii="Cambria Math" w:hAnsi="Cambria Math" w:cs="Times New Roman"/>
                        <w:sz w:val="22"/>
                        <w:szCs w:val="22"/>
                      </w:rPr>
                      <m:t>**</m:t>
                    </m:r>
                  </m:sup>
                </m:sSup>
              </m:oMath>
            </m:oMathPara>
          </w:p>
        </w:tc>
      </w:tr>
      <w:tr w:rsidR="00D35D27" w:rsidRPr="00DD0A30" w14:paraId="0F6C4416" w14:textId="77777777" w:rsidTr="00C32A61">
        <w:tc>
          <w:tcPr>
            <w:tcW w:w="1754" w:type="pct"/>
          </w:tcPr>
          <w:p w14:paraId="295F71A9"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Pr>
          <w:p w14:paraId="4D9826F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0.086</m:t>
                </m:r>
                <m:r>
                  <m:rPr>
                    <m:sty m:val="p"/>
                  </m:rPr>
                  <w:rPr>
                    <w:rFonts w:ascii="Cambria Math" w:hAnsi="Cambria Math" w:cs="Times New Roman"/>
                    <w:sz w:val="22"/>
                    <w:szCs w:val="22"/>
                  </w:rPr>
                  <m:t>)</m:t>
                </m:r>
              </m:oMath>
            </m:oMathPara>
          </w:p>
        </w:tc>
        <w:tc>
          <w:tcPr>
            <w:tcW w:w="1705" w:type="pct"/>
            <w:gridSpan w:val="2"/>
          </w:tcPr>
          <w:p w14:paraId="611C22B4"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0.046</m:t>
                </m:r>
                <m:r>
                  <m:rPr>
                    <m:sty m:val="p"/>
                  </m:rPr>
                  <w:rPr>
                    <w:rFonts w:ascii="Cambria Math" w:hAnsi="Cambria Math" w:cs="Times New Roman"/>
                    <w:sz w:val="22"/>
                    <w:szCs w:val="22"/>
                  </w:rPr>
                  <m:t>)</m:t>
                </m:r>
              </m:oMath>
            </m:oMathPara>
          </w:p>
        </w:tc>
      </w:tr>
      <w:tr w:rsidR="00D35D27" w:rsidRPr="00DD0A30" w14:paraId="70589068" w14:textId="77777777" w:rsidTr="00C32A61">
        <w:tc>
          <w:tcPr>
            <w:tcW w:w="1754" w:type="pct"/>
          </w:tcPr>
          <w:p w14:paraId="477CBAA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common support</w:t>
            </w:r>
          </w:p>
        </w:tc>
        <w:tc>
          <w:tcPr>
            <w:tcW w:w="1541" w:type="pct"/>
            <w:gridSpan w:val="2"/>
          </w:tcPr>
          <w:p w14:paraId="1711C7DA"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0.012</m:t>
                </m:r>
              </m:oMath>
            </m:oMathPara>
          </w:p>
        </w:tc>
        <w:tc>
          <w:tcPr>
            <w:tcW w:w="1705" w:type="pct"/>
            <w:gridSpan w:val="2"/>
          </w:tcPr>
          <w:p w14:paraId="202CC399"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0.083</m:t>
                    </m:r>
                  </m:e>
                  <m:sup>
                    <m:r>
                      <m:rPr>
                        <m:sty m:val="p"/>
                      </m:rPr>
                      <w:rPr>
                        <w:rFonts w:ascii="Cambria Math" w:hAnsi="Cambria Math" w:cs="Times New Roman"/>
                        <w:sz w:val="22"/>
                        <w:szCs w:val="22"/>
                      </w:rPr>
                      <m:t>*</m:t>
                    </m:r>
                  </m:sup>
                </m:sSup>
              </m:oMath>
            </m:oMathPara>
          </w:p>
        </w:tc>
      </w:tr>
      <w:tr w:rsidR="00D35D27" w:rsidRPr="00DD0A30" w14:paraId="3AB430C2" w14:textId="77777777" w:rsidTr="00C32A61">
        <w:tc>
          <w:tcPr>
            <w:tcW w:w="1754" w:type="pct"/>
            <w:tcBorders>
              <w:bottom w:val="single" w:sz="4" w:space="0" w:color="auto"/>
            </w:tcBorders>
          </w:tcPr>
          <w:p w14:paraId="10A8DF18"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1541" w:type="pct"/>
            <w:gridSpan w:val="2"/>
            <w:tcBorders>
              <w:bottom w:val="single" w:sz="4" w:space="0" w:color="auto"/>
            </w:tcBorders>
          </w:tcPr>
          <w:p w14:paraId="39835231"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0.084</m:t>
                </m:r>
                <m:r>
                  <m:rPr>
                    <m:sty m:val="p"/>
                  </m:rPr>
                  <w:rPr>
                    <w:rFonts w:ascii="Cambria Math" w:hAnsi="Cambria Math" w:cs="Times New Roman"/>
                    <w:sz w:val="22"/>
                    <w:szCs w:val="22"/>
                  </w:rPr>
                  <m:t>)</m:t>
                </m:r>
              </m:oMath>
            </m:oMathPara>
          </w:p>
        </w:tc>
        <w:tc>
          <w:tcPr>
            <w:tcW w:w="1705" w:type="pct"/>
            <w:gridSpan w:val="2"/>
            <w:tcBorders>
              <w:bottom w:val="single" w:sz="4" w:space="0" w:color="auto"/>
            </w:tcBorders>
          </w:tcPr>
          <w:p w14:paraId="7DF4FDA9" w14:textId="77777777" w:rsidR="00D35D27" w:rsidRPr="00DD0A30" w:rsidRDefault="00000000" w:rsidP="00DD0A30">
            <w:pPr>
              <w:pStyle w:val="Compact"/>
              <w:spacing w:line="360" w:lineRule="auto"/>
              <w:jc w:val="both"/>
              <w:rPr>
                <w:rFonts w:ascii="Times New Roman" w:hAnsi="Times New Roman" w:cs="Times New Roman"/>
                <w:sz w:val="22"/>
                <w:szCs w:val="22"/>
              </w:rPr>
            </w:pPr>
            <m:oMathPara>
              <m:oMath>
                <m:r>
                  <m:rPr>
                    <m:sty m:val="p"/>
                  </m:rPr>
                  <w:rPr>
                    <w:rFonts w:ascii="Cambria Math" w:hAnsi="Cambria Math" w:cs="Times New Roman"/>
                    <w:sz w:val="22"/>
                    <w:szCs w:val="22"/>
                  </w:rPr>
                  <m:t>(</m:t>
                </m:r>
                <m:r>
                  <w:rPr>
                    <w:rFonts w:ascii="Cambria Math" w:hAnsi="Cambria Math" w:cs="Times New Roman"/>
                    <w:sz w:val="22"/>
                    <w:szCs w:val="22"/>
                  </w:rPr>
                  <m:t>0.048</m:t>
                </m:r>
                <m:r>
                  <m:rPr>
                    <m:sty m:val="p"/>
                  </m:rPr>
                  <w:rPr>
                    <w:rFonts w:ascii="Cambria Math" w:hAnsi="Cambria Math" w:cs="Times New Roman"/>
                    <w:sz w:val="22"/>
                    <w:szCs w:val="22"/>
                  </w:rPr>
                  <m:t>)</m:t>
                </m:r>
              </m:oMath>
            </m:oMathPara>
          </w:p>
        </w:tc>
      </w:tr>
    </w:tbl>
    <w:bookmarkEnd w:id="24"/>
    <w:p w14:paraId="2DBF5FC4" w14:textId="77777777" w:rsidR="00D35D27" w:rsidRPr="00C32A61" w:rsidRDefault="00000000" w:rsidP="00DD0A30">
      <w:pPr>
        <w:pStyle w:val="BodyText"/>
        <w:spacing w:line="360" w:lineRule="auto"/>
        <w:jc w:val="both"/>
        <w:rPr>
          <w:rFonts w:ascii="Times New Roman" w:hAnsi="Times New Roman" w:cs="Times New Roman"/>
          <w:sz w:val="18"/>
          <w:szCs w:val="18"/>
        </w:rPr>
      </w:pPr>
      <w:r w:rsidRPr="00C32A61">
        <w:rPr>
          <w:rFonts w:ascii="Times New Roman" w:hAnsi="Times New Roman" w:cs="Times New Roman"/>
          <w:i/>
          <w:iCs/>
          <w:sz w:val="18"/>
          <w:szCs w:val="18"/>
        </w:rPr>
        <w:t>Notes:</w:t>
      </w:r>
      <w:r w:rsidRPr="00C32A61">
        <w:rPr>
          <w:rFonts w:ascii="Times New Roman" w:hAnsi="Times New Roman" w:cs="Times New Roman"/>
          <w:sz w:val="18"/>
          <w:szCs w:val="18"/>
        </w:rPr>
        <w:t xml:space="preserve"> Logit models estimated on the minute-by-minute (MBM) dataset. MBM-A uses the binary </w:t>
      </w:r>
      <w:r w:rsidRPr="00C32A61">
        <w:rPr>
          <w:rFonts w:ascii="Times New Roman" w:hAnsi="Times New Roman" w:cs="Times New Roman"/>
          <w:i/>
          <w:iCs/>
          <w:sz w:val="18"/>
          <w:szCs w:val="18"/>
        </w:rPr>
        <w:t>suspense</w:t>
      </w:r>
      <w:r w:rsidRPr="00C32A61">
        <w:rPr>
          <w:rFonts w:ascii="Times New Roman" w:hAnsi="Times New Roman" w:cs="Times New Roman"/>
          <w:sz w:val="18"/>
          <w:szCs w:val="18"/>
        </w:rPr>
        <w:t xml:space="preserve"> indicator as the dependent variable; MBM-B uses </w:t>
      </w:r>
      <w:r w:rsidRPr="00C32A61">
        <w:rPr>
          <w:rFonts w:ascii="Times New Roman" w:hAnsi="Times New Roman" w:cs="Times New Roman"/>
          <w:i/>
          <w:iCs/>
          <w:sz w:val="18"/>
          <w:szCs w:val="18"/>
        </w:rPr>
        <w:t>qual_changed</w:t>
      </w:r>
      <w:r w:rsidRPr="00C32A61">
        <w:rPr>
          <w:rFonts w:ascii="Times New Roman" w:hAnsi="Times New Roman" w:cs="Times New Roman"/>
          <w:sz w:val="18"/>
          <w:szCs w:val="18"/>
        </w:rPr>
        <w:t>, a binary indicator equal to 1 when the qualifying composition changes at that minute. Group-level Elo ranks (</w:t>
      </w:r>
      <w:r w:rsidRPr="00C32A61">
        <w:rPr>
          <w:rFonts w:ascii="Times New Roman" w:hAnsi="Times New Roman" w:cs="Times New Roman"/>
          <w:i/>
          <w:iCs/>
          <w:sz w:val="18"/>
          <w:szCs w:val="18"/>
        </w:rPr>
        <w:t>elo1st</w:t>
      </w:r>
      <w:r w:rsidRPr="00C32A61">
        <w:rPr>
          <w:rFonts w:ascii="Times New Roman" w:hAnsi="Times New Roman" w:cs="Times New Roman"/>
          <w:sz w:val="18"/>
          <w:szCs w:val="18"/>
        </w:rPr>
        <w:t>–</w:t>
      </w:r>
      <w:r w:rsidRPr="00C32A61">
        <w:rPr>
          <w:rFonts w:ascii="Times New Roman" w:hAnsi="Times New Roman" w:cs="Times New Roman"/>
          <w:i/>
          <w:iCs/>
          <w:sz w:val="18"/>
          <w:szCs w:val="18"/>
        </w:rPr>
        <w:t>elo4th</w:t>
      </w:r>
      <w:r w:rsidRPr="00C32A61">
        <w:rPr>
          <w:rFonts w:ascii="Times New Roman" w:hAnsi="Times New Roman" w:cs="Times New Roman"/>
          <w:sz w:val="18"/>
          <w:szCs w:val="18"/>
        </w:rPr>
        <w:t>) are included as controls in all specifications. Standard errors are clustered at the group (year </w:t>
      </w:r>
      <m:oMath>
        <m:r>
          <m:rPr>
            <m:sty m:val="p"/>
          </m:rPr>
          <w:rPr>
            <w:rFonts w:ascii="Cambria Math" w:hAnsi="Cambria Math" w:cs="Times New Roman"/>
            <w:sz w:val="18"/>
            <w:szCs w:val="18"/>
          </w:rPr>
          <m:t>×</m:t>
        </m:r>
      </m:oMath>
      <w:r w:rsidRPr="00C32A61">
        <w:rPr>
          <w:rFonts w:ascii="Times New Roman" w:hAnsi="Times New Roman" w:cs="Times New Roman"/>
          <w:sz w:val="18"/>
          <w:szCs w:val="18"/>
        </w:rPr>
        <w:t> stage) level. Panel B robustness samples follow the same definitions as in Table </w:t>
      </w:r>
      <w:hyperlink w:anchor="tab:reg_grp">
        <w:r w:rsidR="00D35D27" w:rsidRPr="00C32A61">
          <w:rPr>
            <w:rStyle w:val="Hyperlink"/>
            <w:rFonts w:ascii="Times New Roman" w:hAnsi="Times New Roman" w:cs="Times New Roman"/>
            <w:sz w:val="18"/>
            <w:szCs w:val="18"/>
          </w:rPr>
          <w:t>4</w:t>
        </w:r>
      </w:hyperlink>
      <w:r w:rsidRPr="00C32A61">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0.10</m:t>
        </m:r>
      </m:oMath>
      <w:r w:rsidRPr="00C32A61">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0.05</m:t>
        </m:r>
      </m:oMath>
      <w:r w:rsidRPr="00C32A61">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m:t>
            </m:r>
          </m:e>
          <m:sup>
            <m:r>
              <m:rPr>
                <m:sty m:val="p"/>
              </m:rPr>
              <w:rPr>
                <w:rFonts w:ascii="Cambria Math" w:hAnsi="Cambria Math" w:cs="Times New Roman"/>
                <w:sz w:val="18"/>
                <w:szCs w:val="18"/>
              </w:rPr>
              <m:t>***</m:t>
            </m:r>
          </m:sup>
        </m:sSup>
        <m:r>
          <w:rPr>
            <w:rFonts w:ascii="Cambria Math" w:hAnsi="Cambria Math" w:cs="Times New Roman"/>
            <w:sz w:val="18"/>
            <w:szCs w:val="18"/>
          </w:rPr>
          <m:t>p</m:t>
        </m:r>
        <m:r>
          <m:rPr>
            <m:sty m:val="p"/>
          </m:rPr>
          <w:rPr>
            <w:rFonts w:ascii="Cambria Math" w:hAnsi="Cambria Math" w:cs="Times New Roman"/>
            <w:sz w:val="18"/>
            <w:szCs w:val="18"/>
          </w:rPr>
          <m:t>&lt;</m:t>
        </m:r>
        <m:r>
          <w:rPr>
            <w:rFonts w:ascii="Cambria Math" w:hAnsi="Cambria Math" w:cs="Times New Roman"/>
            <w:sz w:val="18"/>
            <w:szCs w:val="18"/>
          </w:rPr>
          <m:t>0.01</m:t>
        </m:r>
      </m:oMath>
      <w:r w:rsidRPr="00C32A61">
        <w:rPr>
          <w:rFonts w:ascii="Times New Roman" w:hAnsi="Times New Roman" w:cs="Times New Roman"/>
          <w:sz w:val="18"/>
          <w:szCs w:val="18"/>
        </w:rPr>
        <w:t>.</w:t>
      </w:r>
    </w:p>
    <w:p w14:paraId="21C99B27" w14:textId="43D7CE1E" w:rsidR="00D35D27" w:rsidRPr="00216A31" w:rsidRDefault="00000000" w:rsidP="00216A31">
      <w:pPr>
        <w:pStyle w:val="Heading1"/>
        <w:numPr>
          <w:ilvl w:val="0"/>
          <w:numId w:val="10"/>
        </w:numPr>
        <w:spacing w:line="360" w:lineRule="auto"/>
        <w:jc w:val="both"/>
        <w:rPr>
          <w:rFonts w:ascii="Times New Roman" w:hAnsi="Times New Roman" w:cs="Times New Roman"/>
          <w:b/>
          <w:bCs/>
          <w:color w:val="auto"/>
          <w:sz w:val="22"/>
          <w:szCs w:val="22"/>
        </w:rPr>
      </w:pPr>
      <w:bookmarkStart w:id="25" w:name="sec:conclusion"/>
      <w:bookmarkEnd w:id="6"/>
      <w:bookmarkEnd w:id="16"/>
      <w:bookmarkEnd w:id="21"/>
      <w:r w:rsidRPr="00216A31">
        <w:rPr>
          <w:rFonts w:ascii="Times New Roman" w:hAnsi="Times New Roman" w:cs="Times New Roman"/>
          <w:b/>
          <w:bCs/>
          <w:color w:val="auto"/>
          <w:sz w:val="22"/>
          <w:szCs w:val="22"/>
        </w:rPr>
        <w:t>Conclusion</w:t>
      </w:r>
    </w:p>
    <w:p w14:paraId="4E51DC71"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This paper was motivated by the question of how alternative tie-breaking criteria shape the level of suspense in international football tournaments. Tie-breaking rules are not merely technical details: they influence the perceived attractiveness of games, with potential implications for revenues, stadium attendance, and viewership. </w:t>
      </w:r>
      <w:r w:rsidRPr="00DD0A30">
        <w:rPr>
          <w:rFonts w:ascii="Times New Roman" w:hAnsi="Times New Roman" w:cs="Times New Roman"/>
          <w:sz w:val="22"/>
          <w:szCs w:val="22"/>
        </w:rPr>
        <w:lastRenderedPageBreak/>
        <w:t>By choosing one criterion over another, governing bodies implicitly decide how much uncertainty to preserve throughout the group stage.</w:t>
      </w:r>
    </w:p>
    <w:p w14:paraId="3582BA83"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We compared the two main approaches in international football: the FIFA rule, which prioritises goal difference, and the UEFA rule, which prioritises head-to-head results. Our analysis combines two complementary perspectives. Within-group paired tests establish that applying FIFA rules to the same group generates significantly more suspense than the UEFA criterion in the World Cup (</w:t>
      </w:r>
      <m:oMath>
        <m:r>
          <w:rPr>
            <w:rFonts w:ascii="Cambria Math" w:hAnsi="Cambria Math" w:cs="Times New Roman"/>
            <w:sz w:val="22"/>
            <w:szCs w:val="22"/>
          </w:rPr>
          <m:t>p</m:t>
        </m:r>
        <m:r>
          <m:rPr>
            <m:sty m:val="p"/>
          </m:rPr>
          <w:rPr>
            <w:rFonts w:ascii="Cambria Math" w:hAnsi="Cambria Math" w:cs="Times New Roman"/>
            <w:sz w:val="22"/>
            <w:szCs w:val="22"/>
          </w:rPr>
          <m:t>&lt;</m:t>
        </m:r>
        <m:r>
          <w:rPr>
            <w:rFonts w:ascii="Cambria Math" w:hAnsi="Cambria Math" w:cs="Times New Roman"/>
            <w:sz w:val="22"/>
            <w:szCs w:val="22"/>
          </w:rPr>
          <m:t>0.01</m:t>
        </m:r>
      </m:oMath>
      <w:r w:rsidRPr="00DD0A30">
        <w:rPr>
          <w:rFonts w:ascii="Times New Roman" w:hAnsi="Times New Roman" w:cs="Times New Roman"/>
          <w:sz w:val="22"/>
          <w:szCs w:val="22"/>
        </w:rPr>
        <w:t>), while the difference is insignificant in the European Championship. A cross-tournament regression controlling for competitive balance reveals another clear picture: World Cup goals are individually less likely to change the qualifying composition than European Championship goals, suggesting that the FIFA criterion distributes qualification uncertainty more evenly over the course of a group — keeping more scenarios open at any given moment — rather than concentrating it in a smaller number of pivotal goals.</w:t>
      </w:r>
    </w:p>
    <w:p w14:paraId="7339F6CC"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The European Championship serves as an informative contrast: neither the within-group tests nor the cross-tournament regression finds a statistically significant difference in suspense between the two rules. This null result underscores that the effect documented for the World Cup is specific to that competition and does not arise simply from how either rule operates in the abstract.</w:t>
      </w:r>
    </w:p>
    <w:p w14:paraId="11BDEDB1" w14:textId="77777777" w:rsidR="00D35D27"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Overall, our results establish that institutional design choices — specifically, the choice of tie-breaking criterion — have measurable consequences for the suspense experienced by the billions of fans who follow the World Cup. A rule that keeps more qualification scenarios alive for longer raises the entertainment value of each match. Our evidence points to FIFA’s goal-difference criterion as generating more sustained group-level uncertainty, a finding with direct relevance for governing bodies as they continue to revise tournament formats and seek to maximise the commercial and sporting value of their competitions.</w:t>
      </w:r>
    </w:p>
    <w:p w14:paraId="07CD5F88" w14:textId="6CD69E53" w:rsidR="008D1FC5" w:rsidRPr="008D1FC5" w:rsidRDefault="008D1FC5" w:rsidP="008D1FC5">
      <w:pPr>
        <w:pStyle w:val="Heading1"/>
        <w:spacing w:line="360" w:lineRule="auto"/>
        <w:ind w:left="717"/>
        <w:jc w:val="both"/>
        <w:rPr>
          <w:rFonts w:ascii="Times New Roman" w:hAnsi="Times New Roman" w:cs="Times New Roman"/>
          <w:b/>
          <w:bCs/>
          <w:color w:val="auto"/>
          <w:sz w:val="22"/>
          <w:szCs w:val="22"/>
        </w:rPr>
      </w:pPr>
      <w:bookmarkStart w:id="26" w:name="ref-alavy2010edge"/>
      <w:bookmarkStart w:id="27" w:name="refs"/>
      <w:r w:rsidRPr="008D1FC5">
        <w:rPr>
          <w:rFonts w:ascii="Times New Roman" w:hAnsi="Times New Roman" w:cs="Times New Roman"/>
          <w:b/>
          <w:bCs/>
          <w:color w:val="auto"/>
          <w:sz w:val="22"/>
          <w:szCs w:val="22"/>
        </w:rPr>
        <w:t>References</w:t>
      </w:r>
    </w:p>
    <w:p w14:paraId="6BAE96E1" w14:textId="77777777" w:rsidR="008D1FC5" w:rsidRPr="00DD0A30" w:rsidRDefault="008D1FC5" w:rsidP="008D1FC5">
      <w:pPr>
        <w:pStyle w:val="Bibliography"/>
        <w:spacing w:line="360" w:lineRule="auto"/>
        <w:jc w:val="both"/>
        <w:rPr>
          <w:rFonts w:ascii="Times New Roman" w:hAnsi="Times New Roman" w:cs="Times New Roman"/>
          <w:sz w:val="22"/>
          <w:szCs w:val="22"/>
        </w:rPr>
      </w:pPr>
      <w:proofErr w:type="spellStart"/>
      <w:r w:rsidRPr="00DD0A30">
        <w:rPr>
          <w:rFonts w:ascii="Times New Roman" w:hAnsi="Times New Roman" w:cs="Times New Roman"/>
          <w:sz w:val="22"/>
          <w:szCs w:val="22"/>
        </w:rPr>
        <w:t>Alavy</w:t>
      </w:r>
      <w:proofErr w:type="spellEnd"/>
      <w:r w:rsidRPr="00DD0A30">
        <w:rPr>
          <w:rFonts w:ascii="Times New Roman" w:hAnsi="Times New Roman" w:cs="Times New Roman"/>
          <w:sz w:val="22"/>
          <w:szCs w:val="22"/>
        </w:rPr>
        <w:t xml:space="preserve">, K., Gaskell, A., Leach, S., &amp; Szymanski, S. (2010). On the edge of your seat: Demand for football on television and the uncertainty of outcome hypothesis. </w:t>
      </w:r>
      <w:r w:rsidRPr="00DD0A30">
        <w:rPr>
          <w:rFonts w:ascii="Times New Roman" w:hAnsi="Times New Roman" w:cs="Times New Roman"/>
          <w:i/>
          <w:iCs/>
          <w:sz w:val="22"/>
          <w:szCs w:val="22"/>
        </w:rPr>
        <w:t>International Journal of Sport Finance</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5</w:t>
      </w:r>
      <w:r w:rsidRPr="00DD0A30">
        <w:rPr>
          <w:rFonts w:ascii="Times New Roman" w:hAnsi="Times New Roman" w:cs="Times New Roman"/>
          <w:sz w:val="22"/>
          <w:szCs w:val="22"/>
        </w:rPr>
        <w:t>(2), 75.</w:t>
      </w:r>
    </w:p>
    <w:p w14:paraId="23DF1739"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28" w:name="ref-berker2014tie"/>
      <w:bookmarkEnd w:id="26"/>
      <w:r w:rsidRPr="00DD0A30">
        <w:rPr>
          <w:rFonts w:ascii="Times New Roman" w:hAnsi="Times New Roman" w:cs="Times New Roman"/>
          <w:sz w:val="22"/>
          <w:szCs w:val="22"/>
        </w:rPr>
        <w:t xml:space="preserve">Berker, Y. (2014). Tie-breaking in round-robin soccer tournaments and its influence on the autonomy of relative rankings: UEFA vs. FIFA regulations. </w:t>
      </w:r>
      <w:r w:rsidRPr="00DD0A30">
        <w:rPr>
          <w:rFonts w:ascii="Times New Roman" w:hAnsi="Times New Roman" w:cs="Times New Roman"/>
          <w:i/>
          <w:iCs/>
          <w:sz w:val="22"/>
          <w:szCs w:val="22"/>
        </w:rPr>
        <w:t>European Sport Management Quarterly</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14</w:t>
      </w:r>
      <w:r w:rsidRPr="00DD0A30">
        <w:rPr>
          <w:rFonts w:ascii="Times New Roman" w:hAnsi="Times New Roman" w:cs="Times New Roman"/>
          <w:sz w:val="22"/>
          <w:szCs w:val="22"/>
        </w:rPr>
        <w:t>(2), 194–210.</w:t>
      </w:r>
    </w:p>
    <w:p w14:paraId="408AA552"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29" w:name="ref-bizzozero2016importance"/>
      <w:bookmarkEnd w:id="28"/>
      <w:proofErr w:type="spellStart"/>
      <w:r w:rsidRPr="00DD0A30">
        <w:rPr>
          <w:rFonts w:ascii="Times New Roman" w:hAnsi="Times New Roman" w:cs="Times New Roman"/>
          <w:sz w:val="22"/>
          <w:szCs w:val="22"/>
        </w:rPr>
        <w:t>Bizzozero</w:t>
      </w:r>
      <w:proofErr w:type="spellEnd"/>
      <w:r w:rsidRPr="00DD0A30">
        <w:rPr>
          <w:rFonts w:ascii="Times New Roman" w:hAnsi="Times New Roman" w:cs="Times New Roman"/>
          <w:sz w:val="22"/>
          <w:szCs w:val="22"/>
        </w:rPr>
        <w:t xml:space="preserve">, P., Flepp, R., &amp; Franck, E. (2016). The importance of suspense and surprise in entertainment demand: Evidence from </w:t>
      </w:r>
      <w:proofErr w:type="spellStart"/>
      <w:r w:rsidRPr="00DD0A30">
        <w:rPr>
          <w:rFonts w:ascii="Times New Roman" w:hAnsi="Times New Roman" w:cs="Times New Roman"/>
          <w:sz w:val="22"/>
          <w:szCs w:val="22"/>
        </w:rPr>
        <w:t>wimbledon</w:t>
      </w:r>
      <w:proofErr w:type="spellEnd"/>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Journal of Economic Behavior &amp; Organization</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130</w:t>
      </w:r>
      <w:r w:rsidRPr="00DD0A30">
        <w:rPr>
          <w:rFonts w:ascii="Times New Roman" w:hAnsi="Times New Roman" w:cs="Times New Roman"/>
          <w:sz w:val="22"/>
          <w:szCs w:val="22"/>
        </w:rPr>
        <w:t>, 47–63.</w:t>
      </w:r>
    </w:p>
    <w:p w14:paraId="21F51CCC" w14:textId="77777777" w:rsidR="008D1FC5" w:rsidRPr="00DD0A30" w:rsidRDefault="008D1FC5" w:rsidP="008D1FC5">
      <w:pPr>
        <w:pStyle w:val="Bibliography"/>
        <w:spacing w:line="360" w:lineRule="auto"/>
        <w:jc w:val="both"/>
        <w:rPr>
          <w:rFonts w:ascii="Times New Roman" w:hAnsi="Times New Roman" w:cs="Times New Roman"/>
          <w:sz w:val="22"/>
          <w:szCs w:val="22"/>
          <w:lang w:val="it-IT"/>
        </w:rPr>
      </w:pPr>
      <w:bookmarkStart w:id="30" w:name="ref-buraimo2020unscripted"/>
      <w:bookmarkEnd w:id="29"/>
      <w:proofErr w:type="spellStart"/>
      <w:r w:rsidRPr="00DD0A30">
        <w:rPr>
          <w:rFonts w:ascii="Times New Roman" w:hAnsi="Times New Roman" w:cs="Times New Roman"/>
          <w:sz w:val="22"/>
          <w:szCs w:val="22"/>
        </w:rPr>
        <w:t>Buraimo</w:t>
      </w:r>
      <w:proofErr w:type="spellEnd"/>
      <w:r w:rsidRPr="00DD0A30">
        <w:rPr>
          <w:rFonts w:ascii="Times New Roman" w:hAnsi="Times New Roman" w:cs="Times New Roman"/>
          <w:sz w:val="22"/>
          <w:szCs w:val="22"/>
        </w:rPr>
        <w:t xml:space="preserve">, B., Forrest, D., McHale, I. G., &amp; Tena, J. de D. (2020). Unscripted drama: Soccer audience response to suspense, surprise, and shock. </w:t>
      </w:r>
      <w:r w:rsidRPr="00DD0A30">
        <w:rPr>
          <w:rFonts w:ascii="Times New Roman" w:hAnsi="Times New Roman" w:cs="Times New Roman"/>
          <w:i/>
          <w:iCs/>
          <w:sz w:val="22"/>
          <w:szCs w:val="22"/>
          <w:lang w:val="it-IT"/>
        </w:rPr>
        <w:t>Economic Inquiry</w:t>
      </w:r>
      <w:r w:rsidRPr="00DD0A30">
        <w:rPr>
          <w:rFonts w:ascii="Times New Roman" w:hAnsi="Times New Roman" w:cs="Times New Roman"/>
          <w:sz w:val="22"/>
          <w:szCs w:val="22"/>
          <w:lang w:val="it-IT"/>
        </w:rPr>
        <w:t xml:space="preserve">, </w:t>
      </w:r>
      <w:r w:rsidRPr="00DD0A30">
        <w:rPr>
          <w:rFonts w:ascii="Times New Roman" w:hAnsi="Times New Roman" w:cs="Times New Roman"/>
          <w:i/>
          <w:iCs/>
          <w:sz w:val="22"/>
          <w:szCs w:val="22"/>
          <w:lang w:val="it-IT"/>
        </w:rPr>
        <w:t>58</w:t>
      </w:r>
      <w:r w:rsidRPr="00DD0A30">
        <w:rPr>
          <w:rFonts w:ascii="Times New Roman" w:hAnsi="Times New Roman" w:cs="Times New Roman"/>
          <w:sz w:val="22"/>
          <w:szCs w:val="22"/>
          <w:lang w:val="it-IT"/>
        </w:rPr>
        <w:t>(2), 881–896.</w:t>
      </w:r>
    </w:p>
    <w:p w14:paraId="535E8810"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1" w:name="ref-buraimo2022armchair"/>
      <w:bookmarkEnd w:id="30"/>
      <w:r w:rsidRPr="00DD0A30">
        <w:rPr>
          <w:rFonts w:ascii="Times New Roman" w:hAnsi="Times New Roman" w:cs="Times New Roman"/>
          <w:sz w:val="22"/>
          <w:szCs w:val="22"/>
          <w:lang w:val="it-IT"/>
        </w:rPr>
        <w:lastRenderedPageBreak/>
        <w:t xml:space="preserve">Buraimo, B., Forrest, D., McHale, I. G., &amp; Tena, J. de D. (2022). </w:t>
      </w:r>
      <w:r w:rsidRPr="00DD0A30">
        <w:rPr>
          <w:rFonts w:ascii="Times New Roman" w:hAnsi="Times New Roman" w:cs="Times New Roman"/>
          <w:sz w:val="22"/>
          <w:szCs w:val="22"/>
        </w:rPr>
        <w:t xml:space="preserve">Armchair fans: Modelling audience size for televised football matches. </w:t>
      </w:r>
      <w:r w:rsidRPr="00DD0A30">
        <w:rPr>
          <w:rFonts w:ascii="Times New Roman" w:hAnsi="Times New Roman" w:cs="Times New Roman"/>
          <w:i/>
          <w:iCs/>
          <w:sz w:val="22"/>
          <w:szCs w:val="22"/>
        </w:rPr>
        <w:t>European Journal of Operational Research</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298</w:t>
      </w:r>
      <w:r w:rsidRPr="00DD0A30">
        <w:rPr>
          <w:rFonts w:ascii="Times New Roman" w:hAnsi="Times New Roman" w:cs="Times New Roman"/>
          <w:sz w:val="22"/>
          <w:szCs w:val="22"/>
        </w:rPr>
        <w:t>(2), 644–655.</w:t>
      </w:r>
    </w:p>
    <w:p w14:paraId="6C96B25D"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2" w:name="ref-chater2021fixing"/>
      <w:bookmarkEnd w:id="31"/>
      <w:r w:rsidRPr="00DD0A30">
        <w:rPr>
          <w:rFonts w:ascii="Times New Roman" w:hAnsi="Times New Roman" w:cs="Times New Roman"/>
          <w:sz w:val="22"/>
          <w:szCs w:val="22"/>
          <w:lang w:val="nb-NO"/>
        </w:rPr>
        <w:t xml:space="preserve">Chater, M., Arrondel, L., Gayant, J.-P., &amp; Laslier, J.-F. (2021). </w:t>
      </w:r>
      <w:r w:rsidRPr="00DD0A30">
        <w:rPr>
          <w:rFonts w:ascii="Times New Roman" w:hAnsi="Times New Roman" w:cs="Times New Roman"/>
          <w:sz w:val="22"/>
          <w:szCs w:val="22"/>
        </w:rPr>
        <w:t xml:space="preserve">Fixing match-fixing: Optimal schedules to promote competitiveness. </w:t>
      </w:r>
      <w:r w:rsidRPr="00DD0A30">
        <w:rPr>
          <w:rFonts w:ascii="Times New Roman" w:hAnsi="Times New Roman" w:cs="Times New Roman"/>
          <w:i/>
          <w:iCs/>
          <w:sz w:val="22"/>
          <w:szCs w:val="22"/>
        </w:rPr>
        <w:t>European Journal of Operational Research</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294</w:t>
      </w:r>
      <w:r w:rsidRPr="00DD0A30">
        <w:rPr>
          <w:rFonts w:ascii="Times New Roman" w:hAnsi="Times New Roman" w:cs="Times New Roman"/>
          <w:sz w:val="22"/>
          <w:szCs w:val="22"/>
        </w:rPr>
        <w:t>(2), 673–683.</w:t>
      </w:r>
    </w:p>
    <w:p w14:paraId="6C4590D8"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3" w:name="ref-csato2020neither"/>
      <w:bookmarkEnd w:id="32"/>
      <w:r w:rsidRPr="00DD0A30">
        <w:rPr>
          <w:rFonts w:ascii="Times New Roman" w:hAnsi="Times New Roman" w:cs="Times New Roman"/>
          <w:sz w:val="22"/>
          <w:szCs w:val="22"/>
        </w:rPr>
        <w:t xml:space="preserve">Csató, L. (2020). When neither team wants to win: A flaw of recent UEFA qualification rules. </w:t>
      </w:r>
      <w:r w:rsidRPr="00DD0A30">
        <w:rPr>
          <w:rFonts w:ascii="Times New Roman" w:hAnsi="Times New Roman" w:cs="Times New Roman"/>
          <w:i/>
          <w:iCs/>
          <w:sz w:val="22"/>
          <w:szCs w:val="22"/>
        </w:rPr>
        <w:t>International Journal of Sports Science &amp; Coaching</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15</w:t>
      </w:r>
      <w:r w:rsidRPr="00DD0A30">
        <w:rPr>
          <w:rFonts w:ascii="Times New Roman" w:hAnsi="Times New Roman" w:cs="Times New Roman"/>
          <w:sz w:val="22"/>
          <w:szCs w:val="22"/>
        </w:rPr>
        <w:t>(4), 526–532.</w:t>
      </w:r>
    </w:p>
    <w:p w14:paraId="43D2A06F"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4" w:name="ref-csato2023avoid"/>
      <w:bookmarkEnd w:id="33"/>
      <w:r w:rsidRPr="00DD0A30">
        <w:rPr>
          <w:rFonts w:ascii="Times New Roman" w:hAnsi="Times New Roman" w:cs="Times New Roman"/>
          <w:sz w:val="22"/>
          <w:szCs w:val="22"/>
        </w:rPr>
        <w:t xml:space="preserve">Csató, L. (2023). How to avoid uncompetitive games? The importance of tie-breaking rules. </w:t>
      </w:r>
      <w:r w:rsidRPr="00DD0A30">
        <w:rPr>
          <w:rFonts w:ascii="Times New Roman" w:hAnsi="Times New Roman" w:cs="Times New Roman"/>
          <w:i/>
          <w:iCs/>
          <w:sz w:val="22"/>
          <w:szCs w:val="22"/>
        </w:rPr>
        <w:t>European Journal of Operational Research</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307</w:t>
      </w:r>
      <w:r w:rsidRPr="00DD0A30">
        <w:rPr>
          <w:rFonts w:ascii="Times New Roman" w:hAnsi="Times New Roman" w:cs="Times New Roman"/>
          <w:sz w:val="22"/>
          <w:szCs w:val="22"/>
        </w:rPr>
        <w:t>(3), 1260–1269.</w:t>
      </w:r>
    </w:p>
    <w:p w14:paraId="0261A6CF"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5" w:name="ref-csato2025increasing"/>
      <w:bookmarkEnd w:id="34"/>
      <w:r w:rsidRPr="00DD0A30">
        <w:rPr>
          <w:rFonts w:ascii="Times New Roman" w:hAnsi="Times New Roman" w:cs="Times New Roman"/>
          <w:sz w:val="22"/>
          <w:szCs w:val="22"/>
        </w:rPr>
        <w:t xml:space="preserve">Csató, L., &amp; Gyimesi, A. (2025). Increasing competitiveness by imbalanced groups: The example of the 48-team FIFA world cup. </w:t>
      </w:r>
      <w:proofErr w:type="spellStart"/>
      <w:r w:rsidRPr="00DD0A30">
        <w:rPr>
          <w:rFonts w:ascii="Times New Roman" w:hAnsi="Times New Roman" w:cs="Times New Roman"/>
          <w:i/>
          <w:iCs/>
          <w:sz w:val="22"/>
          <w:szCs w:val="22"/>
        </w:rPr>
        <w:t>arXiv</w:t>
      </w:r>
      <w:proofErr w:type="spellEnd"/>
      <w:r w:rsidRPr="00DD0A30">
        <w:rPr>
          <w:rFonts w:ascii="Times New Roman" w:hAnsi="Times New Roman" w:cs="Times New Roman"/>
          <w:i/>
          <w:iCs/>
          <w:sz w:val="22"/>
          <w:szCs w:val="22"/>
        </w:rPr>
        <w:t xml:space="preserve"> Preprint arXiv:2502.08565</w:t>
      </w:r>
      <w:r w:rsidRPr="00DD0A30">
        <w:rPr>
          <w:rFonts w:ascii="Times New Roman" w:hAnsi="Times New Roman" w:cs="Times New Roman"/>
          <w:sz w:val="22"/>
          <w:szCs w:val="22"/>
        </w:rPr>
        <w:t>.</w:t>
      </w:r>
    </w:p>
    <w:p w14:paraId="7748F690"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6" w:name="ref-csato2026match"/>
      <w:bookmarkEnd w:id="35"/>
      <w:r w:rsidRPr="00DD0A30">
        <w:rPr>
          <w:rFonts w:ascii="Times New Roman" w:hAnsi="Times New Roman" w:cs="Times New Roman"/>
          <w:sz w:val="22"/>
          <w:szCs w:val="22"/>
        </w:rPr>
        <w:t xml:space="preserve">Csató, L., &amp; Gyimesi, A. (2026). Match classification in the last round of four-team round-robin tournaments. </w:t>
      </w:r>
      <w:proofErr w:type="spellStart"/>
      <w:r w:rsidRPr="00DD0A30">
        <w:rPr>
          <w:rFonts w:ascii="Times New Roman" w:hAnsi="Times New Roman" w:cs="Times New Roman"/>
          <w:i/>
          <w:iCs/>
          <w:sz w:val="22"/>
          <w:szCs w:val="22"/>
        </w:rPr>
        <w:t>arXiv</w:t>
      </w:r>
      <w:proofErr w:type="spellEnd"/>
      <w:r w:rsidRPr="00DD0A30">
        <w:rPr>
          <w:rFonts w:ascii="Times New Roman" w:hAnsi="Times New Roman" w:cs="Times New Roman"/>
          <w:i/>
          <w:iCs/>
          <w:sz w:val="22"/>
          <w:szCs w:val="22"/>
        </w:rPr>
        <w:t xml:space="preserve"> Preprint arXiv:2605.25610</w:t>
      </w:r>
      <w:r w:rsidRPr="00DD0A30">
        <w:rPr>
          <w:rFonts w:ascii="Times New Roman" w:hAnsi="Times New Roman" w:cs="Times New Roman"/>
          <w:sz w:val="22"/>
          <w:szCs w:val="22"/>
        </w:rPr>
        <w:t>.</w:t>
      </w:r>
    </w:p>
    <w:p w14:paraId="4527E854"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7" w:name="ref-ely2015suspense"/>
      <w:bookmarkEnd w:id="36"/>
      <w:r w:rsidRPr="00DD0A30">
        <w:rPr>
          <w:rFonts w:ascii="Times New Roman" w:hAnsi="Times New Roman" w:cs="Times New Roman"/>
          <w:sz w:val="22"/>
          <w:szCs w:val="22"/>
          <w:lang w:val="nb-NO"/>
        </w:rPr>
        <w:t xml:space="preserve">Ely, J., Frankel, A., &amp; Kamenica, E. (2015). </w:t>
      </w:r>
      <w:r w:rsidRPr="00DD0A30">
        <w:rPr>
          <w:rFonts w:ascii="Times New Roman" w:hAnsi="Times New Roman" w:cs="Times New Roman"/>
          <w:sz w:val="22"/>
          <w:szCs w:val="22"/>
        </w:rPr>
        <w:t xml:space="preserve">Suspense and surprise. </w:t>
      </w:r>
      <w:r w:rsidRPr="00DD0A30">
        <w:rPr>
          <w:rFonts w:ascii="Times New Roman" w:hAnsi="Times New Roman" w:cs="Times New Roman"/>
          <w:i/>
          <w:iCs/>
          <w:sz w:val="22"/>
          <w:szCs w:val="22"/>
        </w:rPr>
        <w:t>Journal of Political Economy</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123</w:t>
      </w:r>
      <w:r w:rsidRPr="00DD0A30">
        <w:rPr>
          <w:rFonts w:ascii="Times New Roman" w:hAnsi="Times New Roman" w:cs="Times New Roman"/>
          <w:sz w:val="22"/>
          <w:szCs w:val="22"/>
        </w:rPr>
        <w:t>(1), 215–260.</w:t>
      </w:r>
    </w:p>
    <w:p w14:paraId="2708AC38"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8" w:name="ref-fifa2022finance"/>
      <w:bookmarkEnd w:id="37"/>
      <w:r w:rsidRPr="00DD0A30">
        <w:rPr>
          <w:rFonts w:ascii="Times New Roman" w:hAnsi="Times New Roman" w:cs="Times New Roman"/>
          <w:sz w:val="22"/>
          <w:szCs w:val="22"/>
        </w:rPr>
        <w:t xml:space="preserve">FIFA. (2022). </w:t>
      </w:r>
      <w:r w:rsidRPr="00DD0A30">
        <w:rPr>
          <w:rFonts w:ascii="Times New Roman" w:hAnsi="Times New Roman" w:cs="Times New Roman"/>
          <w:i/>
          <w:iCs/>
          <w:sz w:val="22"/>
          <w:szCs w:val="22"/>
        </w:rPr>
        <w:t>FIFA annual report 2022: 2019–2022 cycle in review</w:t>
      </w:r>
      <w:r w:rsidRPr="00DD0A30">
        <w:rPr>
          <w:rFonts w:ascii="Times New Roman" w:hAnsi="Times New Roman" w:cs="Times New Roman"/>
          <w:sz w:val="22"/>
          <w:szCs w:val="22"/>
        </w:rPr>
        <w:t xml:space="preserve">. </w:t>
      </w:r>
      <w:hyperlink r:id="rId12">
        <w:r w:rsidRPr="00DD0A30">
          <w:rPr>
            <w:rStyle w:val="Hyperlink"/>
            <w:rFonts w:ascii="Times New Roman" w:hAnsi="Times New Roman" w:cs="Times New Roman"/>
            <w:sz w:val="22"/>
            <w:szCs w:val="22"/>
          </w:rPr>
          <w:t>https://publications.fifa.com/en/annual-report-2022/finances/2019-2022-cycle-in-review/2019-2022-revenue</w:t>
        </w:r>
      </w:hyperlink>
      <w:r w:rsidRPr="00DD0A30">
        <w:rPr>
          <w:rFonts w:ascii="Times New Roman" w:hAnsi="Times New Roman" w:cs="Times New Roman"/>
          <w:sz w:val="22"/>
          <w:szCs w:val="22"/>
        </w:rPr>
        <w:t>.</w:t>
      </w:r>
    </w:p>
    <w:p w14:paraId="12C3A1AF"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39" w:name="ref-fifa2022engagement"/>
      <w:bookmarkEnd w:id="38"/>
      <w:r w:rsidRPr="00DD0A30">
        <w:rPr>
          <w:rFonts w:ascii="Times New Roman" w:hAnsi="Times New Roman" w:cs="Times New Roman"/>
          <w:sz w:val="22"/>
          <w:szCs w:val="22"/>
        </w:rPr>
        <w:t xml:space="preserve">FIFA. (2023a). </w:t>
      </w:r>
      <w:r w:rsidRPr="00DD0A30">
        <w:rPr>
          <w:rFonts w:ascii="Times New Roman" w:hAnsi="Times New Roman" w:cs="Times New Roman"/>
          <w:i/>
          <w:iCs/>
          <w:sz w:val="22"/>
          <w:szCs w:val="22"/>
        </w:rPr>
        <w:t xml:space="preserve">FIFA world cup </w:t>
      </w:r>
      <w:proofErr w:type="spellStart"/>
      <w:r w:rsidRPr="00DD0A30">
        <w:rPr>
          <w:rFonts w:ascii="Times New Roman" w:hAnsi="Times New Roman" w:cs="Times New Roman"/>
          <w:i/>
          <w:iCs/>
          <w:sz w:val="22"/>
          <w:szCs w:val="22"/>
        </w:rPr>
        <w:t>qatar</w:t>
      </w:r>
      <w:proofErr w:type="spellEnd"/>
      <w:r w:rsidRPr="00DD0A30">
        <w:rPr>
          <w:rFonts w:ascii="Times New Roman" w:hAnsi="Times New Roman" w:cs="Times New Roman"/>
          <w:i/>
          <w:iCs/>
          <w:sz w:val="22"/>
          <w:szCs w:val="22"/>
        </w:rPr>
        <w:t xml:space="preserve"> 2022: Total media engagement report</w:t>
      </w:r>
      <w:r w:rsidRPr="00DD0A30">
        <w:rPr>
          <w:rFonts w:ascii="Times New Roman" w:hAnsi="Times New Roman" w:cs="Times New Roman"/>
          <w:sz w:val="22"/>
          <w:szCs w:val="22"/>
        </w:rPr>
        <w:t xml:space="preserve">. </w:t>
      </w:r>
      <w:hyperlink r:id="rId13">
        <w:r w:rsidRPr="00DD0A30">
          <w:rPr>
            <w:rStyle w:val="Hyperlink"/>
            <w:rFonts w:ascii="Times New Roman" w:hAnsi="Times New Roman" w:cs="Times New Roman"/>
            <w:sz w:val="22"/>
            <w:szCs w:val="22"/>
          </w:rPr>
          <w:t>https://inside.fifa.com/tournament-organisation/audience-reports/qatar-2022/total-media-engagement</w:t>
        </w:r>
      </w:hyperlink>
      <w:r w:rsidRPr="00DD0A30">
        <w:rPr>
          <w:rFonts w:ascii="Times New Roman" w:hAnsi="Times New Roman" w:cs="Times New Roman"/>
          <w:sz w:val="22"/>
          <w:szCs w:val="22"/>
        </w:rPr>
        <w:t>.</w:t>
      </w:r>
    </w:p>
    <w:p w14:paraId="761E7908"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0" w:name="ref-fifa2022audience"/>
      <w:bookmarkEnd w:id="39"/>
      <w:r w:rsidRPr="00DD0A30">
        <w:rPr>
          <w:rFonts w:ascii="Times New Roman" w:hAnsi="Times New Roman" w:cs="Times New Roman"/>
          <w:sz w:val="22"/>
          <w:szCs w:val="22"/>
        </w:rPr>
        <w:t xml:space="preserve">FIFA. (2023b). </w:t>
      </w:r>
      <w:r w:rsidRPr="00DD0A30">
        <w:rPr>
          <w:rFonts w:ascii="Times New Roman" w:hAnsi="Times New Roman" w:cs="Times New Roman"/>
          <w:i/>
          <w:iCs/>
          <w:sz w:val="22"/>
          <w:szCs w:val="22"/>
        </w:rPr>
        <w:t>Global engagement &amp; audience report (executive summary)</w:t>
      </w:r>
      <w:r w:rsidRPr="00DD0A30">
        <w:rPr>
          <w:rFonts w:ascii="Times New Roman" w:hAnsi="Times New Roman" w:cs="Times New Roman"/>
          <w:sz w:val="22"/>
          <w:szCs w:val="22"/>
        </w:rPr>
        <w:t xml:space="preserve">. </w:t>
      </w:r>
      <w:hyperlink r:id="rId14">
        <w:r w:rsidRPr="00DD0A30">
          <w:rPr>
            <w:rStyle w:val="Hyperlink"/>
            <w:rFonts w:ascii="Times New Roman" w:hAnsi="Times New Roman" w:cs="Times New Roman"/>
            <w:sz w:val="22"/>
            <w:szCs w:val="22"/>
          </w:rPr>
          <w:t>https://inside.fifa.com/tournament-organisation/audience-reports/qatar-2022</w:t>
        </w:r>
      </w:hyperlink>
      <w:r w:rsidRPr="00DD0A30">
        <w:rPr>
          <w:rFonts w:ascii="Times New Roman" w:hAnsi="Times New Roman" w:cs="Times New Roman"/>
          <w:sz w:val="22"/>
          <w:szCs w:val="22"/>
        </w:rPr>
        <w:t>.</w:t>
      </w:r>
    </w:p>
    <w:p w14:paraId="0A162C88"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1" w:name="ref-flepp2026suspense"/>
      <w:bookmarkEnd w:id="40"/>
      <w:r w:rsidRPr="00DD0A30">
        <w:rPr>
          <w:rFonts w:ascii="Times New Roman" w:hAnsi="Times New Roman" w:cs="Times New Roman"/>
          <w:sz w:val="22"/>
          <w:szCs w:val="22"/>
        </w:rPr>
        <w:t xml:space="preserve">Flepp, R., Pawlowski, T., &amp; Richardson, T. (2026). Suspense and surprise in </w:t>
      </w:r>
      <w:proofErr w:type="spellStart"/>
      <w:r w:rsidRPr="00DD0A30">
        <w:rPr>
          <w:rFonts w:ascii="Times New Roman" w:hAnsi="Times New Roman" w:cs="Times New Roman"/>
          <w:sz w:val="22"/>
          <w:szCs w:val="22"/>
        </w:rPr>
        <w:t>european</w:t>
      </w:r>
      <w:proofErr w:type="spellEnd"/>
      <w:r w:rsidRPr="00DD0A30">
        <w:rPr>
          <w:rFonts w:ascii="Times New Roman" w:hAnsi="Times New Roman" w:cs="Times New Roman"/>
          <w:sz w:val="22"/>
          <w:szCs w:val="22"/>
        </w:rPr>
        <w:t xml:space="preserve"> football. </w:t>
      </w:r>
      <w:r w:rsidRPr="00DD0A30">
        <w:rPr>
          <w:rFonts w:ascii="Times New Roman" w:hAnsi="Times New Roman" w:cs="Times New Roman"/>
          <w:i/>
          <w:iCs/>
          <w:sz w:val="22"/>
          <w:szCs w:val="22"/>
        </w:rPr>
        <w:t>European Journal of Operational Research</w:t>
      </w:r>
      <w:r w:rsidRPr="00DD0A30">
        <w:rPr>
          <w:rFonts w:ascii="Times New Roman" w:hAnsi="Times New Roman" w:cs="Times New Roman"/>
          <w:sz w:val="22"/>
          <w:szCs w:val="22"/>
        </w:rPr>
        <w:t>.</w:t>
      </w:r>
    </w:p>
    <w:p w14:paraId="0FB7245E"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2" w:name="ref-guajardo2024tournament"/>
      <w:bookmarkEnd w:id="41"/>
      <w:r w:rsidRPr="00DD0A30">
        <w:rPr>
          <w:rFonts w:ascii="Times New Roman" w:hAnsi="Times New Roman" w:cs="Times New Roman"/>
          <w:sz w:val="22"/>
          <w:szCs w:val="22"/>
        </w:rPr>
        <w:t xml:space="preserve">Guajardo, M., &amp; Krumer, A. (2024). Tournament design for a FIFA world cup with 12 four-team groups: Every win matters. In </w:t>
      </w:r>
      <w:r w:rsidRPr="00DD0A30">
        <w:rPr>
          <w:rFonts w:ascii="Times New Roman" w:hAnsi="Times New Roman" w:cs="Times New Roman"/>
          <w:i/>
          <w:iCs/>
          <w:sz w:val="22"/>
          <w:szCs w:val="22"/>
        </w:rPr>
        <w:t xml:space="preserve">The </w:t>
      </w:r>
      <w:proofErr w:type="spellStart"/>
      <w:r w:rsidRPr="00DD0A30">
        <w:rPr>
          <w:rFonts w:ascii="Times New Roman" w:hAnsi="Times New Roman" w:cs="Times New Roman"/>
          <w:i/>
          <w:iCs/>
          <w:sz w:val="22"/>
          <w:szCs w:val="22"/>
        </w:rPr>
        <w:t>palgrave</w:t>
      </w:r>
      <w:proofErr w:type="spellEnd"/>
      <w:r w:rsidRPr="00DD0A30">
        <w:rPr>
          <w:rFonts w:ascii="Times New Roman" w:hAnsi="Times New Roman" w:cs="Times New Roman"/>
          <w:i/>
          <w:iCs/>
          <w:sz w:val="22"/>
          <w:szCs w:val="22"/>
        </w:rPr>
        <w:t xml:space="preserve"> handbook on the economics of manipulation in sport</w:t>
      </w:r>
      <w:r w:rsidRPr="00DD0A30">
        <w:rPr>
          <w:rFonts w:ascii="Times New Roman" w:hAnsi="Times New Roman" w:cs="Times New Roman"/>
          <w:sz w:val="22"/>
          <w:szCs w:val="22"/>
        </w:rPr>
        <w:t xml:space="preserve"> (pp. 207–230). Springer.</w:t>
      </w:r>
    </w:p>
    <w:p w14:paraId="7FFADE25"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3" w:name="ref-lapre2022quantifying"/>
      <w:bookmarkEnd w:id="42"/>
      <w:r w:rsidRPr="00DD0A30">
        <w:rPr>
          <w:rFonts w:ascii="Times New Roman" w:hAnsi="Times New Roman" w:cs="Times New Roman"/>
          <w:sz w:val="22"/>
          <w:szCs w:val="22"/>
        </w:rPr>
        <w:t xml:space="preserve">Lapré, M. A., &amp; Palazzolo, E. M. (2022). Quantifying the impact of imbalanced groups in FIFA women’s world cup tournaments 1991–2019. </w:t>
      </w:r>
      <w:r w:rsidRPr="00DD0A30">
        <w:rPr>
          <w:rFonts w:ascii="Times New Roman" w:hAnsi="Times New Roman" w:cs="Times New Roman"/>
          <w:i/>
          <w:iCs/>
          <w:sz w:val="22"/>
          <w:szCs w:val="22"/>
        </w:rPr>
        <w:t>Journal of Quantitative Analysis in Sports</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18</w:t>
      </w:r>
      <w:r w:rsidRPr="00DD0A30">
        <w:rPr>
          <w:rFonts w:ascii="Times New Roman" w:hAnsi="Times New Roman" w:cs="Times New Roman"/>
          <w:sz w:val="22"/>
          <w:szCs w:val="22"/>
        </w:rPr>
        <w:t>(3), 187–199.</w:t>
      </w:r>
    </w:p>
    <w:p w14:paraId="562933E4"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4" w:name="ref-lapre2023evolution"/>
      <w:bookmarkEnd w:id="43"/>
      <w:r w:rsidRPr="00DD0A30">
        <w:rPr>
          <w:rFonts w:ascii="Times New Roman" w:hAnsi="Times New Roman" w:cs="Times New Roman"/>
          <w:sz w:val="22"/>
          <w:szCs w:val="22"/>
        </w:rPr>
        <w:t xml:space="preserve">Lapré, M. A., &amp; Palazzolo, E. M. (2023). The evolution of seeding systems and the impact of imbalanced groups in FIFA men’s world cup tournaments 1954–2022. </w:t>
      </w:r>
      <w:r w:rsidRPr="00DD0A30">
        <w:rPr>
          <w:rFonts w:ascii="Times New Roman" w:hAnsi="Times New Roman" w:cs="Times New Roman"/>
          <w:i/>
          <w:iCs/>
          <w:sz w:val="22"/>
          <w:szCs w:val="22"/>
        </w:rPr>
        <w:t>Journal of Quantitative Analysis in Sports</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19</w:t>
      </w:r>
      <w:r w:rsidRPr="00DD0A30">
        <w:rPr>
          <w:rFonts w:ascii="Times New Roman" w:hAnsi="Times New Roman" w:cs="Times New Roman"/>
          <w:sz w:val="22"/>
          <w:szCs w:val="22"/>
        </w:rPr>
        <w:t>(4), 317–332.</w:t>
      </w:r>
    </w:p>
    <w:p w14:paraId="05B894D0"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5" w:name="ref-renno2023double"/>
      <w:bookmarkEnd w:id="44"/>
      <w:proofErr w:type="spellStart"/>
      <w:r w:rsidRPr="00DD0A30">
        <w:rPr>
          <w:rFonts w:ascii="Times New Roman" w:hAnsi="Times New Roman" w:cs="Times New Roman"/>
          <w:sz w:val="22"/>
          <w:szCs w:val="22"/>
        </w:rPr>
        <w:lastRenderedPageBreak/>
        <w:t>Rennó</w:t>
      </w:r>
      <w:proofErr w:type="spellEnd"/>
      <w:r w:rsidRPr="00DD0A30">
        <w:rPr>
          <w:rFonts w:ascii="Times New Roman" w:hAnsi="Times New Roman" w:cs="Times New Roman"/>
          <w:sz w:val="22"/>
          <w:szCs w:val="22"/>
        </w:rPr>
        <w:t xml:space="preserve">-Costa, C. (2023). A double-elimination format for a 48-team FIFA world cup. </w:t>
      </w:r>
      <w:proofErr w:type="spellStart"/>
      <w:r w:rsidRPr="00DD0A30">
        <w:rPr>
          <w:rFonts w:ascii="Times New Roman" w:hAnsi="Times New Roman" w:cs="Times New Roman"/>
          <w:i/>
          <w:iCs/>
          <w:sz w:val="22"/>
          <w:szCs w:val="22"/>
        </w:rPr>
        <w:t>arXiv</w:t>
      </w:r>
      <w:proofErr w:type="spellEnd"/>
      <w:r w:rsidRPr="00DD0A30">
        <w:rPr>
          <w:rFonts w:ascii="Times New Roman" w:hAnsi="Times New Roman" w:cs="Times New Roman"/>
          <w:i/>
          <w:iCs/>
          <w:sz w:val="22"/>
          <w:szCs w:val="22"/>
        </w:rPr>
        <w:t xml:space="preserve"> Preprint arXiv:2301.03411</w:t>
      </w:r>
      <w:r w:rsidRPr="00DD0A30">
        <w:rPr>
          <w:rFonts w:ascii="Times New Roman" w:hAnsi="Times New Roman" w:cs="Times New Roman"/>
          <w:sz w:val="22"/>
          <w:szCs w:val="22"/>
        </w:rPr>
        <w:t>.</w:t>
      </w:r>
    </w:p>
    <w:p w14:paraId="1531A105"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6" w:name="ref-uefa2024numbers"/>
      <w:bookmarkEnd w:id="45"/>
      <w:proofErr w:type="spellStart"/>
      <w:r w:rsidRPr="00DD0A30">
        <w:rPr>
          <w:rFonts w:ascii="Times New Roman" w:hAnsi="Times New Roman" w:cs="Times New Roman"/>
          <w:sz w:val="22"/>
          <w:szCs w:val="22"/>
        </w:rPr>
        <w:t>SportsPro</w:t>
      </w:r>
      <w:proofErr w:type="spellEnd"/>
      <w:r w:rsidRPr="00DD0A30">
        <w:rPr>
          <w:rFonts w:ascii="Times New Roman" w:hAnsi="Times New Roman" w:cs="Times New Roman"/>
          <w:sz w:val="22"/>
          <w:szCs w:val="22"/>
        </w:rPr>
        <w:t xml:space="preserve"> Media. (2024). </w:t>
      </w:r>
      <w:r w:rsidRPr="00DD0A30">
        <w:rPr>
          <w:rFonts w:ascii="Times New Roman" w:hAnsi="Times New Roman" w:cs="Times New Roman"/>
          <w:i/>
          <w:iCs/>
          <w:sz w:val="22"/>
          <w:szCs w:val="22"/>
        </w:rPr>
        <w:t>Euro 2024 in numbers: Attendance, TV ratings, and social media impact</w:t>
      </w:r>
      <w:r w:rsidRPr="00DD0A30">
        <w:rPr>
          <w:rFonts w:ascii="Times New Roman" w:hAnsi="Times New Roman" w:cs="Times New Roman"/>
          <w:sz w:val="22"/>
          <w:szCs w:val="22"/>
        </w:rPr>
        <w:t xml:space="preserve">. </w:t>
      </w:r>
      <w:hyperlink r:id="rId15">
        <w:r w:rsidRPr="00DD0A30">
          <w:rPr>
            <w:rStyle w:val="Hyperlink"/>
            <w:rFonts w:ascii="Times New Roman" w:hAnsi="Times New Roman" w:cs="Times New Roman"/>
            <w:sz w:val="22"/>
            <w:szCs w:val="22"/>
          </w:rPr>
          <w:t>https://www.sportspro.com/insights/analysis/euro-2024-stats-tv-ratings-viewership-attendance-social-media-sales</w:t>
        </w:r>
      </w:hyperlink>
      <w:r w:rsidRPr="00DD0A30">
        <w:rPr>
          <w:rFonts w:ascii="Times New Roman" w:hAnsi="Times New Roman" w:cs="Times New Roman"/>
          <w:sz w:val="22"/>
          <w:szCs w:val="22"/>
        </w:rPr>
        <w:t>.</w:t>
      </w:r>
    </w:p>
    <w:p w14:paraId="2BFAEBCC"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7" w:name="ref-szczecinski2022fifa"/>
      <w:bookmarkEnd w:id="46"/>
      <w:r w:rsidRPr="00DD0A30">
        <w:rPr>
          <w:rFonts w:ascii="Times New Roman" w:hAnsi="Times New Roman" w:cs="Times New Roman"/>
          <w:sz w:val="22"/>
          <w:szCs w:val="22"/>
        </w:rPr>
        <w:t xml:space="preserve">Szczecinski, L., &amp; </w:t>
      </w:r>
      <w:proofErr w:type="spellStart"/>
      <w:r w:rsidRPr="00DD0A30">
        <w:rPr>
          <w:rFonts w:ascii="Times New Roman" w:hAnsi="Times New Roman" w:cs="Times New Roman"/>
          <w:sz w:val="22"/>
          <w:szCs w:val="22"/>
        </w:rPr>
        <w:t>Roatis</w:t>
      </w:r>
      <w:proofErr w:type="spellEnd"/>
      <w:r w:rsidRPr="00DD0A30">
        <w:rPr>
          <w:rFonts w:ascii="Times New Roman" w:hAnsi="Times New Roman" w:cs="Times New Roman"/>
          <w:sz w:val="22"/>
          <w:szCs w:val="22"/>
        </w:rPr>
        <w:t xml:space="preserve">, I.-I. (2022). FIFA ranking: Evaluation and path forward. </w:t>
      </w:r>
      <w:r w:rsidRPr="00DD0A30">
        <w:rPr>
          <w:rFonts w:ascii="Times New Roman" w:hAnsi="Times New Roman" w:cs="Times New Roman"/>
          <w:i/>
          <w:iCs/>
          <w:sz w:val="22"/>
          <w:szCs w:val="22"/>
        </w:rPr>
        <w:t>Journal of Sports Analytics</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8</w:t>
      </w:r>
      <w:r w:rsidRPr="00DD0A30">
        <w:rPr>
          <w:rFonts w:ascii="Times New Roman" w:hAnsi="Times New Roman" w:cs="Times New Roman"/>
          <w:sz w:val="22"/>
          <w:szCs w:val="22"/>
        </w:rPr>
        <w:t>(4), 231–250.</w:t>
      </w:r>
    </w:p>
    <w:p w14:paraId="5434C6AD"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8" w:name="ref-troyano2023new"/>
      <w:bookmarkEnd w:id="47"/>
      <w:r w:rsidRPr="00DD0A30">
        <w:rPr>
          <w:rFonts w:ascii="Times New Roman" w:hAnsi="Times New Roman" w:cs="Times New Roman"/>
          <w:sz w:val="22"/>
          <w:szCs w:val="22"/>
        </w:rPr>
        <w:t xml:space="preserve">Troyano, J. A. (2023). A new competition format to avoid collusion in three-team sports tournaments. </w:t>
      </w:r>
      <w:proofErr w:type="spellStart"/>
      <w:r w:rsidRPr="00DD0A30">
        <w:rPr>
          <w:rFonts w:ascii="Times New Roman" w:hAnsi="Times New Roman" w:cs="Times New Roman"/>
          <w:i/>
          <w:iCs/>
          <w:sz w:val="22"/>
          <w:szCs w:val="22"/>
        </w:rPr>
        <w:t>arXiv</w:t>
      </w:r>
      <w:proofErr w:type="spellEnd"/>
      <w:r w:rsidRPr="00DD0A30">
        <w:rPr>
          <w:rFonts w:ascii="Times New Roman" w:hAnsi="Times New Roman" w:cs="Times New Roman"/>
          <w:i/>
          <w:iCs/>
          <w:sz w:val="22"/>
          <w:szCs w:val="22"/>
        </w:rPr>
        <w:t xml:space="preserve"> Preprint arXiv:2308.02507</w:t>
      </w:r>
      <w:r w:rsidRPr="00DD0A30">
        <w:rPr>
          <w:rFonts w:ascii="Times New Roman" w:hAnsi="Times New Roman" w:cs="Times New Roman"/>
          <w:sz w:val="22"/>
          <w:szCs w:val="22"/>
        </w:rPr>
        <w:t>.</w:t>
      </w:r>
    </w:p>
    <w:p w14:paraId="07B6C553"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49" w:name="ref-uefa2024remember"/>
      <w:bookmarkEnd w:id="48"/>
      <w:r w:rsidRPr="00DD0A30">
        <w:rPr>
          <w:rFonts w:ascii="Times New Roman" w:hAnsi="Times New Roman" w:cs="Times New Roman"/>
          <w:sz w:val="22"/>
          <w:szCs w:val="22"/>
        </w:rPr>
        <w:t xml:space="preserve">UEFA. (2024). </w:t>
      </w:r>
      <w:r w:rsidRPr="00DD0A30">
        <w:rPr>
          <w:rFonts w:ascii="Times New Roman" w:hAnsi="Times New Roman" w:cs="Times New Roman"/>
          <w:i/>
          <w:iCs/>
          <w:sz w:val="22"/>
          <w:szCs w:val="22"/>
        </w:rPr>
        <w:t>A EURO to remember</w:t>
      </w:r>
      <w:r w:rsidRPr="00DD0A30">
        <w:rPr>
          <w:rFonts w:ascii="Times New Roman" w:hAnsi="Times New Roman" w:cs="Times New Roman"/>
          <w:sz w:val="22"/>
          <w:szCs w:val="22"/>
        </w:rPr>
        <w:t>. https://www.uefa.com/uefaeuro/history/news/0290-1ba5adefab2e-16914ae7e74f-1000–a-euro-to-remember/.</w:t>
      </w:r>
    </w:p>
    <w:p w14:paraId="09BCB8E7"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50" w:name="ref-vorderer2004enjoyment"/>
      <w:bookmarkEnd w:id="49"/>
      <w:proofErr w:type="spellStart"/>
      <w:r w:rsidRPr="00DD0A30">
        <w:rPr>
          <w:rFonts w:ascii="Times New Roman" w:hAnsi="Times New Roman" w:cs="Times New Roman"/>
          <w:sz w:val="22"/>
          <w:szCs w:val="22"/>
        </w:rPr>
        <w:t>Vorderer</w:t>
      </w:r>
      <w:proofErr w:type="spellEnd"/>
      <w:r w:rsidRPr="00DD0A30">
        <w:rPr>
          <w:rFonts w:ascii="Times New Roman" w:hAnsi="Times New Roman" w:cs="Times New Roman"/>
          <w:sz w:val="22"/>
          <w:szCs w:val="22"/>
        </w:rPr>
        <w:t xml:space="preserve">, P., </w:t>
      </w:r>
      <w:proofErr w:type="spellStart"/>
      <w:r w:rsidRPr="00DD0A30">
        <w:rPr>
          <w:rFonts w:ascii="Times New Roman" w:hAnsi="Times New Roman" w:cs="Times New Roman"/>
          <w:sz w:val="22"/>
          <w:szCs w:val="22"/>
        </w:rPr>
        <w:t>Klimmt</w:t>
      </w:r>
      <w:proofErr w:type="spellEnd"/>
      <w:r w:rsidRPr="00DD0A30">
        <w:rPr>
          <w:rFonts w:ascii="Times New Roman" w:hAnsi="Times New Roman" w:cs="Times New Roman"/>
          <w:sz w:val="22"/>
          <w:szCs w:val="22"/>
        </w:rPr>
        <w:t xml:space="preserve">, C., &amp; </w:t>
      </w:r>
      <w:proofErr w:type="spellStart"/>
      <w:r w:rsidRPr="00DD0A30">
        <w:rPr>
          <w:rFonts w:ascii="Times New Roman" w:hAnsi="Times New Roman" w:cs="Times New Roman"/>
          <w:sz w:val="22"/>
          <w:szCs w:val="22"/>
        </w:rPr>
        <w:t>Ritterfeld</w:t>
      </w:r>
      <w:proofErr w:type="spellEnd"/>
      <w:r w:rsidRPr="00DD0A30">
        <w:rPr>
          <w:rFonts w:ascii="Times New Roman" w:hAnsi="Times New Roman" w:cs="Times New Roman"/>
          <w:sz w:val="22"/>
          <w:szCs w:val="22"/>
        </w:rPr>
        <w:t xml:space="preserve">, U. (2004). Enjoyment: At the heart of media entertainment. </w:t>
      </w:r>
      <w:r w:rsidRPr="00DD0A30">
        <w:rPr>
          <w:rFonts w:ascii="Times New Roman" w:hAnsi="Times New Roman" w:cs="Times New Roman"/>
          <w:i/>
          <w:iCs/>
          <w:sz w:val="22"/>
          <w:szCs w:val="22"/>
        </w:rPr>
        <w:t>Communication Theory</w:t>
      </w:r>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14</w:t>
      </w:r>
      <w:r w:rsidRPr="00DD0A30">
        <w:rPr>
          <w:rFonts w:ascii="Times New Roman" w:hAnsi="Times New Roman" w:cs="Times New Roman"/>
          <w:sz w:val="22"/>
          <w:szCs w:val="22"/>
        </w:rPr>
        <w:t>(4), 388–408.</w:t>
      </w:r>
    </w:p>
    <w:p w14:paraId="280E2ECA" w14:textId="77777777" w:rsidR="008D1FC5" w:rsidRPr="00DD0A30" w:rsidRDefault="008D1FC5" w:rsidP="008D1FC5">
      <w:pPr>
        <w:pStyle w:val="Bibliography"/>
        <w:spacing w:line="360" w:lineRule="auto"/>
        <w:jc w:val="both"/>
        <w:rPr>
          <w:rFonts w:ascii="Times New Roman" w:hAnsi="Times New Roman" w:cs="Times New Roman"/>
          <w:sz w:val="22"/>
          <w:szCs w:val="22"/>
        </w:rPr>
      </w:pPr>
      <w:bookmarkStart w:id="51" w:name="ref-zillmann2013psychology"/>
      <w:bookmarkEnd w:id="50"/>
      <w:r w:rsidRPr="00DD0A30">
        <w:rPr>
          <w:rFonts w:ascii="Times New Roman" w:hAnsi="Times New Roman" w:cs="Times New Roman"/>
          <w:sz w:val="22"/>
          <w:szCs w:val="22"/>
        </w:rPr>
        <w:t xml:space="preserve">Zillmann, D. (2013). The psychology of suspense in dramatic exposition. In </w:t>
      </w:r>
      <w:r w:rsidRPr="00DD0A30">
        <w:rPr>
          <w:rFonts w:ascii="Times New Roman" w:hAnsi="Times New Roman" w:cs="Times New Roman"/>
          <w:i/>
          <w:iCs/>
          <w:sz w:val="22"/>
          <w:szCs w:val="22"/>
        </w:rPr>
        <w:t>Suspense</w:t>
      </w:r>
      <w:r w:rsidRPr="00DD0A30">
        <w:rPr>
          <w:rFonts w:ascii="Times New Roman" w:hAnsi="Times New Roman" w:cs="Times New Roman"/>
          <w:sz w:val="22"/>
          <w:szCs w:val="22"/>
        </w:rPr>
        <w:t xml:space="preserve"> (pp. 199–231). Routledge.</w:t>
      </w:r>
    </w:p>
    <w:bookmarkEnd w:id="27"/>
    <w:bookmarkEnd w:id="51"/>
    <w:p w14:paraId="1BE8100A" w14:textId="77777777" w:rsidR="008D1FC5" w:rsidRPr="00DD0A30" w:rsidRDefault="008D1FC5" w:rsidP="00DD0A30">
      <w:pPr>
        <w:pStyle w:val="BodyText"/>
        <w:spacing w:line="360" w:lineRule="auto"/>
        <w:jc w:val="both"/>
        <w:rPr>
          <w:rFonts w:ascii="Times New Roman" w:hAnsi="Times New Roman" w:cs="Times New Roman"/>
          <w:sz w:val="22"/>
          <w:szCs w:val="22"/>
        </w:rPr>
      </w:pPr>
    </w:p>
    <w:p w14:paraId="3E546343" w14:textId="77777777" w:rsidR="00D35D27" w:rsidRPr="008D1FC5" w:rsidRDefault="00000000" w:rsidP="008D1FC5">
      <w:pPr>
        <w:pStyle w:val="Heading1"/>
        <w:spacing w:line="360" w:lineRule="auto"/>
        <w:ind w:left="717"/>
        <w:jc w:val="both"/>
        <w:rPr>
          <w:rFonts w:ascii="Times New Roman" w:hAnsi="Times New Roman" w:cs="Times New Roman"/>
          <w:b/>
          <w:bCs/>
          <w:color w:val="auto"/>
          <w:sz w:val="22"/>
          <w:szCs w:val="22"/>
        </w:rPr>
      </w:pPr>
      <w:bookmarkStart w:id="52" w:name="appendix"/>
      <w:bookmarkEnd w:id="25"/>
      <w:r w:rsidRPr="008D1FC5">
        <w:rPr>
          <w:rFonts w:ascii="Times New Roman" w:hAnsi="Times New Roman" w:cs="Times New Roman"/>
          <w:b/>
          <w:bCs/>
          <w:color w:val="auto"/>
          <w:sz w:val="22"/>
          <w:szCs w:val="22"/>
        </w:rPr>
        <w:t>Appendix</w:t>
      </w:r>
    </w:p>
    <w:p w14:paraId="4670D183" w14:textId="00FF50A8" w:rsidR="00D35D27" w:rsidRPr="008D1FC5" w:rsidRDefault="00000000" w:rsidP="008D1FC5">
      <w:pPr>
        <w:pStyle w:val="Heading1"/>
        <w:spacing w:line="360" w:lineRule="auto"/>
        <w:ind w:left="717"/>
        <w:jc w:val="both"/>
        <w:rPr>
          <w:rFonts w:ascii="Times New Roman" w:hAnsi="Times New Roman" w:cs="Times New Roman"/>
          <w:b/>
          <w:bCs/>
          <w:color w:val="auto"/>
          <w:sz w:val="22"/>
          <w:szCs w:val="22"/>
        </w:rPr>
      </w:pPr>
      <w:bookmarkStart w:id="53" w:name="sec:suspense-criteria"/>
      <w:r w:rsidRPr="008D1FC5">
        <w:rPr>
          <w:rFonts w:ascii="Times New Roman" w:hAnsi="Times New Roman" w:cs="Times New Roman"/>
          <w:b/>
          <w:bCs/>
          <w:color w:val="auto"/>
          <w:sz w:val="22"/>
          <w:szCs w:val="22"/>
        </w:rPr>
        <w:t>Suspense Criteria: Full Logic</w:t>
      </w:r>
    </w:p>
    <w:p w14:paraId="71227610"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The following rules describe the exact criteria we use to assign a suspense value of 1 (suspenseful moment) in both FIFA and UEFA group stages. A suspenseful moment is defined as one where a single goal may change the composition of teams qualifying for the knockout stage. These rules are applied after each goal and at each match minute during the group stage.</w:t>
      </w:r>
    </w:p>
    <w:p w14:paraId="52183E18" w14:textId="77777777" w:rsidR="00D35D27" w:rsidRPr="008D1FC5" w:rsidRDefault="00000000" w:rsidP="00DD0A30">
      <w:pPr>
        <w:pStyle w:val="Heading3"/>
        <w:spacing w:line="360" w:lineRule="auto"/>
        <w:jc w:val="both"/>
        <w:rPr>
          <w:rFonts w:ascii="Times New Roman" w:hAnsi="Times New Roman" w:cs="Times New Roman"/>
          <w:b/>
          <w:bCs/>
          <w:color w:val="auto"/>
          <w:sz w:val="22"/>
          <w:szCs w:val="22"/>
        </w:rPr>
      </w:pPr>
      <w:bookmarkStart w:id="54" w:name="sec:suspense-fifa-implemented"/>
      <w:r w:rsidRPr="008D1FC5">
        <w:rPr>
          <w:rFonts w:ascii="Times New Roman" w:hAnsi="Times New Roman" w:cs="Times New Roman"/>
          <w:b/>
          <w:bCs/>
          <w:color w:val="auto"/>
          <w:sz w:val="22"/>
          <w:szCs w:val="22"/>
        </w:rPr>
        <w:t>Suspense Criteria: FIFA</w:t>
      </w:r>
    </w:p>
    <w:p w14:paraId="07130958"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FIFA ranking within the group follows the tie-break hierarchy:</w:t>
      </w:r>
    </w:p>
    <w:p w14:paraId="005A3AA8"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Points</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m:t>
          </m:r>
          <m:r>
            <m:rPr>
              <m:nor/>
            </m:rPr>
            <w:rPr>
              <w:rFonts w:ascii="Times New Roman" w:hAnsi="Times New Roman" w:cs="Times New Roman"/>
              <w:sz w:val="22"/>
              <w:szCs w:val="22"/>
            </w:rPr>
            <m:t>Overall Goal Difference</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m:t>
          </m:r>
          <m:r>
            <m:rPr>
              <m:nor/>
            </m:rPr>
            <w:rPr>
              <w:rFonts w:ascii="Times New Roman" w:hAnsi="Times New Roman" w:cs="Times New Roman"/>
              <w:sz w:val="22"/>
              <w:szCs w:val="22"/>
            </w:rPr>
            <m:t>Overall Goals Scored</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m:t>
          </m:r>
          <m:r>
            <m:rPr>
              <m:nor/>
            </m:rPr>
            <w:rPr>
              <w:rFonts w:ascii="Times New Roman" w:hAnsi="Times New Roman" w:cs="Times New Roman"/>
              <w:sz w:val="22"/>
              <w:szCs w:val="22"/>
            </w:rPr>
            <m:t>Head-to-Head (if required)</m:t>
          </m:r>
          <m:r>
            <m:rPr>
              <m:sty m:val="p"/>
            </m:rPr>
            <w:rPr>
              <w:rFonts w:ascii="Cambria Math" w:hAnsi="Cambria Math" w:cs="Times New Roman"/>
              <w:sz w:val="22"/>
              <w:szCs w:val="22"/>
            </w:rPr>
            <m:t>.</m:t>
          </m:r>
        </m:oMath>
      </m:oMathPara>
    </w:p>
    <w:p w14:paraId="2088EFA9"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We evaluate suspense after each goal/minute observation using the pipeline below.</w:t>
      </w:r>
    </w:p>
    <w:p w14:paraId="405EFBD1"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55" w:name="Xb147d1ca03e0f0af8fca1df8713f1e67a613620"/>
      <w:r w:rsidRPr="004A752F">
        <w:rPr>
          <w:rFonts w:ascii="Times New Roman" w:hAnsi="Times New Roman" w:cs="Times New Roman"/>
          <w:b/>
          <w:bCs/>
          <w:i w:val="0"/>
          <w:iCs w:val="0"/>
          <w:color w:val="auto"/>
          <w:sz w:val="22"/>
          <w:szCs w:val="22"/>
        </w:rPr>
        <w:lastRenderedPageBreak/>
        <w:t>Step 0: Identify the cut-off pair (leading vs lagging).</w:t>
      </w:r>
    </w:p>
    <w:p w14:paraId="16EF457D"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Let </w:t>
      </w:r>
      <w:proofErr w:type="spellStart"/>
      <w:r w:rsidRPr="00DD0A30">
        <w:rPr>
          <w:rStyle w:val="VerbatimChar"/>
          <w:rFonts w:ascii="Times New Roman" w:hAnsi="Times New Roman" w:cs="Times New Roman"/>
          <w:szCs w:val="22"/>
        </w:rPr>
        <w:t>third_qualify</w:t>
      </w:r>
      <w:proofErr w:type="spellEnd"/>
      <w:r w:rsidRPr="00DD0A30">
        <w:rPr>
          <w:rFonts w:ascii="Times New Roman" w:hAnsi="Times New Roman" w:cs="Times New Roman"/>
          <w:sz w:val="22"/>
          <w:szCs w:val="22"/>
        </w:rPr>
        <w:t xml:space="preserve"> indicate whether the relevant cut-off is:</w:t>
      </w:r>
    </w:p>
    <w:p w14:paraId="7449879A" w14:textId="77777777" w:rsidR="00D35D27" w:rsidRPr="00DD0A30" w:rsidRDefault="00000000" w:rsidP="00DD0A30">
      <w:pPr>
        <w:numPr>
          <w:ilvl w:val="0"/>
          <w:numId w:val="4"/>
        </w:numPr>
        <w:spacing w:line="360" w:lineRule="auto"/>
        <w:jc w:val="both"/>
        <w:rPr>
          <w:rFonts w:ascii="Times New Roman" w:hAnsi="Times New Roman" w:cs="Times New Roman"/>
          <w:sz w:val="22"/>
          <w:szCs w:val="22"/>
        </w:rPr>
      </w:pPr>
      <w:r w:rsidRPr="00DD0A30">
        <w:rPr>
          <w:rStyle w:val="VerbatimChar"/>
          <w:rFonts w:ascii="Times New Roman" w:hAnsi="Times New Roman" w:cs="Times New Roman"/>
          <w:szCs w:val="22"/>
        </w:rPr>
        <w:t>third_qualify = 0</w:t>
      </w:r>
      <w:r w:rsidRPr="00DD0A30">
        <w:rPr>
          <w:rFonts w:ascii="Times New Roman" w:hAnsi="Times New Roman" w:cs="Times New Roman"/>
          <w:sz w:val="22"/>
          <w:szCs w:val="22"/>
        </w:rPr>
        <w:t xml:space="preserve">: </w:t>
      </w:r>
      <w:r w:rsidRPr="00DD0A30">
        <w:rPr>
          <w:rFonts w:ascii="Times New Roman" w:hAnsi="Times New Roman" w:cs="Times New Roman"/>
          <w:b/>
          <w:bCs/>
          <w:sz w:val="22"/>
          <w:szCs w:val="22"/>
        </w:rPr>
        <w:t>2nd</w:t>
      </w:r>
      <w:r w:rsidRPr="00DD0A30">
        <w:rPr>
          <w:rFonts w:ascii="Times New Roman" w:hAnsi="Times New Roman" w:cs="Times New Roman"/>
          <w:sz w:val="22"/>
          <w:szCs w:val="22"/>
        </w:rPr>
        <w:t xml:space="preserve"> (leading, last qualified) vs </w:t>
      </w:r>
      <w:r w:rsidRPr="00DD0A30">
        <w:rPr>
          <w:rFonts w:ascii="Times New Roman" w:hAnsi="Times New Roman" w:cs="Times New Roman"/>
          <w:b/>
          <w:bCs/>
          <w:sz w:val="22"/>
          <w:szCs w:val="22"/>
        </w:rPr>
        <w:t>3rd</w:t>
      </w:r>
      <w:r w:rsidRPr="00DD0A30">
        <w:rPr>
          <w:rFonts w:ascii="Times New Roman" w:hAnsi="Times New Roman" w:cs="Times New Roman"/>
          <w:sz w:val="22"/>
          <w:szCs w:val="22"/>
        </w:rPr>
        <w:t xml:space="preserve"> (lagging, first not qualified),</w:t>
      </w:r>
    </w:p>
    <w:p w14:paraId="43E40BD1" w14:textId="77777777" w:rsidR="00D35D27" w:rsidRPr="00DD0A30" w:rsidRDefault="00000000" w:rsidP="00DD0A30">
      <w:pPr>
        <w:numPr>
          <w:ilvl w:val="0"/>
          <w:numId w:val="4"/>
        </w:numPr>
        <w:spacing w:line="360" w:lineRule="auto"/>
        <w:jc w:val="both"/>
        <w:rPr>
          <w:rFonts w:ascii="Times New Roman" w:hAnsi="Times New Roman" w:cs="Times New Roman"/>
          <w:sz w:val="22"/>
          <w:szCs w:val="22"/>
        </w:rPr>
      </w:pPr>
      <w:r w:rsidRPr="00DD0A30">
        <w:rPr>
          <w:rStyle w:val="VerbatimChar"/>
          <w:rFonts w:ascii="Times New Roman" w:hAnsi="Times New Roman" w:cs="Times New Roman"/>
          <w:szCs w:val="22"/>
        </w:rPr>
        <w:t>third_qualify = 1</w:t>
      </w:r>
      <w:r w:rsidRPr="00DD0A30">
        <w:rPr>
          <w:rFonts w:ascii="Times New Roman" w:hAnsi="Times New Roman" w:cs="Times New Roman"/>
          <w:sz w:val="22"/>
          <w:szCs w:val="22"/>
        </w:rPr>
        <w:t xml:space="preserve">: </w:t>
      </w:r>
      <w:r w:rsidRPr="00DD0A30">
        <w:rPr>
          <w:rFonts w:ascii="Times New Roman" w:hAnsi="Times New Roman" w:cs="Times New Roman"/>
          <w:b/>
          <w:bCs/>
          <w:sz w:val="22"/>
          <w:szCs w:val="22"/>
        </w:rPr>
        <w:t>3rd</w:t>
      </w:r>
      <w:r w:rsidRPr="00DD0A30">
        <w:rPr>
          <w:rFonts w:ascii="Times New Roman" w:hAnsi="Times New Roman" w:cs="Times New Roman"/>
          <w:sz w:val="22"/>
          <w:szCs w:val="22"/>
        </w:rPr>
        <w:t xml:space="preserve"> (leading) vs </w:t>
      </w:r>
      <w:r w:rsidRPr="00DD0A30">
        <w:rPr>
          <w:rFonts w:ascii="Times New Roman" w:hAnsi="Times New Roman" w:cs="Times New Roman"/>
          <w:b/>
          <w:bCs/>
          <w:sz w:val="22"/>
          <w:szCs w:val="22"/>
        </w:rPr>
        <w:t>4th</w:t>
      </w:r>
      <w:r w:rsidRPr="00DD0A30">
        <w:rPr>
          <w:rFonts w:ascii="Times New Roman" w:hAnsi="Times New Roman" w:cs="Times New Roman"/>
          <w:sz w:val="22"/>
          <w:szCs w:val="22"/>
        </w:rPr>
        <w:t xml:space="preserve"> (lagging).</w:t>
      </w:r>
    </w:p>
    <w:p w14:paraId="1EA627EB"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We denote the lagging and leading teams’ current </w:t>
      </w:r>
      <w:r w:rsidRPr="00DD0A30">
        <w:rPr>
          <w:rFonts w:ascii="Times New Roman" w:hAnsi="Times New Roman" w:cs="Times New Roman"/>
          <w:i/>
          <w:iCs/>
          <w:sz w:val="22"/>
          <w:szCs w:val="22"/>
        </w:rPr>
        <w:t>overall</w:t>
      </w:r>
      <w:r w:rsidRPr="00DD0A30">
        <w:rPr>
          <w:rFonts w:ascii="Times New Roman" w:hAnsi="Times New Roman" w:cs="Times New Roman"/>
          <w:sz w:val="22"/>
          <w:szCs w:val="22"/>
        </w:rPr>
        <w:t xml:space="preserve"> differences by:</w:t>
      </w:r>
    </w:p>
    <w:p w14:paraId="675637CA"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pts_diff</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gls_diff</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gs_diff</m:t>
              </m:r>
            </m:e>
            <m:sub>
              <m:r>
                <w:rPr>
                  <w:rFonts w:ascii="Cambria Math" w:hAnsi="Cambria Math" w:cs="Times New Roman"/>
                  <w:sz w:val="22"/>
                  <w:szCs w:val="22"/>
                </w:rPr>
                <m:t>0</m:t>
              </m:r>
            </m:sub>
          </m:sSub>
          <m:r>
            <m:rPr>
              <m:sty m:val="p"/>
            </m:rPr>
            <w:rPr>
              <w:rFonts w:ascii="Cambria Math" w:hAnsi="Cambria Math" w:cs="Times New Roman"/>
              <w:sz w:val="22"/>
              <w:szCs w:val="22"/>
            </w:rPr>
            <m:t>,</m:t>
          </m:r>
        </m:oMath>
      </m:oMathPara>
    </w:p>
    <w:p w14:paraId="71A71CEB"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where </w:t>
      </w:r>
      <w:r w:rsidRPr="00DD0A30">
        <w:rPr>
          <w:rStyle w:val="VerbatimChar"/>
          <w:rFonts w:ascii="Times New Roman" w:hAnsi="Times New Roman" w:cs="Times New Roman"/>
          <w:szCs w:val="22"/>
        </w:rPr>
        <w:t>gs_diff</w:t>
      </w:r>
      <w:r w:rsidRPr="00DD0A30">
        <w:rPr>
          <w:rFonts w:ascii="Times New Roman" w:hAnsi="Times New Roman" w:cs="Times New Roman"/>
          <w:sz w:val="22"/>
          <w:szCs w:val="22"/>
        </w:rPr>
        <w:t xml:space="preserve"> is computed as goals scored by lagging minus goals scored by leading.</w:t>
      </w:r>
    </w:p>
    <w:p w14:paraId="330D49B9"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56" w:name="X212b914995b68215482693d4c20eeb4ed723aa1"/>
      <w:bookmarkEnd w:id="55"/>
      <w:r w:rsidRPr="004A752F">
        <w:rPr>
          <w:rFonts w:ascii="Times New Roman" w:hAnsi="Times New Roman" w:cs="Times New Roman"/>
          <w:b/>
          <w:bCs/>
          <w:i w:val="0"/>
          <w:iCs w:val="0"/>
          <w:color w:val="auto"/>
          <w:sz w:val="22"/>
          <w:szCs w:val="22"/>
        </w:rPr>
        <w:t>Step 1: Infer current match points from match goal difference.</w:t>
      </w:r>
    </w:p>
    <w:p w14:paraId="1FD21CD8"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At every minute, each team has a match-specific goal difference (</w:t>
      </w:r>
      <w:r w:rsidRPr="00DD0A30">
        <w:rPr>
          <w:rStyle w:val="VerbatimChar"/>
          <w:rFonts w:ascii="Times New Roman" w:hAnsi="Times New Roman" w:cs="Times New Roman"/>
          <w:szCs w:val="22"/>
        </w:rPr>
        <w:t>last_game_goals_diff</w:t>
      </w:r>
      <w:r w:rsidRPr="00DD0A30">
        <w:rPr>
          <w:rFonts w:ascii="Times New Roman" w:hAnsi="Times New Roman" w:cs="Times New Roman"/>
          <w:sz w:val="22"/>
          <w:szCs w:val="22"/>
        </w:rPr>
        <w:t>). We infer match points robustly from this match GD:</w:t>
      </w:r>
    </w:p>
    <w:p w14:paraId="5AA94DC1"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match_pts</m:t>
          </m:r>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m>
                <m:mPr>
                  <m:plcHide m:val="1"/>
                  <m:mcs>
                    <m:mc>
                      <m:mcPr>
                        <m:count m:val="2"/>
                        <m:mcJc m:val="left"/>
                      </m:mcPr>
                    </m:mc>
                  </m:mcs>
                  <m:ctrlPr>
                    <w:rPr>
                      <w:rFonts w:ascii="Cambria Math" w:hAnsi="Cambria Math" w:cs="Times New Roman"/>
                      <w:sz w:val="22"/>
                      <w:szCs w:val="22"/>
                    </w:rPr>
                  </m:ctrlPr>
                </m:mPr>
                <m:mr>
                  <m:e>
                    <m:r>
                      <m:rPr>
                        <m:nor/>
                      </m:rPr>
                      <w:rPr>
                        <w:rFonts w:ascii="Times New Roman" w:hAnsi="Times New Roman" w:cs="Times New Roman"/>
                        <w:sz w:val="22"/>
                        <w:szCs w:val="22"/>
                      </w:rPr>
                      <m:t>win_pts</m:t>
                    </m:r>
                  </m:e>
                  <m:e>
                    <m:r>
                      <m:rPr>
                        <m:nor/>
                      </m:rPr>
                      <w:rPr>
                        <w:rFonts w:ascii="Times New Roman" w:hAnsi="Times New Roman" w:cs="Times New Roman"/>
                        <w:sz w:val="22"/>
                        <w:szCs w:val="22"/>
                      </w:rPr>
                      <m:t>if match GD</m:t>
                    </m:r>
                    <m:r>
                      <m:rPr>
                        <m:sty m:val="p"/>
                      </m:rPr>
                      <w:rPr>
                        <w:rFonts w:ascii="Cambria Math" w:hAnsi="Cambria Math" w:cs="Times New Roman"/>
                        <w:sz w:val="22"/>
                        <w:szCs w:val="22"/>
                      </w:rPr>
                      <m:t>&gt;</m:t>
                    </m:r>
                    <m:r>
                      <w:rPr>
                        <w:rFonts w:ascii="Cambria Math" w:hAnsi="Cambria Math" w:cs="Times New Roman"/>
                        <w:sz w:val="22"/>
                        <w:szCs w:val="22"/>
                      </w:rPr>
                      <m:t>0</m:t>
                    </m:r>
                    <m:r>
                      <m:rPr>
                        <m:sty m:val="p"/>
                      </m:rPr>
                      <w:rPr>
                        <w:rFonts w:ascii="Cambria Math" w:hAnsi="Cambria Math" w:cs="Times New Roman"/>
                        <w:sz w:val="22"/>
                        <w:szCs w:val="22"/>
                      </w:rPr>
                      <m:t>,</m:t>
                    </m:r>
                  </m:e>
                </m:mr>
                <m:mr>
                  <m:e>
                    <m:r>
                      <w:rPr>
                        <w:rFonts w:ascii="Cambria Math" w:hAnsi="Cambria Math" w:cs="Times New Roman"/>
                        <w:sz w:val="22"/>
                        <w:szCs w:val="22"/>
                      </w:rPr>
                      <m:t>1</m:t>
                    </m:r>
                  </m:e>
                  <m:e>
                    <m:r>
                      <m:rPr>
                        <m:nor/>
                      </m:rPr>
                      <w:rPr>
                        <w:rFonts w:ascii="Times New Roman" w:hAnsi="Times New Roman" w:cs="Times New Roman"/>
                        <w:sz w:val="22"/>
                        <w:szCs w:val="22"/>
                      </w:rPr>
                      <m:t>if match GD</m:t>
                    </m:r>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e>
                </m:mr>
                <m:mr>
                  <m:e>
                    <m:r>
                      <w:rPr>
                        <w:rFonts w:ascii="Cambria Math" w:hAnsi="Cambria Math" w:cs="Times New Roman"/>
                        <w:sz w:val="22"/>
                        <w:szCs w:val="22"/>
                      </w:rPr>
                      <m:t>0</m:t>
                    </m:r>
                  </m:e>
                  <m:e>
                    <m:r>
                      <m:rPr>
                        <m:nor/>
                      </m:rPr>
                      <w:rPr>
                        <w:rFonts w:ascii="Times New Roman" w:hAnsi="Times New Roman" w:cs="Times New Roman"/>
                        <w:sz w:val="22"/>
                        <w:szCs w:val="22"/>
                      </w:rPr>
                      <m:t>if match GD</m:t>
                    </m:r>
                    <m:r>
                      <m:rPr>
                        <m:sty m:val="p"/>
                      </m:rPr>
                      <w:rPr>
                        <w:rFonts w:ascii="Cambria Math" w:hAnsi="Cambria Math" w:cs="Times New Roman"/>
                        <w:sz w:val="22"/>
                        <w:szCs w:val="22"/>
                      </w:rPr>
                      <m:t>&lt;</m:t>
                    </m:r>
                    <m:r>
                      <w:rPr>
                        <w:rFonts w:ascii="Cambria Math" w:hAnsi="Cambria Math" w:cs="Times New Roman"/>
                        <w:sz w:val="22"/>
                        <w:szCs w:val="22"/>
                      </w:rPr>
                      <m:t>0</m:t>
                    </m:r>
                    <m:r>
                      <m:rPr>
                        <m:sty m:val="p"/>
                      </m:rPr>
                      <w:rPr>
                        <w:rFonts w:ascii="Cambria Math" w:hAnsi="Cambria Math" w:cs="Times New Roman"/>
                        <w:sz w:val="22"/>
                        <w:szCs w:val="22"/>
                      </w:rPr>
                      <m:t>,</m:t>
                    </m:r>
                  </m:e>
                </m:mr>
              </m:m>
            </m:e>
          </m:d>
        </m:oMath>
      </m:oMathPara>
    </w:p>
    <w:p w14:paraId="2C18C34D"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with </w:t>
      </w:r>
      <w:r w:rsidRPr="00DD0A30">
        <w:rPr>
          <w:rStyle w:val="VerbatimChar"/>
          <w:rFonts w:ascii="Times New Roman" w:hAnsi="Times New Roman" w:cs="Times New Roman"/>
          <w:szCs w:val="22"/>
        </w:rPr>
        <w:t>win_pts</w:t>
      </w:r>
      <w:r w:rsidRPr="00DD0A30">
        <w:rPr>
          <w:rFonts w:ascii="Times New Roman" w:hAnsi="Times New Roman" w:cs="Times New Roman"/>
          <w:sz w:val="22"/>
          <w:szCs w:val="22"/>
        </w:rPr>
        <w:t xml:space="preserve"> </w:t>
      </w:r>
      <m:oMath>
        <m:r>
          <m:rPr>
            <m:sty m:val="p"/>
          </m:rPr>
          <w:rPr>
            <w:rFonts w:ascii="Cambria Math" w:hAnsi="Cambria Math" w:cs="Times New Roman"/>
            <w:sz w:val="22"/>
            <w:szCs w:val="22"/>
          </w:rPr>
          <m:t>=</m:t>
        </m:r>
        <m:r>
          <w:rPr>
            <w:rFonts w:ascii="Cambria Math" w:hAnsi="Cambria Math" w:cs="Times New Roman"/>
            <w:sz w:val="22"/>
            <w:szCs w:val="22"/>
          </w:rPr>
          <m:t>2</m:t>
        </m:r>
      </m:oMath>
      <w:r w:rsidRPr="00DD0A30">
        <w:rPr>
          <w:rFonts w:ascii="Times New Roman" w:hAnsi="Times New Roman" w:cs="Times New Roman"/>
          <w:sz w:val="22"/>
          <w:szCs w:val="22"/>
        </w:rPr>
        <w:t xml:space="preserve"> if </w:t>
      </w:r>
      <w:r w:rsidRPr="00DD0A30">
        <w:rPr>
          <w:rStyle w:val="VerbatimChar"/>
          <w:rFonts w:ascii="Times New Roman" w:hAnsi="Times New Roman" w:cs="Times New Roman"/>
          <w:szCs w:val="22"/>
        </w:rPr>
        <w:t xml:space="preserve">year </w:t>
      </w:r>
      <m:oMath>
        <m:r>
          <m:rPr>
            <m:sty m:val="p"/>
          </m:rPr>
          <w:rPr>
            <w:rFonts w:ascii="Cambria Math" w:hAnsi="Cambria Math" w:cs="Times New Roman"/>
            <w:sz w:val="22"/>
            <w:szCs w:val="22"/>
          </w:rPr>
          <m:t>≤</m:t>
        </m:r>
      </m:oMath>
      <w:r w:rsidRPr="00DD0A30">
        <w:rPr>
          <w:rStyle w:val="VerbatimChar"/>
          <w:rFonts w:ascii="Times New Roman" w:hAnsi="Times New Roman" w:cs="Times New Roman"/>
          <w:szCs w:val="22"/>
        </w:rPr>
        <w:t xml:space="preserve"> 1992</w:t>
      </w:r>
      <w:r w:rsidRPr="00DD0A30">
        <w:rPr>
          <w:rFonts w:ascii="Times New Roman" w:hAnsi="Times New Roman" w:cs="Times New Roman"/>
          <w:sz w:val="22"/>
          <w:szCs w:val="22"/>
        </w:rPr>
        <w:t xml:space="preserve"> and </w:t>
      </w:r>
      <w:r w:rsidRPr="00DD0A30">
        <w:rPr>
          <w:rStyle w:val="VerbatimChar"/>
          <w:rFonts w:ascii="Times New Roman" w:hAnsi="Times New Roman" w:cs="Times New Roman"/>
          <w:szCs w:val="22"/>
        </w:rPr>
        <w:t>win_pts</w:t>
      </w:r>
      <w:r w:rsidRPr="00DD0A30">
        <w:rPr>
          <w:rFonts w:ascii="Times New Roman" w:hAnsi="Times New Roman" w:cs="Times New Roman"/>
          <w:sz w:val="22"/>
          <w:szCs w:val="22"/>
        </w:rPr>
        <w:t xml:space="preserve"> </w:t>
      </w:r>
      <m:oMath>
        <m:r>
          <m:rPr>
            <m:sty m:val="p"/>
          </m:rPr>
          <w:rPr>
            <w:rFonts w:ascii="Cambria Math" w:hAnsi="Cambria Math" w:cs="Times New Roman"/>
            <w:sz w:val="22"/>
            <w:szCs w:val="22"/>
          </w:rPr>
          <m:t>=</m:t>
        </m:r>
        <m:r>
          <w:rPr>
            <w:rFonts w:ascii="Cambria Math" w:hAnsi="Cambria Math" w:cs="Times New Roman"/>
            <w:sz w:val="22"/>
            <w:szCs w:val="22"/>
          </w:rPr>
          <m:t>3</m:t>
        </m:r>
      </m:oMath>
      <w:r w:rsidRPr="00DD0A30">
        <w:rPr>
          <w:rFonts w:ascii="Times New Roman" w:hAnsi="Times New Roman" w:cs="Times New Roman"/>
          <w:sz w:val="22"/>
          <w:szCs w:val="22"/>
        </w:rPr>
        <w:t xml:space="preserve"> otherwise.</w:t>
      </w:r>
    </w:p>
    <w:p w14:paraId="4D0920D0"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57" w:name="step-2-evaluate-the-two-one-goal-shocks"/>
      <w:bookmarkEnd w:id="56"/>
      <w:r w:rsidRPr="004A752F">
        <w:rPr>
          <w:rFonts w:ascii="Times New Roman" w:hAnsi="Times New Roman" w:cs="Times New Roman"/>
          <w:b/>
          <w:bCs/>
          <w:i w:val="0"/>
          <w:iCs w:val="0"/>
          <w:color w:val="auto"/>
          <w:sz w:val="22"/>
          <w:szCs w:val="22"/>
        </w:rPr>
        <w:t xml:space="preserve">Step 2: Evaluate the two one-goal shocks </w:t>
      </w:r>
    </w:p>
    <w:p w14:paraId="723C9C1C"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We compute whether </w:t>
      </w:r>
      <w:r w:rsidRPr="00DD0A30">
        <w:rPr>
          <w:rFonts w:ascii="Times New Roman" w:hAnsi="Times New Roman" w:cs="Times New Roman"/>
          <w:i/>
          <w:iCs/>
          <w:sz w:val="22"/>
          <w:szCs w:val="22"/>
        </w:rPr>
        <w:t>either</w:t>
      </w:r>
      <w:r w:rsidRPr="00DD0A30">
        <w:rPr>
          <w:rFonts w:ascii="Times New Roman" w:hAnsi="Times New Roman" w:cs="Times New Roman"/>
          <w:sz w:val="22"/>
          <w:szCs w:val="22"/>
        </w:rPr>
        <w:t xml:space="preserve"> of the following shocks makes lagging rank </w:t>
      </w:r>
      <m:oMath>
        <m:r>
          <m:rPr>
            <m:sty m:val="p"/>
          </m:rPr>
          <w:rPr>
            <w:rFonts w:ascii="Cambria Math" w:hAnsi="Cambria Math" w:cs="Times New Roman"/>
            <w:sz w:val="22"/>
            <w:szCs w:val="22"/>
          </w:rPr>
          <m:t>≥</m:t>
        </m:r>
      </m:oMath>
      <w:r w:rsidRPr="00DD0A30">
        <w:rPr>
          <w:rFonts w:ascii="Times New Roman" w:hAnsi="Times New Roman" w:cs="Times New Roman"/>
          <w:sz w:val="22"/>
          <w:szCs w:val="22"/>
        </w:rPr>
        <w:t xml:space="preserve"> leading under FIFA ordering:</w:t>
      </w:r>
    </w:p>
    <w:p w14:paraId="1A3DC221" w14:textId="77777777" w:rsidR="00D35D27" w:rsidRPr="00DD0A30" w:rsidRDefault="00000000" w:rsidP="00DD0A30">
      <w:pPr>
        <w:numPr>
          <w:ilvl w:val="0"/>
          <w:numId w:val="5"/>
        </w:numPr>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Lagging scores (+1)</w:t>
      </w:r>
      <w:r w:rsidRPr="00DD0A30">
        <w:rPr>
          <w:rFonts w:ascii="Times New Roman" w:hAnsi="Times New Roman" w:cs="Times New Roman"/>
          <w:sz w:val="22"/>
          <w:szCs w:val="22"/>
        </w:rPr>
        <w:t>.</w:t>
      </w:r>
    </w:p>
    <w:p w14:paraId="4E4D2B74" w14:textId="77777777" w:rsidR="00D35D27" w:rsidRPr="00DD0A30" w:rsidRDefault="00000000" w:rsidP="00DD0A30">
      <w:pPr>
        <w:numPr>
          <w:ilvl w:val="0"/>
          <w:numId w:val="5"/>
        </w:numPr>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Leading concedes (+1)</w:t>
      </w:r>
      <w:r w:rsidRPr="00DD0A30">
        <w:rPr>
          <w:rFonts w:ascii="Times New Roman" w:hAnsi="Times New Roman" w:cs="Times New Roman"/>
          <w:sz w:val="22"/>
          <w:szCs w:val="22"/>
        </w:rPr>
        <w:t>.</w:t>
      </w:r>
    </w:p>
    <w:p w14:paraId="0188D537"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The shocks update </w:t>
      </w:r>
      <w:r w:rsidRPr="00DD0A30">
        <w:rPr>
          <w:rFonts w:ascii="Times New Roman" w:hAnsi="Times New Roman" w:cs="Times New Roman"/>
          <w:i/>
          <w:iCs/>
          <w:sz w:val="22"/>
          <w:szCs w:val="22"/>
        </w:rPr>
        <w:t>both</w:t>
      </w:r>
      <w:r w:rsidRPr="00DD0A30">
        <w:rPr>
          <w:rFonts w:ascii="Times New Roman" w:hAnsi="Times New Roman" w:cs="Times New Roman"/>
          <w:sz w:val="22"/>
          <w:szCs w:val="22"/>
        </w:rPr>
        <w:t xml:space="preserve"> (i) match states and (ii) overall differences:</w:t>
      </w:r>
    </w:p>
    <w:p w14:paraId="79684ACF" w14:textId="77777777" w:rsidR="00D35D27" w:rsidRPr="00DD0A30" w:rsidRDefault="00000000" w:rsidP="00DD0A30">
      <w:pPr>
        <w:numPr>
          <w:ilvl w:val="0"/>
          <w:numId w:val="6"/>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If </w:t>
      </w:r>
      <w:r w:rsidRPr="00DD0A30">
        <w:rPr>
          <w:rStyle w:val="VerbatimChar"/>
          <w:rFonts w:ascii="Times New Roman" w:hAnsi="Times New Roman" w:cs="Times New Roman"/>
          <w:szCs w:val="22"/>
        </w:rPr>
        <w:t>h2h = 0</w:t>
      </w:r>
      <w:r w:rsidRPr="00DD0A30">
        <w:rPr>
          <w:rFonts w:ascii="Times New Roman" w:hAnsi="Times New Roman" w:cs="Times New Roman"/>
          <w:sz w:val="22"/>
          <w:szCs w:val="22"/>
        </w:rPr>
        <w:t xml:space="preserve"> (teams are in different matches), the shock affects only the relevant team’s match GD by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 xml:space="preserve"> and hence may change match points. Overall GD changes by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 xml:space="preserve"> in favor of lagging for either shock. Goals scored changes by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 xml:space="preserve"> </w:t>
      </w:r>
      <w:r w:rsidRPr="00DD0A30">
        <w:rPr>
          <w:rFonts w:ascii="Times New Roman" w:hAnsi="Times New Roman" w:cs="Times New Roman"/>
          <w:i/>
          <w:iCs/>
          <w:sz w:val="22"/>
          <w:szCs w:val="22"/>
        </w:rPr>
        <w:t>only</w:t>
      </w:r>
      <w:r w:rsidRPr="00DD0A30">
        <w:rPr>
          <w:rFonts w:ascii="Times New Roman" w:hAnsi="Times New Roman" w:cs="Times New Roman"/>
          <w:sz w:val="22"/>
          <w:szCs w:val="22"/>
        </w:rPr>
        <w:t xml:space="preserve"> if lagging scores.</w:t>
      </w:r>
    </w:p>
    <w:p w14:paraId="310AF15F" w14:textId="77777777" w:rsidR="00D35D27" w:rsidRPr="00DD0A30" w:rsidRDefault="00000000" w:rsidP="00DD0A30">
      <w:pPr>
        <w:numPr>
          <w:ilvl w:val="0"/>
          <w:numId w:val="6"/>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If </w:t>
      </w:r>
      <w:r w:rsidRPr="00DD0A30">
        <w:rPr>
          <w:rStyle w:val="VerbatimChar"/>
          <w:rFonts w:ascii="Times New Roman" w:hAnsi="Times New Roman" w:cs="Times New Roman"/>
          <w:szCs w:val="22"/>
        </w:rPr>
        <w:t>h2h = 1</w:t>
      </w:r>
      <w:r w:rsidRPr="00DD0A30">
        <w:rPr>
          <w:rFonts w:ascii="Times New Roman" w:hAnsi="Times New Roman" w:cs="Times New Roman"/>
          <w:sz w:val="22"/>
          <w:szCs w:val="22"/>
        </w:rPr>
        <w:t xml:space="preserve"> (teams are facing each other in the current match), a single goal simultaneously improves lagging’s match GD by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 xml:space="preserve"> and worsens leading’s match GD by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 xml:space="preserve">. Hence overall GD changes by </w:t>
      </w:r>
      <m:oMath>
        <m:r>
          <m:rPr>
            <m:sty m:val="p"/>
          </m:rPr>
          <w:rPr>
            <w:rFonts w:ascii="Cambria Math" w:hAnsi="Cambria Math" w:cs="Times New Roman"/>
            <w:sz w:val="22"/>
            <w:szCs w:val="22"/>
          </w:rPr>
          <m:t>+</m:t>
        </m:r>
        <m:r>
          <w:rPr>
            <w:rFonts w:ascii="Cambria Math" w:hAnsi="Cambria Math" w:cs="Times New Roman"/>
            <w:sz w:val="22"/>
            <w:szCs w:val="22"/>
          </w:rPr>
          <m:t>2</m:t>
        </m:r>
      </m:oMath>
      <w:r w:rsidRPr="00DD0A30">
        <w:rPr>
          <w:rFonts w:ascii="Times New Roman" w:hAnsi="Times New Roman" w:cs="Times New Roman"/>
          <w:sz w:val="22"/>
          <w:szCs w:val="22"/>
        </w:rPr>
        <w:t xml:space="preserve"> in favor of lagging. Goals scored of lagging increases by </w:t>
      </w:r>
      <m:oMath>
        <m:r>
          <m:rPr>
            <m:sty m:val="p"/>
          </m:rPr>
          <w:rPr>
            <w:rFonts w:ascii="Cambria Math" w:hAnsi="Cambria Math" w:cs="Times New Roman"/>
            <w:sz w:val="22"/>
            <w:szCs w:val="22"/>
          </w:rPr>
          <m:t>+</m:t>
        </m:r>
        <m:r>
          <w:rPr>
            <w:rFonts w:ascii="Cambria Math" w:hAnsi="Cambria Math" w:cs="Times New Roman"/>
            <w:sz w:val="22"/>
            <w:szCs w:val="22"/>
          </w:rPr>
          <m:t>1</m:t>
        </m:r>
      </m:oMath>
      <w:r w:rsidRPr="00DD0A30">
        <w:rPr>
          <w:rFonts w:ascii="Times New Roman" w:hAnsi="Times New Roman" w:cs="Times New Roman"/>
          <w:sz w:val="22"/>
          <w:szCs w:val="22"/>
        </w:rPr>
        <w:t>.</w:t>
      </w:r>
    </w:p>
    <w:p w14:paraId="0BDA866F"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lastRenderedPageBreak/>
        <w:t xml:space="preserve">After updating points (through inferred match points), overall GD, and overall goals scored, suspense is set to 1 if lagging becomes </w:t>
      </w:r>
      <w:r w:rsidRPr="00DD0A30">
        <w:rPr>
          <w:rFonts w:ascii="Times New Roman" w:hAnsi="Times New Roman" w:cs="Times New Roman"/>
          <w:i/>
          <w:iCs/>
          <w:sz w:val="22"/>
          <w:szCs w:val="22"/>
        </w:rPr>
        <w:t>not behind</w:t>
      </w:r>
      <w:r w:rsidRPr="00DD0A30">
        <w:rPr>
          <w:rFonts w:ascii="Times New Roman" w:hAnsi="Times New Roman" w:cs="Times New Roman"/>
          <w:sz w:val="22"/>
          <w:szCs w:val="22"/>
        </w:rPr>
        <w:t xml:space="preserve"> leading under:</w:t>
      </w:r>
    </w:p>
    <w:p w14:paraId="5963F749" w14:textId="77777777" w:rsidR="00D35D27" w:rsidRPr="00DD0A30" w:rsidRDefault="00000000" w:rsidP="00DD0A30">
      <w:pPr>
        <w:pStyle w:val="BodyText"/>
        <w:spacing w:line="360" w:lineRule="auto"/>
        <w:jc w:val="both"/>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Points</m:t>
          </m:r>
          <m:r>
            <m:rPr>
              <m:sty m:val="p"/>
            </m:rPr>
            <w:rPr>
              <w:rFonts w:ascii="Cambria Math" w:hAnsi="Cambria Math" w:cs="Times New Roman"/>
              <w:sz w:val="22"/>
              <w:szCs w:val="22"/>
            </w:rPr>
            <m:t>→</m:t>
          </m:r>
          <m:r>
            <m:rPr>
              <m:nor/>
            </m:rPr>
            <w:rPr>
              <w:rFonts w:ascii="Times New Roman" w:hAnsi="Times New Roman" w:cs="Times New Roman"/>
              <w:sz w:val="22"/>
              <w:szCs w:val="22"/>
            </w:rPr>
            <m:t>Overall GD</m:t>
          </m:r>
          <m:r>
            <m:rPr>
              <m:sty m:val="p"/>
            </m:rPr>
            <w:rPr>
              <w:rFonts w:ascii="Cambria Math" w:hAnsi="Cambria Math" w:cs="Times New Roman"/>
              <w:sz w:val="22"/>
              <w:szCs w:val="22"/>
            </w:rPr>
            <m:t>→</m:t>
          </m:r>
          <m:r>
            <m:rPr>
              <m:nor/>
            </m:rPr>
            <w:rPr>
              <w:rFonts w:ascii="Times New Roman" w:hAnsi="Times New Roman" w:cs="Times New Roman"/>
              <w:sz w:val="22"/>
              <w:szCs w:val="22"/>
            </w:rPr>
            <m:t>Overall GS</m:t>
          </m:r>
          <m:r>
            <m:rPr>
              <m:sty m:val="p"/>
            </m:rPr>
            <w:rPr>
              <w:rFonts w:ascii="Cambria Math" w:hAnsi="Cambria Math" w:cs="Times New Roman"/>
              <w:sz w:val="22"/>
              <w:szCs w:val="22"/>
            </w:rPr>
            <m:t>.</m:t>
          </m:r>
        </m:oMath>
      </m:oMathPara>
    </w:p>
    <w:p w14:paraId="6B1296BD"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If the shock produces a full tie on all three dimensions, we still classify the moment as suspenseful (</w:t>
      </w:r>
      <w:r w:rsidRPr="00DD0A30">
        <w:rPr>
          <w:rStyle w:val="VerbatimChar"/>
          <w:rFonts w:ascii="Times New Roman" w:hAnsi="Times New Roman" w:cs="Times New Roman"/>
          <w:szCs w:val="22"/>
        </w:rPr>
        <w:t>suspense=1</w:t>
      </w:r>
      <w:r w:rsidRPr="00DD0A30">
        <w:rPr>
          <w:rFonts w:ascii="Times New Roman" w:hAnsi="Times New Roman" w:cs="Times New Roman"/>
          <w:sz w:val="22"/>
          <w:szCs w:val="22"/>
        </w:rPr>
        <w:t>), since the next tie-break (e.g., head-to-head or lots) may decide qualification.</w:t>
      </w:r>
    </w:p>
    <w:p w14:paraId="432DCE17"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58" w:name="step-3-flag-head-to-head-tie-break-cases"/>
      <w:bookmarkEnd w:id="57"/>
      <w:r w:rsidRPr="004A752F">
        <w:rPr>
          <w:rFonts w:ascii="Times New Roman" w:hAnsi="Times New Roman" w:cs="Times New Roman"/>
          <w:b/>
          <w:bCs/>
          <w:i w:val="0"/>
          <w:iCs w:val="0"/>
          <w:color w:val="auto"/>
          <w:sz w:val="22"/>
          <w:szCs w:val="22"/>
        </w:rPr>
        <w:t xml:space="preserve">Step 3: Flag head-to-head tie-break cases </w:t>
      </w:r>
    </w:p>
    <w:p w14:paraId="4F4824E4"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We create the indicator </w:t>
      </w:r>
      <w:r w:rsidRPr="00DD0A30">
        <w:rPr>
          <w:rStyle w:val="VerbatimChar"/>
          <w:rFonts w:ascii="Times New Roman" w:hAnsi="Times New Roman" w:cs="Times New Roman"/>
          <w:szCs w:val="22"/>
        </w:rPr>
        <w:t>h2h_suspense</w:t>
      </w:r>
      <w:r w:rsidRPr="00DD0A30">
        <w:rPr>
          <w:rFonts w:ascii="Times New Roman" w:hAnsi="Times New Roman" w:cs="Times New Roman"/>
          <w:sz w:val="22"/>
          <w:szCs w:val="22"/>
        </w:rPr>
        <w:t xml:space="preserve"> to identify the subset of observations where the qualification cut-off would be decided by the </w:t>
      </w:r>
      <w:r w:rsidRPr="00DD0A30">
        <w:rPr>
          <w:rFonts w:ascii="Times New Roman" w:hAnsi="Times New Roman" w:cs="Times New Roman"/>
          <w:i/>
          <w:iCs/>
          <w:sz w:val="22"/>
          <w:szCs w:val="22"/>
        </w:rPr>
        <w:t>head-to-head</w:t>
      </w:r>
      <w:r w:rsidRPr="00DD0A30">
        <w:rPr>
          <w:rFonts w:ascii="Times New Roman" w:hAnsi="Times New Roman" w:cs="Times New Roman"/>
          <w:sz w:val="22"/>
          <w:szCs w:val="22"/>
        </w:rPr>
        <w:t xml:space="preserve"> tie-break between the lagging and leading teams. Practically, we flag </w:t>
      </w:r>
      <w:r w:rsidRPr="00DD0A30">
        <w:rPr>
          <w:rStyle w:val="VerbatimChar"/>
          <w:rFonts w:ascii="Times New Roman" w:hAnsi="Times New Roman" w:cs="Times New Roman"/>
          <w:szCs w:val="22"/>
        </w:rPr>
        <w:t>h2h_suspense=1</w:t>
      </w:r>
      <w:r w:rsidRPr="00DD0A30">
        <w:rPr>
          <w:rFonts w:ascii="Times New Roman" w:hAnsi="Times New Roman" w:cs="Times New Roman"/>
          <w:sz w:val="22"/>
          <w:szCs w:val="22"/>
        </w:rPr>
        <w:t xml:space="preserve"> when a full tie on the </w:t>
      </w:r>
      <w:r w:rsidRPr="00DD0A30">
        <w:rPr>
          <w:rFonts w:ascii="Times New Roman" w:hAnsi="Times New Roman" w:cs="Times New Roman"/>
          <w:i/>
          <w:iCs/>
          <w:sz w:val="22"/>
          <w:szCs w:val="22"/>
        </w:rPr>
        <w:t>FIFA pre-H2H criteria</w:t>
      </w:r>
      <w:r w:rsidRPr="00DD0A30">
        <w:rPr>
          <w:rFonts w:ascii="Times New Roman" w:hAnsi="Times New Roman" w:cs="Times New Roman"/>
          <w:sz w:val="22"/>
          <w:szCs w:val="22"/>
        </w:rPr>
        <w:t xml:space="preserve"> (points, overall goal difference, and overall goals scored) can be reached with a single-goal shock from </w:t>
      </w:r>
      <w:r w:rsidRPr="00DD0A30">
        <w:rPr>
          <w:rFonts w:ascii="Times New Roman" w:hAnsi="Times New Roman" w:cs="Times New Roman"/>
          <w:i/>
          <w:iCs/>
          <w:sz w:val="22"/>
          <w:szCs w:val="22"/>
        </w:rPr>
        <w:t>both</w:t>
      </w:r>
      <w:r w:rsidRPr="00DD0A30">
        <w:rPr>
          <w:rFonts w:ascii="Times New Roman" w:hAnsi="Times New Roman" w:cs="Times New Roman"/>
          <w:sz w:val="22"/>
          <w:szCs w:val="22"/>
        </w:rPr>
        <w:t xml:space="preserve"> perspectives:</w:t>
      </w:r>
    </w:p>
    <w:p w14:paraId="1DBC252F" w14:textId="77777777" w:rsidR="00D35D27" w:rsidRPr="00DD0A30" w:rsidRDefault="00000000" w:rsidP="00DD0A30">
      <w:pPr>
        <w:numPr>
          <w:ilvl w:val="0"/>
          <w:numId w:val="7"/>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full tie after </w:t>
      </w:r>
      <w:r w:rsidRPr="00DD0A30">
        <w:rPr>
          <w:rFonts w:ascii="Times New Roman" w:hAnsi="Times New Roman" w:cs="Times New Roman"/>
          <w:b/>
          <w:bCs/>
          <w:sz w:val="22"/>
          <w:szCs w:val="22"/>
        </w:rPr>
        <w:t>lagging scores (+1)</w:t>
      </w:r>
      <w:r w:rsidRPr="00DD0A30">
        <w:rPr>
          <w:rFonts w:ascii="Times New Roman" w:hAnsi="Times New Roman" w:cs="Times New Roman"/>
          <w:sz w:val="22"/>
          <w:szCs w:val="22"/>
        </w:rPr>
        <w:t>, and</w:t>
      </w:r>
    </w:p>
    <w:p w14:paraId="55EB3432" w14:textId="77777777" w:rsidR="00D35D27" w:rsidRPr="00DD0A30" w:rsidRDefault="00000000" w:rsidP="00DD0A30">
      <w:pPr>
        <w:numPr>
          <w:ilvl w:val="0"/>
          <w:numId w:val="7"/>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full tie after </w:t>
      </w:r>
      <w:r w:rsidRPr="00DD0A30">
        <w:rPr>
          <w:rFonts w:ascii="Times New Roman" w:hAnsi="Times New Roman" w:cs="Times New Roman"/>
          <w:b/>
          <w:bCs/>
          <w:sz w:val="22"/>
          <w:szCs w:val="22"/>
        </w:rPr>
        <w:t>leading concedes (+1)</w:t>
      </w:r>
      <w:r w:rsidRPr="00DD0A30">
        <w:rPr>
          <w:rFonts w:ascii="Times New Roman" w:hAnsi="Times New Roman" w:cs="Times New Roman"/>
          <w:sz w:val="22"/>
          <w:szCs w:val="22"/>
        </w:rPr>
        <w:t>.</w:t>
      </w:r>
    </w:p>
    <w:p w14:paraId="3B3E3DE0"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Only for these cases we set </w:t>
      </w:r>
      <w:r w:rsidRPr="00DD0A30">
        <w:rPr>
          <w:rStyle w:val="VerbatimChar"/>
          <w:rFonts w:ascii="Times New Roman" w:hAnsi="Times New Roman" w:cs="Times New Roman"/>
          <w:szCs w:val="22"/>
        </w:rPr>
        <w:t>suspense=1</w:t>
      </w:r>
      <w:r w:rsidRPr="00DD0A30">
        <w:rPr>
          <w:rFonts w:ascii="Times New Roman" w:hAnsi="Times New Roman" w:cs="Times New Roman"/>
          <w:sz w:val="22"/>
          <w:szCs w:val="22"/>
        </w:rPr>
        <w:t xml:space="preserve"> and </w:t>
      </w:r>
      <w:r w:rsidRPr="00DD0A30">
        <w:rPr>
          <w:rStyle w:val="VerbatimChar"/>
          <w:rFonts w:ascii="Times New Roman" w:hAnsi="Times New Roman" w:cs="Times New Roman"/>
          <w:szCs w:val="22"/>
        </w:rPr>
        <w:t>h2h_suspense=1</w:t>
      </w:r>
      <w:r w:rsidRPr="00DD0A30">
        <w:rPr>
          <w:rFonts w:ascii="Times New Roman" w:hAnsi="Times New Roman" w:cs="Times New Roman"/>
          <w:sz w:val="22"/>
          <w:szCs w:val="22"/>
        </w:rPr>
        <w:t>. This “both perspectives” requirement excludes situations where only one shock produces a full tie, while the other shock would already give one team a strict advantage on goals scored.</w:t>
      </w:r>
    </w:p>
    <w:p w14:paraId="5DD8A0CD"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59" w:name="Xb80459fe48730f8c14d8f1b928e9999352f4f28"/>
      <w:bookmarkEnd w:id="58"/>
      <w:r w:rsidRPr="004A752F">
        <w:rPr>
          <w:rFonts w:ascii="Times New Roman" w:hAnsi="Times New Roman" w:cs="Times New Roman"/>
          <w:b/>
          <w:bCs/>
          <w:i w:val="0"/>
          <w:iCs w:val="0"/>
          <w:color w:val="auto"/>
          <w:sz w:val="22"/>
          <w:szCs w:val="22"/>
        </w:rPr>
        <w:t>Step 4: Evaluate the relevant head-to-head match</w:t>
      </w:r>
    </w:p>
    <w:p w14:paraId="5A9DBDED"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For observations with </w:t>
      </w:r>
      <w:r w:rsidRPr="00DD0A30">
        <w:rPr>
          <w:rStyle w:val="VerbatimChar"/>
          <w:rFonts w:ascii="Times New Roman" w:hAnsi="Times New Roman" w:cs="Times New Roman"/>
          <w:szCs w:val="22"/>
        </w:rPr>
        <w:t>h2h_suspense=1</w:t>
      </w:r>
      <w:r w:rsidRPr="00DD0A30">
        <w:rPr>
          <w:rFonts w:ascii="Times New Roman" w:hAnsi="Times New Roman" w:cs="Times New Roman"/>
          <w:sz w:val="22"/>
          <w:szCs w:val="22"/>
        </w:rPr>
        <w:t>, we evaluate the head-to-head status between the lagging and leading teams to determine whether the tie-break can actually favor the lagging team. There are two distinct cases:</w:t>
      </w:r>
    </w:p>
    <w:p w14:paraId="708C04B0" w14:textId="77777777" w:rsidR="00D35D27" w:rsidRPr="00DD0A30" w:rsidRDefault="00000000" w:rsidP="00DD0A30">
      <w:pPr>
        <w:numPr>
          <w:ilvl w:val="0"/>
          <w:numId w:val="8"/>
        </w:numPr>
        <w:spacing w:line="360" w:lineRule="auto"/>
        <w:jc w:val="both"/>
        <w:rPr>
          <w:rFonts w:ascii="Times New Roman" w:hAnsi="Times New Roman" w:cs="Times New Roman"/>
          <w:sz w:val="22"/>
          <w:szCs w:val="22"/>
        </w:rPr>
      </w:pPr>
      <w:r w:rsidRPr="00DD0A30">
        <w:rPr>
          <w:rStyle w:val="VerbatimChar"/>
          <w:rFonts w:ascii="Times New Roman" w:hAnsi="Times New Roman" w:cs="Times New Roman"/>
          <w:b/>
          <w:bCs/>
          <w:szCs w:val="22"/>
        </w:rPr>
        <w:t>h2h = 1</w:t>
      </w:r>
      <w:r w:rsidRPr="00DD0A30">
        <w:rPr>
          <w:rFonts w:ascii="Times New Roman" w:hAnsi="Times New Roman" w:cs="Times New Roman"/>
          <w:b/>
          <w:bCs/>
          <w:sz w:val="22"/>
          <w:szCs w:val="22"/>
        </w:rPr>
        <w:t xml:space="preserve"> (current match):</w:t>
      </w:r>
      <w:r w:rsidRPr="00DD0A30">
        <w:rPr>
          <w:rFonts w:ascii="Times New Roman" w:hAnsi="Times New Roman" w:cs="Times New Roman"/>
          <w:sz w:val="22"/>
          <w:szCs w:val="22"/>
        </w:rPr>
        <w:t xml:space="preserve"> lagging and leading are facing each other in the ongoing match. In this case, the head-to-head outcome is determined by the </w:t>
      </w:r>
      <w:r w:rsidRPr="00DD0A30">
        <w:rPr>
          <w:rFonts w:ascii="Times New Roman" w:hAnsi="Times New Roman" w:cs="Times New Roman"/>
          <w:i/>
          <w:iCs/>
          <w:sz w:val="22"/>
          <w:szCs w:val="22"/>
        </w:rPr>
        <w:t>current score</w:t>
      </w:r>
      <w:r w:rsidRPr="00DD0A30">
        <w:rPr>
          <w:rFonts w:ascii="Times New Roman" w:hAnsi="Times New Roman" w:cs="Times New Roman"/>
          <w:sz w:val="22"/>
          <w:szCs w:val="22"/>
        </w:rPr>
        <w:t xml:space="preserve"> at minute </w:t>
      </w:r>
      <m:oMath>
        <m:r>
          <w:rPr>
            <w:rFonts w:ascii="Cambria Math" w:hAnsi="Cambria Math" w:cs="Times New Roman"/>
            <w:sz w:val="22"/>
            <w:szCs w:val="22"/>
          </w:rPr>
          <m:t>t</m:t>
        </m:r>
      </m:oMath>
      <w:r w:rsidRPr="00DD0A30">
        <w:rPr>
          <w:rFonts w:ascii="Times New Roman" w:hAnsi="Times New Roman" w:cs="Times New Roman"/>
          <w:sz w:val="22"/>
          <w:szCs w:val="22"/>
        </w:rPr>
        <w:t xml:space="preserve"> (i.e., the current match goal difference for the lagging team).</w:t>
      </w:r>
    </w:p>
    <w:p w14:paraId="469CBABD" w14:textId="77777777" w:rsidR="00D35D27" w:rsidRPr="00DD0A30" w:rsidRDefault="00000000" w:rsidP="00DD0A30">
      <w:pPr>
        <w:numPr>
          <w:ilvl w:val="0"/>
          <w:numId w:val="8"/>
        </w:numPr>
        <w:spacing w:line="360" w:lineRule="auto"/>
        <w:jc w:val="both"/>
        <w:rPr>
          <w:rFonts w:ascii="Times New Roman" w:hAnsi="Times New Roman" w:cs="Times New Roman"/>
          <w:sz w:val="22"/>
          <w:szCs w:val="22"/>
        </w:rPr>
      </w:pPr>
      <w:r w:rsidRPr="00DD0A30">
        <w:rPr>
          <w:rStyle w:val="VerbatimChar"/>
          <w:rFonts w:ascii="Times New Roman" w:hAnsi="Times New Roman" w:cs="Times New Roman"/>
          <w:b/>
          <w:bCs/>
          <w:szCs w:val="22"/>
        </w:rPr>
        <w:t>h2h = 0</w:t>
      </w:r>
      <w:r w:rsidRPr="00DD0A30">
        <w:rPr>
          <w:rFonts w:ascii="Times New Roman" w:hAnsi="Times New Roman" w:cs="Times New Roman"/>
          <w:b/>
          <w:bCs/>
          <w:sz w:val="22"/>
          <w:szCs w:val="22"/>
        </w:rPr>
        <w:t xml:space="preserve"> (previous match):</w:t>
      </w:r>
      <w:r w:rsidRPr="00DD0A30">
        <w:rPr>
          <w:rFonts w:ascii="Times New Roman" w:hAnsi="Times New Roman" w:cs="Times New Roman"/>
          <w:sz w:val="22"/>
          <w:szCs w:val="22"/>
        </w:rPr>
        <w:t xml:space="preserve"> lagging and leading are not playing each other in the current match minute; their head-to-head match is in one of the two </w:t>
      </w:r>
      <w:r w:rsidRPr="00DD0A30">
        <w:rPr>
          <w:rFonts w:ascii="Times New Roman" w:hAnsi="Times New Roman" w:cs="Times New Roman"/>
          <w:i/>
          <w:iCs/>
          <w:sz w:val="22"/>
          <w:szCs w:val="22"/>
        </w:rPr>
        <w:t>previous</w:t>
      </w:r>
      <w:r w:rsidRPr="00DD0A30">
        <w:rPr>
          <w:rFonts w:ascii="Times New Roman" w:hAnsi="Times New Roman" w:cs="Times New Roman"/>
          <w:sz w:val="22"/>
          <w:szCs w:val="22"/>
        </w:rPr>
        <w:t xml:space="preserve"> fixtures in the same group stage. In this case the head-to-head outcome is fixed and can be retrieved from </w:t>
      </w:r>
      <w:r w:rsidRPr="00DD0A30">
        <w:rPr>
          <w:rStyle w:val="VerbatimChar"/>
          <w:rFonts w:ascii="Times New Roman" w:hAnsi="Times New Roman" w:cs="Times New Roman"/>
          <w:szCs w:val="22"/>
        </w:rPr>
        <w:t>goals_df</w:t>
      </w:r>
      <w:r w:rsidRPr="00DD0A30">
        <w:rPr>
          <w:rFonts w:ascii="Times New Roman" w:hAnsi="Times New Roman" w:cs="Times New Roman"/>
          <w:sz w:val="22"/>
          <w:szCs w:val="22"/>
        </w:rPr>
        <w:t xml:space="preserve"> using the match’s final score. If the lagging team loses the head-to-head match, we set </w:t>
      </w:r>
      <w:r w:rsidRPr="00DD0A30">
        <w:rPr>
          <w:rStyle w:val="VerbatimChar"/>
          <w:rFonts w:ascii="Times New Roman" w:hAnsi="Times New Roman" w:cs="Times New Roman"/>
          <w:szCs w:val="22"/>
        </w:rPr>
        <w:t>suspense</w:t>
      </w:r>
      <w:r w:rsidRPr="00DD0A30">
        <w:rPr>
          <w:rFonts w:ascii="Times New Roman" w:hAnsi="Times New Roman" w:cs="Times New Roman"/>
          <w:sz w:val="22"/>
          <w:szCs w:val="22"/>
        </w:rPr>
        <w:t xml:space="preserve"> back to 0 for that observation.</w:t>
      </w:r>
    </w:p>
    <w:p w14:paraId="05B4C698"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0" w:name="step-5-draw-lots-adjustments."/>
      <w:bookmarkEnd w:id="59"/>
      <w:r w:rsidRPr="004A752F">
        <w:rPr>
          <w:rFonts w:ascii="Times New Roman" w:hAnsi="Times New Roman" w:cs="Times New Roman"/>
          <w:b/>
          <w:bCs/>
          <w:i w:val="0"/>
          <w:iCs w:val="0"/>
          <w:color w:val="auto"/>
          <w:sz w:val="22"/>
          <w:szCs w:val="22"/>
        </w:rPr>
        <w:t>Step 5: Draw-lots adjustments.</w:t>
      </w:r>
    </w:p>
    <w:p w14:paraId="03337835"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Finally, we manually set </w:t>
      </w:r>
      <w:r w:rsidRPr="00DD0A30">
        <w:rPr>
          <w:rStyle w:val="VerbatimChar"/>
          <w:rFonts w:ascii="Times New Roman" w:hAnsi="Times New Roman" w:cs="Times New Roman"/>
          <w:szCs w:val="22"/>
        </w:rPr>
        <w:t>suspense=1</w:t>
      </w:r>
      <w:r w:rsidRPr="00DD0A30">
        <w:rPr>
          <w:rFonts w:ascii="Times New Roman" w:hAnsi="Times New Roman" w:cs="Times New Roman"/>
          <w:sz w:val="22"/>
          <w:szCs w:val="22"/>
        </w:rPr>
        <w:t xml:space="preserve"> in a small set of edge cases where the FIFA rules imply qualification may be decided by lots.</w:t>
      </w:r>
    </w:p>
    <w:p w14:paraId="68974B90"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1" w:name="X3d10d7fddd3c98710a774d253adc8e14a4c1047"/>
      <w:bookmarkEnd w:id="60"/>
      <w:r w:rsidRPr="004A752F">
        <w:rPr>
          <w:rFonts w:ascii="Times New Roman" w:hAnsi="Times New Roman" w:cs="Times New Roman"/>
          <w:b/>
          <w:bCs/>
          <w:i w:val="0"/>
          <w:iCs w:val="0"/>
          <w:color w:val="auto"/>
          <w:sz w:val="22"/>
          <w:szCs w:val="22"/>
        </w:rPr>
        <w:lastRenderedPageBreak/>
        <w:t xml:space="preserve">Diagnostic audit: outside-team threat when </w:t>
      </w:r>
      <w:r w:rsidRPr="004A752F">
        <w:rPr>
          <w:b/>
          <w:bCs/>
          <w:i w:val="0"/>
          <w:iCs w:val="0"/>
          <w:color w:val="auto"/>
        </w:rPr>
        <w:t>suspense=0</w:t>
      </w:r>
    </w:p>
    <w:p w14:paraId="0F3ACA01"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Because the main suspense logic evaluates only the cut-off pair (leading vs lagging), we also run a diagnostic check for cases with </w:t>
      </w:r>
      <w:r w:rsidRPr="00DD0A30">
        <w:rPr>
          <w:rStyle w:val="VerbatimChar"/>
          <w:rFonts w:ascii="Times New Roman" w:hAnsi="Times New Roman" w:cs="Times New Roman"/>
          <w:szCs w:val="22"/>
        </w:rPr>
        <w:t>suspense=0</w:t>
      </w:r>
      <w:r w:rsidRPr="00DD0A30">
        <w:rPr>
          <w:rFonts w:ascii="Times New Roman" w:hAnsi="Times New Roman" w:cs="Times New Roman"/>
          <w:sz w:val="22"/>
          <w:szCs w:val="22"/>
        </w:rPr>
        <w:t xml:space="preserve"> and </w:t>
      </w:r>
      <w:r w:rsidRPr="00DD0A30">
        <w:rPr>
          <w:rStyle w:val="VerbatimChar"/>
          <w:rFonts w:ascii="Times New Roman" w:hAnsi="Times New Roman" w:cs="Times New Roman"/>
          <w:szCs w:val="22"/>
        </w:rPr>
        <w:t>third_qualify=0</w:t>
      </w:r>
      <w:r w:rsidRPr="00DD0A30">
        <w:rPr>
          <w:rFonts w:ascii="Times New Roman" w:hAnsi="Times New Roman" w:cs="Times New Roman"/>
          <w:sz w:val="22"/>
          <w:szCs w:val="22"/>
        </w:rPr>
        <w:t xml:space="preserve"> where the </w:t>
      </w:r>
      <w:r w:rsidRPr="00DD0A30">
        <w:rPr>
          <w:rFonts w:ascii="Times New Roman" w:hAnsi="Times New Roman" w:cs="Times New Roman"/>
          <w:b/>
          <w:bCs/>
          <w:sz w:val="22"/>
          <w:szCs w:val="22"/>
        </w:rPr>
        <w:t>4th</w:t>
      </w:r>
      <w:r w:rsidRPr="00DD0A30">
        <w:rPr>
          <w:rFonts w:ascii="Times New Roman" w:hAnsi="Times New Roman" w:cs="Times New Roman"/>
          <w:sz w:val="22"/>
          <w:szCs w:val="22"/>
        </w:rPr>
        <w:t xml:space="preserve"> team can reach or overtake the </w:t>
      </w:r>
      <w:r w:rsidRPr="00DD0A30">
        <w:rPr>
          <w:rFonts w:ascii="Times New Roman" w:hAnsi="Times New Roman" w:cs="Times New Roman"/>
          <w:b/>
          <w:bCs/>
          <w:sz w:val="22"/>
          <w:szCs w:val="22"/>
        </w:rPr>
        <w:t>2nd</w:t>
      </w:r>
      <w:r w:rsidRPr="00DD0A30">
        <w:rPr>
          <w:rFonts w:ascii="Times New Roman" w:hAnsi="Times New Roman" w:cs="Times New Roman"/>
          <w:sz w:val="22"/>
          <w:szCs w:val="22"/>
        </w:rPr>
        <w:t xml:space="preserve"> team with one goal shock under FIFA ordering.</w:t>
      </w:r>
    </w:p>
    <w:p w14:paraId="5D64480D" w14:textId="77777777" w:rsidR="00D35D27" w:rsidRPr="004A752F" w:rsidRDefault="00000000" w:rsidP="00DD0A30">
      <w:pPr>
        <w:pStyle w:val="Heading3"/>
        <w:spacing w:line="360" w:lineRule="auto"/>
        <w:jc w:val="both"/>
        <w:rPr>
          <w:rFonts w:ascii="Times New Roman" w:hAnsi="Times New Roman" w:cs="Times New Roman"/>
          <w:b/>
          <w:bCs/>
          <w:color w:val="auto"/>
          <w:sz w:val="22"/>
          <w:szCs w:val="22"/>
        </w:rPr>
      </w:pPr>
      <w:bookmarkStart w:id="62" w:name="sec:suspense-uefa-implemented"/>
      <w:bookmarkEnd w:id="54"/>
      <w:bookmarkEnd w:id="61"/>
      <w:r w:rsidRPr="004A752F">
        <w:rPr>
          <w:rFonts w:ascii="Times New Roman" w:hAnsi="Times New Roman" w:cs="Times New Roman"/>
          <w:b/>
          <w:bCs/>
          <w:color w:val="auto"/>
          <w:sz w:val="22"/>
          <w:szCs w:val="22"/>
        </w:rPr>
        <w:t>Suspense Criteria: UEFA</w:t>
      </w:r>
    </w:p>
    <w:p w14:paraId="6B2D03B2"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competitions governed by UEFA rules, team ranking within a group follows a different tie-breaking hierarchy:</w:t>
      </w:r>
    </w:p>
    <w:p w14:paraId="38F3AFDC" w14:textId="77777777" w:rsidR="00D35D27" w:rsidRPr="00DD0A30" w:rsidRDefault="00000000" w:rsidP="00DD0A30">
      <w:pPr>
        <w:numPr>
          <w:ilvl w:val="0"/>
          <w:numId w:val="9"/>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total points,</w:t>
      </w:r>
    </w:p>
    <w:p w14:paraId="77AE6FD9" w14:textId="77777777" w:rsidR="00D35D27" w:rsidRPr="00DD0A30" w:rsidRDefault="00000000" w:rsidP="00DD0A30">
      <w:pPr>
        <w:numPr>
          <w:ilvl w:val="0"/>
          <w:numId w:val="9"/>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head-to-head result between the tied teams,</w:t>
      </w:r>
    </w:p>
    <w:p w14:paraId="7A05CB5E" w14:textId="77777777" w:rsidR="00D35D27" w:rsidRPr="00DD0A30" w:rsidRDefault="00000000" w:rsidP="00DD0A30">
      <w:pPr>
        <w:numPr>
          <w:ilvl w:val="0"/>
          <w:numId w:val="9"/>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overall goal difference,</w:t>
      </w:r>
    </w:p>
    <w:p w14:paraId="4B57D8F2" w14:textId="77777777" w:rsidR="00D35D27" w:rsidRPr="00DD0A30" w:rsidRDefault="00000000" w:rsidP="00DD0A30">
      <w:pPr>
        <w:numPr>
          <w:ilvl w:val="0"/>
          <w:numId w:val="9"/>
        </w:numPr>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overall goals scored.</w:t>
      </w:r>
    </w:p>
    <w:p w14:paraId="042AA93D"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Unlike the FIFA procedure, head-to-head is applied </w:t>
      </w:r>
      <w:r w:rsidRPr="00DD0A30">
        <w:rPr>
          <w:rFonts w:ascii="Times New Roman" w:hAnsi="Times New Roman" w:cs="Times New Roman"/>
          <w:i/>
          <w:iCs/>
          <w:sz w:val="22"/>
          <w:szCs w:val="22"/>
        </w:rPr>
        <w:t>before</w:t>
      </w:r>
      <w:r w:rsidRPr="00DD0A30">
        <w:rPr>
          <w:rFonts w:ascii="Times New Roman" w:hAnsi="Times New Roman" w:cs="Times New Roman"/>
          <w:sz w:val="22"/>
          <w:szCs w:val="22"/>
        </w:rPr>
        <w:t xml:space="preserve"> overall goal difference and goals scored.</w:t>
      </w:r>
    </w:p>
    <w:p w14:paraId="73AB3D28"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3" w:name="X524727ea7d9b6741e01b31d1f741e4b0b8e76a6"/>
      <w:r w:rsidRPr="004A752F">
        <w:rPr>
          <w:rFonts w:ascii="Times New Roman" w:hAnsi="Times New Roman" w:cs="Times New Roman"/>
          <w:b/>
          <w:bCs/>
          <w:i w:val="0"/>
          <w:iCs w:val="0"/>
          <w:color w:val="auto"/>
          <w:sz w:val="22"/>
          <w:szCs w:val="22"/>
        </w:rPr>
        <w:t>Step 1: Identify the relevant ranking pair.</w:t>
      </w:r>
    </w:p>
    <w:p w14:paraId="0B5629FC"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At each observation (defined by a goal minute within a group-stage match), we identify the pair of teams defining the qualification cut-off. When only the top two teams qualify (</w:t>
      </w:r>
      <w:r w:rsidRPr="00DD0A30">
        <w:rPr>
          <w:rStyle w:val="VerbatimChar"/>
          <w:rFonts w:ascii="Times New Roman" w:hAnsi="Times New Roman" w:cs="Times New Roman"/>
          <w:szCs w:val="22"/>
        </w:rPr>
        <w:t>third_qualify = 0</w:t>
      </w:r>
      <w:r w:rsidRPr="00DD0A30">
        <w:rPr>
          <w:rFonts w:ascii="Times New Roman" w:hAnsi="Times New Roman" w:cs="Times New Roman"/>
          <w:sz w:val="22"/>
          <w:szCs w:val="22"/>
        </w:rPr>
        <w:t>), the relevant comparison is between the teams ranked second and third. When the third-placed team may also qualify (</w:t>
      </w:r>
      <w:r w:rsidRPr="00DD0A30">
        <w:rPr>
          <w:rStyle w:val="VerbatimChar"/>
          <w:rFonts w:ascii="Times New Roman" w:hAnsi="Times New Roman" w:cs="Times New Roman"/>
          <w:szCs w:val="22"/>
        </w:rPr>
        <w:t>third_qualify = 1</w:t>
      </w:r>
      <w:r w:rsidRPr="00DD0A30">
        <w:rPr>
          <w:rFonts w:ascii="Times New Roman" w:hAnsi="Times New Roman" w:cs="Times New Roman"/>
          <w:sz w:val="22"/>
          <w:szCs w:val="22"/>
        </w:rPr>
        <w:t>), the relevant comparison is between the teams ranked third and fourth.</w:t>
      </w:r>
    </w:p>
    <w:p w14:paraId="0395652B"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4" w:name="step-2-evaluate-one-goal-shocks."/>
      <w:bookmarkEnd w:id="63"/>
      <w:r w:rsidRPr="004A752F">
        <w:rPr>
          <w:rFonts w:ascii="Times New Roman" w:hAnsi="Times New Roman" w:cs="Times New Roman"/>
          <w:b/>
          <w:bCs/>
          <w:i w:val="0"/>
          <w:iCs w:val="0"/>
          <w:color w:val="auto"/>
          <w:sz w:val="22"/>
          <w:szCs w:val="22"/>
        </w:rPr>
        <w:t>Step 2: Evaluate one-goal shocks.</w:t>
      </w:r>
    </w:p>
    <w:p w14:paraId="1556D414"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each observation we evaluate whether a single-goal shock could allow the lagging team to reach or overtake the leading team. Two possible shocks are considered: lagging scores one goal (+1) or leading concedes one goal (+1). Match points are inferred from the match goal difference using the appropriate points system.</w:t>
      </w:r>
    </w:p>
    <w:p w14:paraId="3F12B23F"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5" w:name="step-3-apply-uefa-tie-breaking-rules."/>
      <w:bookmarkEnd w:id="64"/>
      <w:r w:rsidRPr="004A752F">
        <w:rPr>
          <w:rFonts w:ascii="Times New Roman" w:hAnsi="Times New Roman" w:cs="Times New Roman"/>
          <w:b/>
          <w:bCs/>
          <w:i w:val="0"/>
          <w:iCs w:val="0"/>
          <w:color w:val="auto"/>
          <w:sz w:val="22"/>
          <w:szCs w:val="22"/>
        </w:rPr>
        <w:t>Step 3: Apply UEFA tie-breaking rules.</w:t>
      </w:r>
    </w:p>
    <w:p w14:paraId="4B4CF074"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After applying the hypothetical shock, we compare the lagging and leading teams according to the UEFA ranking hierarchy: total points, then head-to-head, then overall goal difference, then overall goals scored. When the two teams are not currently facing each other, the head-to-head outcome is fixed from the previous fixture; when they are playing each other, the current score determines the head-to-head outcome.</w:t>
      </w:r>
    </w:p>
    <w:p w14:paraId="61B17C9D"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6" w:name="step-4-determine-suspense."/>
      <w:bookmarkEnd w:id="65"/>
      <w:r w:rsidRPr="004A752F">
        <w:rPr>
          <w:rFonts w:ascii="Times New Roman" w:hAnsi="Times New Roman" w:cs="Times New Roman"/>
          <w:b/>
          <w:bCs/>
          <w:i w:val="0"/>
          <w:iCs w:val="0"/>
          <w:color w:val="auto"/>
          <w:sz w:val="22"/>
          <w:szCs w:val="22"/>
        </w:rPr>
        <w:lastRenderedPageBreak/>
        <w:t>Step 4: Determine suspense.</w:t>
      </w:r>
    </w:p>
    <w:p w14:paraId="71067124"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If under either shock the lagging team becomes at least as well ranked as the leading team, we set </w:t>
      </w:r>
      <w:r w:rsidRPr="00DD0A30">
        <w:rPr>
          <w:rStyle w:val="VerbatimChar"/>
          <w:rFonts w:ascii="Times New Roman" w:hAnsi="Times New Roman" w:cs="Times New Roman"/>
          <w:szCs w:val="22"/>
        </w:rPr>
        <w:t>suspense = 1</w:t>
      </w:r>
      <w:r w:rsidRPr="00DD0A30">
        <w:rPr>
          <w:rFonts w:ascii="Times New Roman" w:hAnsi="Times New Roman" w:cs="Times New Roman"/>
          <w:sz w:val="22"/>
          <w:szCs w:val="22"/>
        </w:rPr>
        <w:t>.</w:t>
      </w:r>
    </w:p>
    <w:p w14:paraId="1F2F77AD" w14:textId="77777777" w:rsidR="00D35D27" w:rsidRPr="004A752F" w:rsidRDefault="00000000" w:rsidP="00DD0A30">
      <w:pPr>
        <w:pStyle w:val="Heading4"/>
        <w:spacing w:line="360" w:lineRule="auto"/>
        <w:jc w:val="both"/>
        <w:rPr>
          <w:rFonts w:ascii="Times New Roman" w:hAnsi="Times New Roman" w:cs="Times New Roman"/>
          <w:b/>
          <w:bCs/>
          <w:i w:val="0"/>
          <w:iCs w:val="0"/>
          <w:color w:val="auto"/>
          <w:sz w:val="22"/>
          <w:szCs w:val="22"/>
        </w:rPr>
      </w:pPr>
      <w:bookmarkStart w:id="67" w:name="step-5-identify-outside-team-threats."/>
      <w:bookmarkEnd w:id="66"/>
      <w:r w:rsidRPr="004A752F">
        <w:rPr>
          <w:rFonts w:ascii="Times New Roman" w:hAnsi="Times New Roman" w:cs="Times New Roman"/>
          <w:b/>
          <w:bCs/>
          <w:i w:val="0"/>
          <w:iCs w:val="0"/>
          <w:color w:val="auto"/>
          <w:sz w:val="22"/>
          <w:szCs w:val="22"/>
        </w:rPr>
        <w:t>Step 5: Identify outside-team threats.</w:t>
      </w:r>
    </w:p>
    <w:p w14:paraId="7B0EFC97"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Finally, we check whether the fourth-placed team could reach or overtake the second-placed team with a single-goal shock, applying the full UEFA hierarchy. Observations satisfying this condition are edited separately.</w:t>
      </w:r>
    </w:p>
    <w:p w14:paraId="08FD1768" w14:textId="77777777" w:rsidR="00D35D27" w:rsidRPr="004A752F" w:rsidRDefault="00000000" w:rsidP="00DD0A30">
      <w:pPr>
        <w:pStyle w:val="Heading2"/>
        <w:spacing w:line="360" w:lineRule="auto"/>
        <w:jc w:val="both"/>
        <w:rPr>
          <w:rFonts w:ascii="Times New Roman" w:hAnsi="Times New Roman" w:cs="Times New Roman"/>
          <w:b/>
          <w:bCs/>
          <w:color w:val="auto"/>
          <w:sz w:val="22"/>
          <w:szCs w:val="22"/>
        </w:rPr>
      </w:pPr>
      <w:bookmarkStart w:id="68" w:name="app:correlations"/>
      <w:bookmarkEnd w:id="53"/>
      <w:bookmarkEnd w:id="62"/>
      <w:bookmarkEnd w:id="67"/>
      <w:r w:rsidRPr="004A752F">
        <w:rPr>
          <w:rFonts w:ascii="Times New Roman" w:hAnsi="Times New Roman" w:cs="Times New Roman"/>
          <w:b/>
          <w:bCs/>
          <w:color w:val="auto"/>
          <w:sz w:val="22"/>
          <w:szCs w:val="22"/>
        </w:rPr>
        <w:t>Correlation Analysis</w:t>
      </w:r>
    </w:p>
    <w:p w14:paraId="7077AFA5"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Tables </w:t>
      </w:r>
      <w:hyperlink w:anchor="tab:corr_eu">
        <w:r w:rsidR="00D35D27" w:rsidRPr="00DD0A30">
          <w:rPr>
            <w:rStyle w:val="Hyperlink"/>
            <w:rFonts w:ascii="Times New Roman" w:hAnsi="Times New Roman" w:cs="Times New Roman"/>
            <w:sz w:val="22"/>
            <w:szCs w:val="22"/>
          </w:rPr>
          <w:t>7</w:t>
        </w:r>
      </w:hyperlink>
      <w:r w:rsidRPr="00DD0A30">
        <w:rPr>
          <w:rFonts w:ascii="Times New Roman" w:hAnsi="Times New Roman" w:cs="Times New Roman"/>
          <w:sz w:val="22"/>
          <w:szCs w:val="22"/>
        </w:rPr>
        <w:t>–</w:t>
      </w:r>
      <w:hyperlink w:anchor="tab:corr_wc_mbm">
        <w:r w:rsidR="00D35D27" w:rsidRPr="00DD0A30">
          <w:rPr>
            <w:rStyle w:val="Hyperlink"/>
            <w:rFonts w:ascii="Times New Roman" w:hAnsi="Times New Roman" w:cs="Times New Roman"/>
            <w:sz w:val="22"/>
            <w:szCs w:val="22"/>
          </w:rPr>
          <w:t>10</w:t>
        </w:r>
      </w:hyperlink>
      <w:r w:rsidRPr="00DD0A30">
        <w:rPr>
          <w:rFonts w:ascii="Times New Roman" w:hAnsi="Times New Roman" w:cs="Times New Roman"/>
          <w:sz w:val="22"/>
          <w:szCs w:val="22"/>
        </w:rPr>
        <w:t xml:space="preserve"> report pairwise correlations between suspense, qualification turnover, and group-level competitive balance (Elo standard deviation) for both tournaments and both datasets.</w:t>
      </w:r>
    </w:p>
    <w:p w14:paraId="3A9A35FE"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the European Championship (Tables </w:t>
      </w:r>
      <w:hyperlink w:anchor="tab:corr_eu">
        <w:r w:rsidR="00D35D27" w:rsidRPr="00DD0A30">
          <w:rPr>
            <w:rStyle w:val="Hyperlink"/>
            <w:rFonts w:ascii="Times New Roman" w:hAnsi="Times New Roman" w:cs="Times New Roman"/>
            <w:sz w:val="22"/>
            <w:szCs w:val="22"/>
          </w:rPr>
          <w:t>7</w:t>
        </w:r>
      </w:hyperlink>
      <w:r w:rsidRPr="00DD0A30">
        <w:rPr>
          <w:rFonts w:ascii="Times New Roman" w:hAnsi="Times New Roman" w:cs="Times New Roman"/>
          <w:sz w:val="22"/>
          <w:szCs w:val="22"/>
        </w:rPr>
        <w:t xml:space="preserve"> and </w:t>
      </w:r>
      <w:hyperlink w:anchor="tab:corr_eu_mbm">
        <w:r w:rsidR="00D35D27" w:rsidRPr="00DD0A30">
          <w:rPr>
            <w:rStyle w:val="Hyperlink"/>
            <w:rFonts w:ascii="Times New Roman" w:hAnsi="Times New Roman" w:cs="Times New Roman"/>
            <w:sz w:val="22"/>
            <w:szCs w:val="22"/>
          </w:rPr>
          <w:t>8</w:t>
        </w:r>
      </w:hyperlink>
      <w:r w:rsidRPr="00DD0A30">
        <w:rPr>
          <w:rFonts w:ascii="Times New Roman" w:hAnsi="Times New Roman" w:cs="Times New Roman"/>
          <w:sz w:val="22"/>
          <w:szCs w:val="22"/>
        </w:rPr>
        <w:t>), the number of changes in the qualifying composition is positively associated with aggregate suspense in every specification, with the association stronger under FIFA rules. Regarding group imbalance, suspense increases with imbalance under both rules, while the relationship between imbalance and qualification turnover is weak and slightly negative. This is not surprising: qualification turnover captures only actual changes, whereas our suspense measure also accounts for potential changes.</w:t>
      </w:r>
    </w:p>
    <w:p w14:paraId="49161E39" w14:textId="3D921AFE" w:rsidR="00D35D27" w:rsidRPr="00DD0A30" w:rsidRDefault="00724BE0" w:rsidP="00DD0A30">
      <w:pPr>
        <w:pStyle w:val="TableCaption"/>
        <w:spacing w:line="360" w:lineRule="auto"/>
        <w:jc w:val="both"/>
        <w:rPr>
          <w:rFonts w:ascii="Times New Roman" w:hAnsi="Times New Roman" w:cs="Times New Roman"/>
          <w:sz w:val="22"/>
          <w:szCs w:val="22"/>
        </w:rPr>
      </w:pPr>
      <w:bookmarkStart w:id="69" w:name="tab:corr_eu"/>
      <w:r>
        <w:rPr>
          <w:rFonts w:ascii="Times New Roman" w:hAnsi="Times New Roman" w:cs="Times New Roman"/>
          <w:sz w:val="22"/>
          <w:szCs w:val="22"/>
        </w:rPr>
        <w:t xml:space="preserve">Table 7: </w:t>
      </w:r>
      <w:r w:rsidR="00000000" w:rsidRPr="00DD0A30">
        <w:rPr>
          <w:rFonts w:ascii="Times New Roman" w:hAnsi="Times New Roman" w:cs="Times New Roman"/>
          <w:sz w:val="22"/>
          <w:szCs w:val="22"/>
        </w:rPr>
        <w:t>Correlation matrices for goals-based aggregation in UEFA European Championship</w:t>
      </w:r>
    </w:p>
    <w:tbl>
      <w:tblPr>
        <w:tblStyle w:val="Table"/>
        <w:tblW w:w="5000" w:type="pct"/>
        <w:tblLook w:val="0020" w:firstRow="1" w:lastRow="0" w:firstColumn="0" w:lastColumn="0" w:noHBand="0" w:noVBand="0"/>
      </w:tblPr>
      <w:tblGrid>
        <w:gridCol w:w="3013"/>
        <w:gridCol w:w="1494"/>
        <w:gridCol w:w="3014"/>
        <w:gridCol w:w="2667"/>
      </w:tblGrid>
      <w:tr w:rsidR="00D35D27" w:rsidRPr="00DD0A30" w14:paraId="42D2A0D6" w14:textId="77777777" w:rsidTr="00724BE0">
        <w:trPr>
          <w:cnfStyle w:val="100000000000" w:firstRow="1" w:lastRow="0" w:firstColumn="0" w:lastColumn="0" w:oddVBand="0" w:evenVBand="0" w:oddHBand="0" w:evenHBand="0" w:firstRowFirstColumn="0" w:firstRowLastColumn="0" w:lastRowFirstColumn="0" w:lastRowLastColumn="0"/>
          <w:tblHeader/>
        </w:trPr>
        <w:tc>
          <w:tcPr>
            <w:tcW w:w="1479" w:type="pct"/>
            <w:tcBorders>
              <w:top w:val="single" w:sz="4" w:space="0" w:color="auto"/>
            </w:tcBorders>
          </w:tcPr>
          <w:p w14:paraId="70925F73"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733" w:type="pct"/>
            <w:tcBorders>
              <w:top w:val="single" w:sz="4" w:space="0" w:color="auto"/>
            </w:tcBorders>
          </w:tcPr>
          <w:p w14:paraId="3A64AA7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1479" w:type="pct"/>
            <w:tcBorders>
              <w:top w:val="single" w:sz="4" w:space="0" w:color="auto"/>
            </w:tcBorders>
          </w:tcPr>
          <w:p w14:paraId="42EBD85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1308" w:type="pct"/>
            <w:tcBorders>
              <w:top w:val="single" w:sz="4" w:space="0" w:color="auto"/>
            </w:tcBorders>
          </w:tcPr>
          <w:p w14:paraId="6CD858C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r>
      <w:tr w:rsidR="00D35D27" w:rsidRPr="00DD0A30" w14:paraId="7BAB323F" w14:textId="77777777" w:rsidTr="00724BE0">
        <w:tc>
          <w:tcPr>
            <w:tcW w:w="5000" w:type="pct"/>
            <w:gridSpan w:val="4"/>
          </w:tcPr>
          <w:p w14:paraId="257103C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UEFA</w:t>
            </w:r>
          </w:p>
        </w:tc>
      </w:tr>
      <w:tr w:rsidR="00D35D27" w:rsidRPr="00DD0A30" w14:paraId="5ED3E3D3" w14:textId="77777777" w:rsidTr="00724BE0">
        <w:tc>
          <w:tcPr>
            <w:tcW w:w="1479" w:type="pct"/>
          </w:tcPr>
          <w:p w14:paraId="71B3A13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133D488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311317E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-0.089</w:t>
            </w:r>
          </w:p>
        </w:tc>
        <w:tc>
          <w:tcPr>
            <w:tcW w:w="1308" w:type="pct"/>
          </w:tcPr>
          <w:p w14:paraId="4489357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0.251</w:t>
            </w:r>
          </w:p>
        </w:tc>
      </w:tr>
      <w:tr w:rsidR="00D35D27" w:rsidRPr="00DD0A30" w14:paraId="546A40E8" w14:textId="77777777" w:rsidTr="00724BE0">
        <w:tc>
          <w:tcPr>
            <w:tcW w:w="1479" w:type="pct"/>
          </w:tcPr>
          <w:p w14:paraId="01D8033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56FF846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-0.089</w:t>
            </w:r>
          </w:p>
        </w:tc>
        <w:tc>
          <w:tcPr>
            <w:tcW w:w="1479" w:type="pct"/>
          </w:tcPr>
          <w:p w14:paraId="2388660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42BFD56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0.391</w:t>
            </w:r>
          </w:p>
        </w:tc>
      </w:tr>
      <w:tr w:rsidR="00D35D27" w:rsidRPr="00DD0A30" w14:paraId="325C95A7" w14:textId="77777777" w:rsidTr="00724BE0">
        <w:tc>
          <w:tcPr>
            <w:tcW w:w="1479" w:type="pct"/>
            <w:tcBorders>
              <w:bottom w:val="single" w:sz="4" w:space="0" w:color="auto"/>
            </w:tcBorders>
          </w:tcPr>
          <w:p w14:paraId="0B48ED7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Borders>
              <w:bottom w:val="single" w:sz="4" w:space="0" w:color="auto"/>
            </w:tcBorders>
          </w:tcPr>
          <w:p w14:paraId="07CB626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0.251</w:t>
            </w:r>
          </w:p>
        </w:tc>
        <w:tc>
          <w:tcPr>
            <w:tcW w:w="1479" w:type="pct"/>
            <w:tcBorders>
              <w:bottom w:val="single" w:sz="4" w:space="0" w:color="auto"/>
            </w:tcBorders>
          </w:tcPr>
          <w:p w14:paraId="208BA1C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0.391</w:t>
            </w:r>
          </w:p>
        </w:tc>
        <w:tc>
          <w:tcPr>
            <w:tcW w:w="1308" w:type="pct"/>
            <w:tcBorders>
              <w:bottom w:val="single" w:sz="4" w:space="0" w:color="auto"/>
            </w:tcBorders>
          </w:tcPr>
          <w:p w14:paraId="27CB03C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r w:rsidR="00D35D27" w:rsidRPr="00DD0A30" w14:paraId="2422C8F0" w14:textId="77777777" w:rsidTr="00724BE0">
        <w:tc>
          <w:tcPr>
            <w:tcW w:w="5000" w:type="pct"/>
            <w:gridSpan w:val="4"/>
            <w:tcBorders>
              <w:top w:val="single" w:sz="4" w:space="0" w:color="auto"/>
            </w:tcBorders>
          </w:tcPr>
          <w:p w14:paraId="24E5EF8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FIFA</w:t>
            </w:r>
          </w:p>
        </w:tc>
      </w:tr>
      <w:tr w:rsidR="00D35D27" w:rsidRPr="00DD0A30" w14:paraId="249B88BE" w14:textId="77777777" w:rsidTr="00724BE0">
        <w:tc>
          <w:tcPr>
            <w:tcW w:w="1479" w:type="pct"/>
          </w:tcPr>
          <w:p w14:paraId="6583702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7E73A27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352CEF4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-0.061</w:t>
            </w:r>
          </w:p>
        </w:tc>
        <w:tc>
          <w:tcPr>
            <w:tcW w:w="1308" w:type="pct"/>
          </w:tcPr>
          <w:p w14:paraId="17E418E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0.264</w:t>
            </w:r>
          </w:p>
        </w:tc>
      </w:tr>
      <w:tr w:rsidR="00D35D27" w:rsidRPr="00DD0A30" w14:paraId="4A7E1526" w14:textId="77777777" w:rsidTr="00724BE0">
        <w:tc>
          <w:tcPr>
            <w:tcW w:w="1479" w:type="pct"/>
          </w:tcPr>
          <w:p w14:paraId="7DD9B76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245E47E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-0.061</w:t>
            </w:r>
          </w:p>
        </w:tc>
        <w:tc>
          <w:tcPr>
            <w:tcW w:w="1479" w:type="pct"/>
          </w:tcPr>
          <w:p w14:paraId="4FF9666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2DDB209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0.406</w:t>
            </w:r>
          </w:p>
        </w:tc>
      </w:tr>
      <w:tr w:rsidR="00D35D27" w:rsidRPr="00DD0A30" w14:paraId="5927CC75" w14:textId="77777777" w:rsidTr="00724BE0">
        <w:tc>
          <w:tcPr>
            <w:tcW w:w="1479" w:type="pct"/>
            <w:tcBorders>
              <w:bottom w:val="single" w:sz="4" w:space="0" w:color="auto"/>
            </w:tcBorders>
          </w:tcPr>
          <w:p w14:paraId="61FE39E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Borders>
              <w:bottom w:val="single" w:sz="4" w:space="0" w:color="auto"/>
            </w:tcBorders>
          </w:tcPr>
          <w:p w14:paraId="710050B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0.264</w:t>
            </w:r>
          </w:p>
        </w:tc>
        <w:tc>
          <w:tcPr>
            <w:tcW w:w="1479" w:type="pct"/>
            <w:tcBorders>
              <w:bottom w:val="single" w:sz="4" w:space="0" w:color="auto"/>
            </w:tcBorders>
          </w:tcPr>
          <w:p w14:paraId="3425A21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0.406</w:t>
            </w:r>
          </w:p>
        </w:tc>
        <w:tc>
          <w:tcPr>
            <w:tcW w:w="1308" w:type="pct"/>
            <w:tcBorders>
              <w:bottom w:val="single" w:sz="4" w:space="0" w:color="auto"/>
            </w:tcBorders>
          </w:tcPr>
          <w:p w14:paraId="22C776D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bl>
    <w:p w14:paraId="2BB73D0A" w14:textId="77777777" w:rsidR="00724BE0" w:rsidRDefault="00724BE0" w:rsidP="00DD0A30">
      <w:pPr>
        <w:pStyle w:val="TableCaption"/>
        <w:spacing w:line="360" w:lineRule="auto"/>
        <w:jc w:val="both"/>
        <w:rPr>
          <w:rFonts w:ascii="Times New Roman" w:hAnsi="Times New Roman" w:cs="Times New Roman"/>
          <w:sz w:val="22"/>
          <w:szCs w:val="22"/>
        </w:rPr>
      </w:pPr>
      <w:bookmarkStart w:id="70" w:name="tab:corr_eu_mbm"/>
      <w:bookmarkEnd w:id="69"/>
    </w:p>
    <w:p w14:paraId="66DB8BFA" w14:textId="62888DDD" w:rsidR="00D35D27" w:rsidRPr="00DD0A30" w:rsidRDefault="00724BE0" w:rsidP="00DD0A30">
      <w:pPr>
        <w:pStyle w:val="TableCaption"/>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Table 8: </w:t>
      </w:r>
      <w:r w:rsidR="00000000" w:rsidRPr="00DD0A30">
        <w:rPr>
          <w:rFonts w:ascii="Times New Roman" w:hAnsi="Times New Roman" w:cs="Times New Roman"/>
          <w:sz w:val="22"/>
          <w:szCs w:val="22"/>
        </w:rPr>
        <w:t>Correlation matrices for minute-by-minute aggregation in UEFA European Championship</w:t>
      </w:r>
    </w:p>
    <w:tbl>
      <w:tblPr>
        <w:tblStyle w:val="Table"/>
        <w:tblW w:w="5000" w:type="pct"/>
        <w:tblLook w:val="0020" w:firstRow="1" w:lastRow="0" w:firstColumn="0" w:lastColumn="0" w:noHBand="0" w:noVBand="0"/>
      </w:tblPr>
      <w:tblGrid>
        <w:gridCol w:w="3013"/>
        <w:gridCol w:w="1494"/>
        <w:gridCol w:w="3014"/>
        <w:gridCol w:w="2667"/>
      </w:tblGrid>
      <w:tr w:rsidR="00D35D27" w:rsidRPr="00DD0A30" w14:paraId="77DC1D84" w14:textId="77777777" w:rsidTr="00724BE0">
        <w:trPr>
          <w:cnfStyle w:val="100000000000" w:firstRow="1" w:lastRow="0" w:firstColumn="0" w:lastColumn="0" w:oddVBand="0" w:evenVBand="0" w:oddHBand="0" w:evenHBand="0" w:firstRowFirstColumn="0" w:firstRowLastColumn="0" w:lastRowFirstColumn="0" w:lastRowLastColumn="0"/>
          <w:tblHeader/>
        </w:trPr>
        <w:tc>
          <w:tcPr>
            <w:tcW w:w="1479" w:type="pct"/>
            <w:tcBorders>
              <w:top w:val="single" w:sz="4" w:space="0" w:color="auto"/>
              <w:bottom w:val="single" w:sz="4" w:space="0" w:color="auto"/>
            </w:tcBorders>
          </w:tcPr>
          <w:p w14:paraId="0F95F01B"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733" w:type="pct"/>
            <w:tcBorders>
              <w:top w:val="single" w:sz="4" w:space="0" w:color="auto"/>
              <w:bottom w:val="single" w:sz="4" w:space="0" w:color="auto"/>
            </w:tcBorders>
          </w:tcPr>
          <w:p w14:paraId="0629001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1479" w:type="pct"/>
            <w:tcBorders>
              <w:top w:val="single" w:sz="4" w:space="0" w:color="auto"/>
              <w:bottom w:val="single" w:sz="4" w:space="0" w:color="auto"/>
            </w:tcBorders>
          </w:tcPr>
          <w:p w14:paraId="6DF4783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1308" w:type="pct"/>
            <w:tcBorders>
              <w:top w:val="single" w:sz="4" w:space="0" w:color="auto"/>
              <w:bottom w:val="single" w:sz="4" w:space="0" w:color="auto"/>
            </w:tcBorders>
          </w:tcPr>
          <w:p w14:paraId="56B4F9B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r>
      <w:tr w:rsidR="00D35D27" w:rsidRPr="00DD0A30" w14:paraId="155A0C86" w14:textId="77777777" w:rsidTr="00724BE0">
        <w:tc>
          <w:tcPr>
            <w:tcW w:w="5000" w:type="pct"/>
            <w:gridSpan w:val="4"/>
            <w:tcBorders>
              <w:top w:val="single" w:sz="4" w:space="0" w:color="auto"/>
            </w:tcBorders>
          </w:tcPr>
          <w:p w14:paraId="52655AD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UEFA</w:t>
            </w:r>
          </w:p>
        </w:tc>
      </w:tr>
      <w:tr w:rsidR="00D35D27" w:rsidRPr="00DD0A30" w14:paraId="18E54928" w14:textId="77777777" w:rsidTr="00724BE0">
        <w:tc>
          <w:tcPr>
            <w:tcW w:w="1479" w:type="pct"/>
          </w:tcPr>
          <w:p w14:paraId="3A9F292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06FB7B8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78BF2EF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-0.102</w:t>
            </w:r>
          </w:p>
        </w:tc>
        <w:tc>
          <w:tcPr>
            <w:tcW w:w="1308" w:type="pct"/>
          </w:tcPr>
          <w:p w14:paraId="59792DF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0.175</w:t>
            </w:r>
          </w:p>
        </w:tc>
      </w:tr>
      <w:tr w:rsidR="00D35D27" w:rsidRPr="00DD0A30" w14:paraId="09EF915B" w14:textId="77777777" w:rsidTr="00724BE0">
        <w:tc>
          <w:tcPr>
            <w:tcW w:w="1479" w:type="pct"/>
          </w:tcPr>
          <w:p w14:paraId="2F3430A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lastRenderedPageBreak/>
              <w:t>Avg. qual. count</w:t>
            </w:r>
          </w:p>
        </w:tc>
        <w:tc>
          <w:tcPr>
            <w:tcW w:w="733" w:type="pct"/>
          </w:tcPr>
          <w:p w14:paraId="003AC46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-0.102</w:t>
            </w:r>
          </w:p>
        </w:tc>
        <w:tc>
          <w:tcPr>
            <w:tcW w:w="1479" w:type="pct"/>
          </w:tcPr>
          <w:p w14:paraId="698D0EB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637B3D6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0.299</w:t>
            </w:r>
          </w:p>
        </w:tc>
      </w:tr>
      <w:tr w:rsidR="00D35D27" w:rsidRPr="00DD0A30" w14:paraId="3093AA48" w14:textId="77777777" w:rsidTr="00724BE0">
        <w:tc>
          <w:tcPr>
            <w:tcW w:w="1479" w:type="pct"/>
            <w:tcBorders>
              <w:bottom w:val="single" w:sz="4" w:space="0" w:color="auto"/>
            </w:tcBorders>
          </w:tcPr>
          <w:p w14:paraId="46A809F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Borders>
              <w:bottom w:val="single" w:sz="4" w:space="0" w:color="auto"/>
            </w:tcBorders>
          </w:tcPr>
          <w:p w14:paraId="3793A55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0.175</w:t>
            </w:r>
          </w:p>
        </w:tc>
        <w:tc>
          <w:tcPr>
            <w:tcW w:w="1479" w:type="pct"/>
            <w:tcBorders>
              <w:bottom w:val="single" w:sz="4" w:space="0" w:color="auto"/>
            </w:tcBorders>
          </w:tcPr>
          <w:p w14:paraId="363A0B0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0.299</w:t>
            </w:r>
          </w:p>
        </w:tc>
        <w:tc>
          <w:tcPr>
            <w:tcW w:w="1308" w:type="pct"/>
          </w:tcPr>
          <w:p w14:paraId="6BC646B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r w:rsidR="00D35D27" w:rsidRPr="00DD0A30" w14:paraId="70431DC7" w14:textId="77777777" w:rsidTr="00724BE0">
        <w:tc>
          <w:tcPr>
            <w:tcW w:w="5000" w:type="pct"/>
            <w:gridSpan w:val="4"/>
            <w:tcBorders>
              <w:top w:val="single" w:sz="4" w:space="0" w:color="auto"/>
            </w:tcBorders>
          </w:tcPr>
          <w:p w14:paraId="2BF850D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FIFA</w:t>
            </w:r>
          </w:p>
        </w:tc>
      </w:tr>
      <w:tr w:rsidR="00D35D27" w:rsidRPr="00DD0A30" w14:paraId="69DFD2CB" w14:textId="77777777" w:rsidTr="00724BE0">
        <w:tc>
          <w:tcPr>
            <w:tcW w:w="1479" w:type="pct"/>
          </w:tcPr>
          <w:p w14:paraId="59DA3FE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24D3187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515ECEB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-0.036</w:t>
            </w:r>
          </w:p>
        </w:tc>
        <w:tc>
          <w:tcPr>
            <w:tcW w:w="1308" w:type="pct"/>
          </w:tcPr>
          <w:p w14:paraId="3D2C5C5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0.153</w:t>
            </w:r>
          </w:p>
        </w:tc>
      </w:tr>
      <w:tr w:rsidR="00D35D27" w:rsidRPr="00DD0A30" w14:paraId="152F4068" w14:textId="77777777" w:rsidTr="00724BE0">
        <w:tc>
          <w:tcPr>
            <w:tcW w:w="1479" w:type="pct"/>
          </w:tcPr>
          <w:p w14:paraId="4AA6976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740A31B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-0.036</w:t>
            </w:r>
          </w:p>
        </w:tc>
        <w:tc>
          <w:tcPr>
            <w:tcW w:w="1479" w:type="pct"/>
          </w:tcPr>
          <w:p w14:paraId="46220C4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233DCEB2"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0.351</w:t>
            </w:r>
          </w:p>
        </w:tc>
      </w:tr>
      <w:tr w:rsidR="00D35D27" w:rsidRPr="00DD0A30" w14:paraId="55083263" w14:textId="77777777" w:rsidTr="00724BE0">
        <w:tc>
          <w:tcPr>
            <w:tcW w:w="1479" w:type="pct"/>
            <w:tcBorders>
              <w:bottom w:val="single" w:sz="4" w:space="0" w:color="auto"/>
            </w:tcBorders>
          </w:tcPr>
          <w:p w14:paraId="50C6A30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Borders>
              <w:bottom w:val="single" w:sz="4" w:space="0" w:color="auto"/>
            </w:tcBorders>
          </w:tcPr>
          <w:p w14:paraId="6F694E2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0.153</w:t>
            </w:r>
          </w:p>
        </w:tc>
        <w:tc>
          <w:tcPr>
            <w:tcW w:w="1479" w:type="pct"/>
            <w:tcBorders>
              <w:bottom w:val="single" w:sz="4" w:space="0" w:color="auto"/>
            </w:tcBorders>
          </w:tcPr>
          <w:p w14:paraId="35E8561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0.351</w:t>
            </w:r>
          </w:p>
        </w:tc>
        <w:tc>
          <w:tcPr>
            <w:tcW w:w="1308" w:type="pct"/>
            <w:tcBorders>
              <w:bottom w:val="single" w:sz="4" w:space="0" w:color="auto"/>
            </w:tcBorders>
          </w:tcPr>
          <w:p w14:paraId="2D3B3FB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bl>
    <w:bookmarkEnd w:id="70"/>
    <w:p w14:paraId="3681D0D0"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For the World Cup (Tables </w:t>
      </w:r>
      <w:hyperlink w:anchor="tab:corr_wc">
        <w:r w:rsidR="00D35D27" w:rsidRPr="00DD0A30">
          <w:rPr>
            <w:rStyle w:val="Hyperlink"/>
            <w:rFonts w:ascii="Times New Roman" w:hAnsi="Times New Roman" w:cs="Times New Roman"/>
            <w:sz w:val="22"/>
            <w:szCs w:val="22"/>
          </w:rPr>
          <w:t>9</w:t>
        </w:r>
      </w:hyperlink>
      <w:r w:rsidRPr="00DD0A30">
        <w:rPr>
          <w:rFonts w:ascii="Times New Roman" w:hAnsi="Times New Roman" w:cs="Times New Roman"/>
          <w:sz w:val="22"/>
          <w:szCs w:val="22"/>
        </w:rPr>
        <w:t xml:space="preserve"> and </w:t>
      </w:r>
      <w:hyperlink w:anchor="tab:corr_wc_mbm">
        <w:r w:rsidR="00D35D27" w:rsidRPr="00DD0A30">
          <w:rPr>
            <w:rStyle w:val="Hyperlink"/>
            <w:rFonts w:ascii="Times New Roman" w:hAnsi="Times New Roman" w:cs="Times New Roman"/>
            <w:sz w:val="22"/>
            <w:szCs w:val="22"/>
          </w:rPr>
          <w:t>10</w:t>
        </w:r>
      </w:hyperlink>
      <w:r w:rsidRPr="00DD0A30">
        <w:rPr>
          <w:rFonts w:ascii="Times New Roman" w:hAnsi="Times New Roman" w:cs="Times New Roman"/>
          <w:sz w:val="22"/>
          <w:szCs w:val="22"/>
        </w:rPr>
        <w:t>), the number of changes in the qualifying composition is positively associated with aggregate suspense (correlations around 0.43–0.56), and slightly stronger under FIFA rules. In contrast to the European Championship, suspense is negatively related to group imbalance, indicating that more balanced groups tend to generate higher suspense.</w:t>
      </w:r>
    </w:p>
    <w:p w14:paraId="2D349507" w14:textId="75A8FC10" w:rsidR="00D35D27" w:rsidRPr="00DD0A30" w:rsidRDefault="00724BE0" w:rsidP="00DD0A30">
      <w:pPr>
        <w:pStyle w:val="TableCaption"/>
        <w:spacing w:line="360" w:lineRule="auto"/>
        <w:jc w:val="both"/>
        <w:rPr>
          <w:rFonts w:ascii="Times New Roman" w:hAnsi="Times New Roman" w:cs="Times New Roman"/>
          <w:sz w:val="22"/>
          <w:szCs w:val="22"/>
        </w:rPr>
      </w:pPr>
      <w:bookmarkStart w:id="71" w:name="tab:corr_wc"/>
      <w:r>
        <w:rPr>
          <w:rFonts w:ascii="Times New Roman" w:hAnsi="Times New Roman" w:cs="Times New Roman"/>
          <w:sz w:val="22"/>
          <w:szCs w:val="22"/>
        </w:rPr>
        <w:t xml:space="preserve">Table 9: </w:t>
      </w:r>
      <w:r w:rsidR="00000000" w:rsidRPr="00DD0A30">
        <w:rPr>
          <w:rFonts w:ascii="Times New Roman" w:hAnsi="Times New Roman" w:cs="Times New Roman"/>
          <w:sz w:val="22"/>
          <w:szCs w:val="22"/>
        </w:rPr>
        <w:t>Correlation matrices for goals-based aggregation in FIFA World Cup</w:t>
      </w:r>
    </w:p>
    <w:tbl>
      <w:tblPr>
        <w:tblStyle w:val="Table"/>
        <w:tblW w:w="5000" w:type="pct"/>
        <w:tblLook w:val="0020" w:firstRow="1" w:lastRow="0" w:firstColumn="0" w:lastColumn="0" w:noHBand="0" w:noVBand="0"/>
      </w:tblPr>
      <w:tblGrid>
        <w:gridCol w:w="3013"/>
        <w:gridCol w:w="1494"/>
        <w:gridCol w:w="3014"/>
        <w:gridCol w:w="2667"/>
      </w:tblGrid>
      <w:tr w:rsidR="00D35D27" w:rsidRPr="00DD0A30" w14:paraId="1DC77AB3" w14:textId="77777777" w:rsidTr="00724BE0">
        <w:trPr>
          <w:cnfStyle w:val="100000000000" w:firstRow="1" w:lastRow="0" w:firstColumn="0" w:lastColumn="0" w:oddVBand="0" w:evenVBand="0" w:oddHBand="0" w:evenHBand="0" w:firstRowFirstColumn="0" w:firstRowLastColumn="0" w:lastRowFirstColumn="0" w:lastRowLastColumn="0"/>
          <w:tblHeader/>
        </w:trPr>
        <w:tc>
          <w:tcPr>
            <w:tcW w:w="1479" w:type="pct"/>
            <w:tcBorders>
              <w:top w:val="single" w:sz="4" w:space="0" w:color="auto"/>
              <w:bottom w:val="single" w:sz="4" w:space="0" w:color="auto"/>
            </w:tcBorders>
          </w:tcPr>
          <w:p w14:paraId="554602BC"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733" w:type="pct"/>
            <w:tcBorders>
              <w:top w:val="single" w:sz="4" w:space="0" w:color="auto"/>
              <w:bottom w:val="single" w:sz="4" w:space="0" w:color="auto"/>
            </w:tcBorders>
          </w:tcPr>
          <w:p w14:paraId="79E3D44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1479" w:type="pct"/>
            <w:tcBorders>
              <w:top w:val="single" w:sz="4" w:space="0" w:color="auto"/>
              <w:bottom w:val="single" w:sz="4" w:space="0" w:color="auto"/>
            </w:tcBorders>
          </w:tcPr>
          <w:p w14:paraId="34540D9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1308" w:type="pct"/>
            <w:tcBorders>
              <w:top w:val="single" w:sz="4" w:space="0" w:color="auto"/>
              <w:bottom w:val="single" w:sz="4" w:space="0" w:color="auto"/>
            </w:tcBorders>
          </w:tcPr>
          <w:p w14:paraId="179A840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r>
      <w:tr w:rsidR="00D35D27" w:rsidRPr="00DD0A30" w14:paraId="07D92772" w14:textId="77777777" w:rsidTr="00724BE0">
        <w:tc>
          <w:tcPr>
            <w:tcW w:w="5000" w:type="pct"/>
            <w:gridSpan w:val="4"/>
            <w:tcBorders>
              <w:top w:val="single" w:sz="4" w:space="0" w:color="auto"/>
            </w:tcBorders>
          </w:tcPr>
          <w:p w14:paraId="08BAF86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UEFA rule</w:t>
            </w:r>
          </w:p>
        </w:tc>
      </w:tr>
      <w:tr w:rsidR="00D35D27" w:rsidRPr="00DD0A30" w14:paraId="6D8A9E83" w14:textId="77777777" w:rsidTr="00724BE0">
        <w:tc>
          <w:tcPr>
            <w:tcW w:w="1479" w:type="pct"/>
          </w:tcPr>
          <w:p w14:paraId="30CAFC9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7648B47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5E415A3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-0.064</w:t>
            </w:r>
          </w:p>
        </w:tc>
        <w:tc>
          <w:tcPr>
            <w:tcW w:w="1308" w:type="pct"/>
          </w:tcPr>
          <w:p w14:paraId="0C2E76A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-0.184</w:t>
            </w:r>
          </w:p>
        </w:tc>
      </w:tr>
      <w:tr w:rsidR="00D35D27" w:rsidRPr="00DD0A30" w14:paraId="5812EC8C" w14:textId="77777777" w:rsidTr="00724BE0">
        <w:tc>
          <w:tcPr>
            <w:tcW w:w="1479" w:type="pct"/>
          </w:tcPr>
          <w:p w14:paraId="79EFEA1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03F57BB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-0.064</w:t>
            </w:r>
          </w:p>
        </w:tc>
        <w:tc>
          <w:tcPr>
            <w:tcW w:w="1479" w:type="pct"/>
          </w:tcPr>
          <w:p w14:paraId="7B979D8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0282340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0.456</w:t>
            </w:r>
          </w:p>
        </w:tc>
      </w:tr>
      <w:tr w:rsidR="00D35D27" w:rsidRPr="00DD0A30" w14:paraId="0EA8A552" w14:textId="77777777" w:rsidTr="00724BE0">
        <w:tc>
          <w:tcPr>
            <w:tcW w:w="1479" w:type="pct"/>
          </w:tcPr>
          <w:p w14:paraId="6909A84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Pr>
          <w:p w14:paraId="328A82F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-0.184</w:t>
            </w:r>
          </w:p>
        </w:tc>
        <w:tc>
          <w:tcPr>
            <w:tcW w:w="1479" w:type="pct"/>
          </w:tcPr>
          <w:p w14:paraId="06CF144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0.456</w:t>
            </w:r>
          </w:p>
        </w:tc>
        <w:tc>
          <w:tcPr>
            <w:tcW w:w="1308" w:type="pct"/>
          </w:tcPr>
          <w:p w14:paraId="5149936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r w:rsidR="00D35D27" w:rsidRPr="00DD0A30" w14:paraId="497D46A8" w14:textId="77777777" w:rsidTr="00724BE0">
        <w:tc>
          <w:tcPr>
            <w:tcW w:w="5000" w:type="pct"/>
            <w:gridSpan w:val="4"/>
          </w:tcPr>
          <w:p w14:paraId="76DAF887"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FIFA rule</w:t>
            </w:r>
          </w:p>
        </w:tc>
      </w:tr>
      <w:tr w:rsidR="00D35D27" w:rsidRPr="00DD0A30" w14:paraId="06DB396B" w14:textId="77777777" w:rsidTr="00724BE0">
        <w:tc>
          <w:tcPr>
            <w:tcW w:w="1479" w:type="pct"/>
          </w:tcPr>
          <w:p w14:paraId="660C7F5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087ECE9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03C7DBA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-0.060</w:t>
            </w:r>
          </w:p>
        </w:tc>
        <w:tc>
          <w:tcPr>
            <w:tcW w:w="1308" w:type="pct"/>
          </w:tcPr>
          <w:p w14:paraId="2542985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-0.278</w:t>
            </w:r>
          </w:p>
        </w:tc>
      </w:tr>
      <w:tr w:rsidR="00D35D27" w:rsidRPr="00DD0A30" w14:paraId="57A0A01E" w14:textId="77777777" w:rsidTr="00724BE0">
        <w:tc>
          <w:tcPr>
            <w:tcW w:w="1479" w:type="pct"/>
          </w:tcPr>
          <w:p w14:paraId="2336825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7D33B7A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-0.060</w:t>
            </w:r>
          </w:p>
        </w:tc>
        <w:tc>
          <w:tcPr>
            <w:tcW w:w="1479" w:type="pct"/>
          </w:tcPr>
          <w:p w14:paraId="441925E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13D1185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0.588</w:t>
            </w:r>
          </w:p>
        </w:tc>
      </w:tr>
      <w:tr w:rsidR="00D35D27" w:rsidRPr="00DD0A30" w14:paraId="3179D50D" w14:textId="77777777" w:rsidTr="00724BE0">
        <w:tc>
          <w:tcPr>
            <w:tcW w:w="1479" w:type="pct"/>
            <w:tcBorders>
              <w:bottom w:val="single" w:sz="4" w:space="0" w:color="auto"/>
            </w:tcBorders>
          </w:tcPr>
          <w:p w14:paraId="482B942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Borders>
              <w:bottom w:val="single" w:sz="4" w:space="0" w:color="auto"/>
            </w:tcBorders>
          </w:tcPr>
          <w:p w14:paraId="4ADFCD0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-0.278</w:t>
            </w:r>
          </w:p>
        </w:tc>
        <w:tc>
          <w:tcPr>
            <w:tcW w:w="1479" w:type="pct"/>
            <w:tcBorders>
              <w:bottom w:val="single" w:sz="4" w:space="0" w:color="auto"/>
            </w:tcBorders>
          </w:tcPr>
          <w:p w14:paraId="06C8464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0.588</w:t>
            </w:r>
          </w:p>
        </w:tc>
        <w:tc>
          <w:tcPr>
            <w:tcW w:w="1308" w:type="pct"/>
            <w:tcBorders>
              <w:bottom w:val="single" w:sz="4" w:space="0" w:color="auto"/>
            </w:tcBorders>
          </w:tcPr>
          <w:p w14:paraId="4C3BE98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bl>
    <w:p w14:paraId="20E9CE12" w14:textId="77777777" w:rsidR="00724BE0" w:rsidRDefault="00724BE0" w:rsidP="00DD0A30">
      <w:pPr>
        <w:pStyle w:val="TableCaption"/>
        <w:spacing w:line="360" w:lineRule="auto"/>
        <w:jc w:val="both"/>
        <w:rPr>
          <w:rFonts w:ascii="Times New Roman" w:hAnsi="Times New Roman" w:cs="Times New Roman"/>
          <w:sz w:val="22"/>
          <w:szCs w:val="22"/>
        </w:rPr>
      </w:pPr>
      <w:bookmarkStart w:id="72" w:name="tab:corr_wc_mbm"/>
      <w:bookmarkEnd w:id="71"/>
    </w:p>
    <w:p w14:paraId="29EF2FBC" w14:textId="63B48F49" w:rsidR="00D35D27" w:rsidRPr="00DD0A30" w:rsidRDefault="00724BE0" w:rsidP="00DD0A30">
      <w:pPr>
        <w:pStyle w:val="TableCaption"/>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Table 10: </w:t>
      </w:r>
      <w:r w:rsidR="00000000" w:rsidRPr="00DD0A30">
        <w:rPr>
          <w:rFonts w:ascii="Times New Roman" w:hAnsi="Times New Roman" w:cs="Times New Roman"/>
          <w:sz w:val="22"/>
          <w:szCs w:val="22"/>
        </w:rPr>
        <w:t>Correlation matrices for minute-by-minute aggregation in FIFA World Cup</w:t>
      </w:r>
    </w:p>
    <w:tbl>
      <w:tblPr>
        <w:tblStyle w:val="Table"/>
        <w:tblW w:w="5000" w:type="pct"/>
        <w:tblLook w:val="0020" w:firstRow="1" w:lastRow="0" w:firstColumn="0" w:lastColumn="0" w:noHBand="0" w:noVBand="0"/>
      </w:tblPr>
      <w:tblGrid>
        <w:gridCol w:w="3013"/>
        <w:gridCol w:w="1494"/>
        <w:gridCol w:w="3014"/>
        <w:gridCol w:w="2667"/>
      </w:tblGrid>
      <w:tr w:rsidR="00D35D27" w:rsidRPr="00DD0A30" w14:paraId="10B4779B" w14:textId="77777777" w:rsidTr="00724BE0">
        <w:trPr>
          <w:cnfStyle w:val="100000000000" w:firstRow="1" w:lastRow="0" w:firstColumn="0" w:lastColumn="0" w:oddVBand="0" w:evenVBand="0" w:oddHBand="0" w:evenHBand="0" w:firstRowFirstColumn="0" w:firstRowLastColumn="0" w:lastRowFirstColumn="0" w:lastRowLastColumn="0"/>
          <w:tblHeader/>
        </w:trPr>
        <w:tc>
          <w:tcPr>
            <w:tcW w:w="1479" w:type="pct"/>
            <w:tcBorders>
              <w:top w:val="single" w:sz="4" w:space="0" w:color="auto"/>
              <w:bottom w:val="single" w:sz="4" w:space="0" w:color="auto"/>
            </w:tcBorders>
          </w:tcPr>
          <w:p w14:paraId="58071B3C" w14:textId="77777777" w:rsidR="00D35D27" w:rsidRPr="00DD0A30" w:rsidRDefault="00D35D27" w:rsidP="00DD0A30">
            <w:pPr>
              <w:pStyle w:val="Compact"/>
              <w:spacing w:line="360" w:lineRule="auto"/>
              <w:jc w:val="both"/>
              <w:rPr>
                <w:rFonts w:ascii="Times New Roman" w:hAnsi="Times New Roman" w:cs="Times New Roman"/>
                <w:sz w:val="22"/>
                <w:szCs w:val="22"/>
              </w:rPr>
            </w:pPr>
          </w:p>
        </w:tc>
        <w:tc>
          <w:tcPr>
            <w:tcW w:w="733" w:type="pct"/>
            <w:tcBorders>
              <w:top w:val="single" w:sz="4" w:space="0" w:color="auto"/>
              <w:bottom w:val="single" w:sz="4" w:space="0" w:color="auto"/>
            </w:tcBorders>
          </w:tcPr>
          <w:p w14:paraId="23ACA1C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1479" w:type="pct"/>
            <w:tcBorders>
              <w:top w:val="single" w:sz="4" w:space="0" w:color="auto"/>
              <w:bottom w:val="single" w:sz="4" w:space="0" w:color="auto"/>
            </w:tcBorders>
          </w:tcPr>
          <w:p w14:paraId="30C6B54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1308" w:type="pct"/>
            <w:tcBorders>
              <w:top w:val="single" w:sz="4" w:space="0" w:color="auto"/>
              <w:bottom w:val="single" w:sz="4" w:space="0" w:color="auto"/>
            </w:tcBorders>
          </w:tcPr>
          <w:p w14:paraId="5225D6F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r>
      <w:tr w:rsidR="00D35D27" w:rsidRPr="00DD0A30" w14:paraId="7264F0FC" w14:textId="77777777" w:rsidTr="00724BE0">
        <w:tc>
          <w:tcPr>
            <w:tcW w:w="5000" w:type="pct"/>
            <w:gridSpan w:val="4"/>
            <w:tcBorders>
              <w:top w:val="single" w:sz="4" w:space="0" w:color="auto"/>
            </w:tcBorders>
          </w:tcPr>
          <w:p w14:paraId="765D3FC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t>UEFA rule</w:t>
            </w:r>
          </w:p>
        </w:tc>
      </w:tr>
      <w:tr w:rsidR="00D35D27" w:rsidRPr="00DD0A30" w14:paraId="6C4BEAF0" w14:textId="77777777" w:rsidTr="00724BE0">
        <w:tc>
          <w:tcPr>
            <w:tcW w:w="1479" w:type="pct"/>
          </w:tcPr>
          <w:p w14:paraId="257DF43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6C0E1DB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749709D6"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-0.006</w:t>
            </w:r>
          </w:p>
        </w:tc>
        <w:tc>
          <w:tcPr>
            <w:tcW w:w="1308" w:type="pct"/>
          </w:tcPr>
          <w:p w14:paraId="6161497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-0.222</w:t>
            </w:r>
          </w:p>
        </w:tc>
      </w:tr>
      <w:tr w:rsidR="00D35D27" w:rsidRPr="00DD0A30" w14:paraId="0D1AED64" w14:textId="77777777" w:rsidTr="00724BE0">
        <w:tc>
          <w:tcPr>
            <w:tcW w:w="1479" w:type="pct"/>
          </w:tcPr>
          <w:p w14:paraId="3780E66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671503D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-0.006</w:t>
            </w:r>
          </w:p>
        </w:tc>
        <w:tc>
          <w:tcPr>
            <w:tcW w:w="1479" w:type="pct"/>
          </w:tcPr>
          <w:p w14:paraId="2C4249C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0615CB0A"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0.403</w:t>
            </w:r>
          </w:p>
        </w:tc>
      </w:tr>
      <w:tr w:rsidR="00D35D27" w:rsidRPr="00DD0A30" w14:paraId="22F831D3" w14:textId="77777777" w:rsidTr="00724BE0">
        <w:tc>
          <w:tcPr>
            <w:tcW w:w="1479" w:type="pct"/>
          </w:tcPr>
          <w:p w14:paraId="5D11D5F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Pr>
          <w:p w14:paraId="104B41C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-0.222</w:t>
            </w:r>
          </w:p>
        </w:tc>
        <w:tc>
          <w:tcPr>
            <w:tcW w:w="1479" w:type="pct"/>
          </w:tcPr>
          <w:p w14:paraId="32261960"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0.403</w:t>
            </w:r>
          </w:p>
        </w:tc>
        <w:tc>
          <w:tcPr>
            <w:tcW w:w="1308" w:type="pct"/>
          </w:tcPr>
          <w:p w14:paraId="7AA83B4F"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r w:rsidR="00D35D27" w:rsidRPr="00DD0A30" w14:paraId="4F03FF6B" w14:textId="77777777" w:rsidTr="00724BE0">
        <w:tc>
          <w:tcPr>
            <w:tcW w:w="5000" w:type="pct"/>
            <w:gridSpan w:val="4"/>
          </w:tcPr>
          <w:p w14:paraId="269C2353"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b/>
                <w:bCs/>
                <w:sz w:val="22"/>
                <w:szCs w:val="22"/>
              </w:rPr>
              <w:lastRenderedPageBreak/>
              <w:t>FIFA rule</w:t>
            </w:r>
          </w:p>
        </w:tc>
      </w:tr>
      <w:tr w:rsidR="00D35D27" w:rsidRPr="00DD0A30" w14:paraId="2F0ECB11" w14:textId="77777777" w:rsidTr="00724BE0">
        <w:tc>
          <w:tcPr>
            <w:tcW w:w="1479" w:type="pct"/>
          </w:tcPr>
          <w:p w14:paraId="676A84A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Elo std</w:t>
            </w:r>
          </w:p>
        </w:tc>
        <w:tc>
          <w:tcPr>
            <w:tcW w:w="733" w:type="pct"/>
          </w:tcPr>
          <w:p w14:paraId="7C702A99"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479" w:type="pct"/>
          </w:tcPr>
          <w:p w14:paraId="761F1C4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-0.006</w:t>
            </w:r>
          </w:p>
        </w:tc>
        <w:tc>
          <w:tcPr>
            <w:tcW w:w="1308" w:type="pct"/>
          </w:tcPr>
          <w:p w14:paraId="228DA565"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-0.276</w:t>
            </w:r>
          </w:p>
        </w:tc>
      </w:tr>
      <w:tr w:rsidR="00D35D27" w:rsidRPr="00DD0A30" w14:paraId="474D82F3" w14:textId="77777777" w:rsidTr="00724BE0">
        <w:tc>
          <w:tcPr>
            <w:tcW w:w="1479" w:type="pct"/>
          </w:tcPr>
          <w:p w14:paraId="65910791"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qual. count</w:t>
            </w:r>
          </w:p>
        </w:tc>
        <w:tc>
          <w:tcPr>
            <w:tcW w:w="733" w:type="pct"/>
          </w:tcPr>
          <w:p w14:paraId="07DC2EF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-0.006</w:t>
            </w:r>
          </w:p>
        </w:tc>
        <w:tc>
          <w:tcPr>
            <w:tcW w:w="1479" w:type="pct"/>
          </w:tcPr>
          <w:p w14:paraId="250201FC"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c>
          <w:tcPr>
            <w:tcW w:w="1308" w:type="pct"/>
          </w:tcPr>
          <w:p w14:paraId="5912F4FD"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0.476</w:t>
            </w:r>
          </w:p>
        </w:tc>
      </w:tr>
      <w:tr w:rsidR="00D35D27" w:rsidRPr="00DD0A30" w14:paraId="25B9C0AA" w14:textId="77777777" w:rsidTr="00724BE0">
        <w:tc>
          <w:tcPr>
            <w:tcW w:w="1479" w:type="pct"/>
            <w:tcBorders>
              <w:bottom w:val="single" w:sz="4" w:space="0" w:color="auto"/>
            </w:tcBorders>
          </w:tcPr>
          <w:p w14:paraId="03A5737B"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Avg. suspense</w:t>
            </w:r>
          </w:p>
        </w:tc>
        <w:tc>
          <w:tcPr>
            <w:tcW w:w="733" w:type="pct"/>
            <w:tcBorders>
              <w:bottom w:val="single" w:sz="4" w:space="0" w:color="auto"/>
            </w:tcBorders>
          </w:tcPr>
          <w:p w14:paraId="7D4BE8EE"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-0.276</w:t>
            </w:r>
          </w:p>
        </w:tc>
        <w:tc>
          <w:tcPr>
            <w:tcW w:w="1479" w:type="pct"/>
            <w:tcBorders>
              <w:bottom w:val="single" w:sz="4" w:space="0" w:color="auto"/>
            </w:tcBorders>
          </w:tcPr>
          <w:p w14:paraId="6433FBF4"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0.476</w:t>
            </w:r>
          </w:p>
        </w:tc>
        <w:tc>
          <w:tcPr>
            <w:tcW w:w="1308" w:type="pct"/>
            <w:tcBorders>
              <w:bottom w:val="single" w:sz="4" w:space="0" w:color="auto"/>
            </w:tcBorders>
          </w:tcPr>
          <w:p w14:paraId="3955A578" w14:textId="77777777" w:rsidR="00D35D27" w:rsidRPr="00DD0A30" w:rsidRDefault="00000000" w:rsidP="00DD0A30">
            <w:pPr>
              <w:pStyle w:val="Compac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1.000</w:t>
            </w:r>
          </w:p>
        </w:tc>
      </w:tr>
    </w:tbl>
    <w:p w14:paraId="62210BF4" w14:textId="77777777" w:rsidR="00D35D27" w:rsidRPr="004A752F" w:rsidRDefault="00000000" w:rsidP="00DD0A30">
      <w:pPr>
        <w:pStyle w:val="Heading2"/>
        <w:spacing w:line="360" w:lineRule="auto"/>
        <w:jc w:val="both"/>
        <w:rPr>
          <w:rFonts w:ascii="Times New Roman" w:hAnsi="Times New Roman" w:cs="Times New Roman"/>
          <w:b/>
          <w:bCs/>
          <w:color w:val="auto"/>
          <w:sz w:val="22"/>
          <w:szCs w:val="22"/>
        </w:rPr>
      </w:pPr>
      <w:bookmarkStart w:id="73" w:name="app:wc_trajectories"/>
      <w:bookmarkEnd w:id="68"/>
      <w:bookmarkEnd w:id="72"/>
      <w:r w:rsidRPr="004A752F">
        <w:rPr>
          <w:rFonts w:ascii="Times New Roman" w:hAnsi="Times New Roman" w:cs="Times New Roman"/>
          <w:b/>
          <w:bCs/>
          <w:color w:val="auto"/>
          <w:sz w:val="22"/>
          <w:szCs w:val="22"/>
        </w:rPr>
        <w:t>World Cup Suspense Trajectories by Group Type</w:t>
      </w:r>
    </w:p>
    <w:p w14:paraId="28D47372"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 xml:space="preserve">To examine whether the FIFA advantage translates into a more sustained distribution of suspense across the match, we classify World Cup groups as </w:t>
      </w:r>
      <w:r w:rsidRPr="00DD0A30">
        <w:rPr>
          <w:rFonts w:ascii="Times New Roman" w:hAnsi="Times New Roman" w:cs="Times New Roman"/>
          <w:i/>
          <w:iCs/>
          <w:sz w:val="22"/>
          <w:szCs w:val="22"/>
        </w:rPr>
        <w:t>stable</w:t>
      </w:r>
      <w:r w:rsidRPr="00DD0A30">
        <w:rPr>
          <w:rFonts w:ascii="Times New Roman" w:hAnsi="Times New Roman" w:cs="Times New Roman"/>
          <w:sz w:val="22"/>
          <w:szCs w:val="22"/>
        </w:rPr>
        <w:t xml:space="preserve"> or </w:t>
      </w:r>
      <w:r w:rsidRPr="00DD0A30">
        <w:rPr>
          <w:rFonts w:ascii="Times New Roman" w:hAnsi="Times New Roman" w:cs="Times New Roman"/>
          <w:i/>
          <w:iCs/>
          <w:sz w:val="22"/>
          <w:szCs w:val="22"/>
        </w:rPr>
        <w:t>volatile</w:t>
      </w:r>
      <w:r w:rsidRPr="00DD0A30">
        <w:rPr>
          <w:rFonts w:ascii="Times New Roman" w:hAnsi="Times New Roman" w:cs="Times New Roman"/>
          <w:sz w:val="22"/>
          <w:szCs w:val="22"/>
        </w:rPr>
        <w:t xml:space="preserve"> depending on whether their average number of qualification changes lies below or above the median, and trace the minute-by-minute suspense trajectory separately for each type.</w:t>
      </w:r>
    </w:p>
    <w:p w14:paraId="795DB427" w14:textId="77777777" w:rsidR="00D35D27" w:rsidRPr="00DD0A30" w:rsidRDefault="00000000" w:rsidP="00DD0A30">
      <w:pPr>
        <w:pStyle w:val="BodyText"/>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Volatile groups exhibit higher levels of suspense than stable ones under both rules. Under FIFA’s rules (Figure </w:t>
      </w:r>
      <w:hyperlink w:anchor="fig:susp_traj_wc_fifa">
        <w:r w:rsidR="00D35D27" w:rsidRPr="00DD0A30">
          <w:rPr>
            <w:rStyle w:val="Hyperlink"/>
            <w:rFonts w:ascii="Times New Roman" w:hAnsi="Times New Roman" w:cs="Times New Roman"/>
            <w:sz w:val="22"/>
            <w:szCs w:val="22"/>
          </w:rPr>
          <w:t>4</w:t>
        </w:r>
      </w:hyperlink>
      <w:r w:rsidRPr="00DD0A30">
        <w:rPr>
          <w:rFonts w:ascii="Times New Roman" w:hAnsi="Times New Roman" w:cs="Times New Roman"/>
          <w:sz w:val="22"/>
          <w:szCs w:val="22"/>
        </w:rPr>
        <w:t>), the gap between stable and volatile groups is already substantial at kick-off (around 0.4 points) and remains large throughout, as both trajectories gradually decline over time. Under UEFA’s rules (Figure </w:t>
      </w:r>
      <w:hyperlink w:anchor="fig:susp_traj_wc_uefa">
        <w:r w:rsidR="00D35D27" w:rsidRPr="00DD0A30">
          <w:rPr>
            <w:rStyle w:val="Hyperlink"/>
            <w:rFonts w:ascii="Times New Roman" w:hAnsi="Times New Roman" w:cs="Times New Roman"/>
            <w:sz w:val="22"/>
            <w:szCs w:val="22"/>
          </w:rPr>
          <w:t>5</w:t>
        </w:r>
      </w:hyperlink>
      <w:r w:rsidRPr="00DD0A30">
        <w:rPr>
          <w:rFonts w:ascii="Times New Roman" w:hAnsi="Times New Roman" w:cs="Times New Roman"/>
          <w:sz w:val="22"/>
          <w:szCs w:val="22"/>
        </w:rPr>
        <w:t>), the initial gap is more moderate (approximately 0.2 points) but widens considerably as the match progresses.</w:t>
      </w:r>
    </w:p>
    <w:p w14:paraId="1AD530E9" w14:textId="77777777" w:rsidR="00D35D27" w:rsidRPr="00DD0A30" w:rsidRDefault="00000000" w:rsidP="00724BE0">
      <w:pPr>
        <w:pStyle w:val="CaptionedFigure"/>
        <w:spacing w:line="360" w:lineRule="auto"/>
        <w:jc w:val="center"/>
        <w:rPr>
          <w:rFonts w:ascii="Times New Roman" w:hAnsi="Times New Roman" w:cs="Times New Roman"/>
          <w:sz w:val="22"/>
          <w:szCs w:val="22"/>
        </w:rPr>
      </w:pPr>
      <w:bookmarkStart w:id="74" w:name="fig:susp_traj_wc_fifa"/>
      <w:r w:rsidRPr="00DD0A30">
        <w:rPr>
          <w:rFonts w:ascii="Times New Roman" w:hAnsi="Times New Roman" w:cs="Times New Roman"/>
          <w:noProof/>
          <w:sz w:val="22"/>
          <w:szCs w:val="22"/>
        </w:rPr>
        <w:drawing>
          <wp:inline distT="0" distB="0" distL="0" distR="0" wp14:anchorId="38D33FC2" wp14:editId="1B41BEFC">
            <wp:extent cx="5334000" cy="318528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s/susp_traj_wc_fifa.png"/>
                    <pic:cNvPicPr>
                      <a:picLocks noChangeAspect="1" noChangeArrowheads="1"/>
                    </pic:cNvPicPr>
                  </pic:nvPicPr>
                  <pic:blipFill>
                    <a:blip r:embed="rId16"/>
                    <a:stretch>
                      <a:fillRect/>
                    </a:stretch>
                  </pic:blipFill>
                  <pic:spPr bwMode="auto">
                    <a:xfrm>
                      <a:off x="0" y="0"/>
                      <a:ext cx="5334000" cy="3185283"/>
                    </a:xfrm>
                    <a:prstGeom prst="rect">
                      <a:avLst/>
                    </a:prstGeom>
                    <a:noFill/>
                    <a:ln w="9525">
                      <a:noFill/>
                      <a:headEnd/>
                      <a:tailEnd/>
                    </a:ln>
                  </pic:spPr>
                </pic:pic>
              </a:graphicData>
            </a:graphic>
          </wp:inline>
        </w:drawing>
      </w:r>
    </w:p>
    <w:p w14:paraId="7FC20E1E" w14:textId="13A091AF" w:rsidR="00D35D27" w:rsidRPr="00DD0A30" w:rsidRDefault="00724BE0" w:rsidP="00724BE0">
      <w:pPr>
        <w:pStyle w:val="ImageCaption"/>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Figure 4: </w:t>
      </w:r>
      <w:r w:rsidR="00000000" w:rsidRPr="00DD0A30">
        <w:rPr>
          <w:rFonts w:ascii="Times New Roman" w:hAnsi="Times New Roman" w:cs="Times New Roman"/>
          <w:sz w:val="22"/>
          <w:szCs w:val="22"/>
        </w:rPr>
        <w:t>Suspense trajectories in World Cup groups (stable vs. volatile) under FIFA rules.</w:t>
      </w:r>
    </w:p>
    <w:p w14:paraId="52A48CEF" w14:textId="77777777" w:rsidR="00D35D27" w:rsidRPr="00DD0A30" w:rsidRDefault="00000000" w:rsidP="00724BE0">
      <w:pPr>
        <w:pStyle w:val="CaptionedFigure"/>
        <w:spacing w:line="360" w:lineRule="auto"/>
        <w:jc w:val="center"/>
        <w:rPr>
          <w:rFonts w:ascii="Times New Roman" w:hAnsi="Times New Roman" w:cs="Times New Roman"/>
          <w:sz w:val="22"/>
          <w:szCs w:val="22"/>
        </w:rPr>
      </w:pPr>
      <w:bookmarkStart w:id="75" w:name="fig:susp_traj_wc_uefa"/>
      <w:bookmarkEnd w:id="74"/>
      <w:r w:rsidRPr="00DD0A30">
        <w:rPr>
          <w:rFonts w:ascii="Times New Roman" w:hAnsi="Times New Roman" w:cs="Times New Roman"/>
          <w:noProof/>
          <w:sz w:val="22"/>
          <w:szCs w:val="22"/>
        </w:rPr>
        <w:lastRenderedPageBreak/>
        <w:drawing>
          <wp:inline distT="0" distB="0" distL="0" distR="0" wp14:anchorId="4448844A" wp14:editId="2D07F44F">
            <wp:extent cx="5334000" cy="318528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ages/susp_traj_wc_uefa.png"/>
                    <pic:cNvPicPr>
                      <a:picLocks noChangeAspect="1" noChangeArrowheads="1"/>
                    </pic:cNvPicPr>
                  </pic:nvPicPr>
                  <pic:blipFill>
                    <a:blip r:embed="rId17"/>
                    <a:stretch>
                      <a:fillRect/>
                    </a:stretch>
                  </pic:blipFill>
                  <pic:spPr bwMode="auto">
                    <a:xfrm>
                      <a:off x="0" y="0"/>
                      <a:ext cx="5334000" cy="3185283"/>
                    </a:xfrm>
                    <a:prstGeom prst="rect">
                      <a:avLst/>
                    </a:prstGeom>
                    <a:noFill/>
                    <a:ln w="9525">
                      <a:noFill/>
                      <a:headEnd/>
                      <a:tailEnd/>
                    </a:ln>
                  </pic:spPr>
                </pic:pic>
              </a:graphicData>
            </a:graphic>
          </wp:inline>
        </w:drawing>
      </w:r>
    </w:p>
    <w:p w14:paraId="0DBF865E" w14:textId="6812ECFA" w:rsidR="00D35D27" w:rsidRPr="00DD0A30" w:rsidRDefault="00724BE0" w:rsidP="00724BE0">
      <w:pPr>
        <w:pStyle w:val="ImageCaption"/>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Figure 5: </w:t>
      </w:r>
      <w:r w:rsidR="00000000" w:rsidRPr="00DD0A30">
        <w:rPr>
          <w:rFonts w:ascii="Times New Roman" w:hAnsi="Times New Roman" w:cs="Times New Roman"/>
          <w:sz w:val="22"/>
          <w:szCs w:val="22"/>
        </w:rPr>
        <w:t>Suspense trajectories in World Cup groups (stable vs. volatile) under UEFA rules.</w:t>
      </w:r>
    </w:p>
    <w:p w14:paraId="079279F3" w14:textId="77777777" w:rsidR="00D35D27" w:rsidRPr="004A752F" w:rsidRDefault="00000000" w:rsidP="00DD0A30">
      <w:pPr>
        <w:pStyle w:val="Heading2"/>
        <w:spacing w:line="360" w:lineRule="auto"/>
        <w:jc w:val="both"/>
        <w:rPr>
          <w:rFonts w:ascii="Times New Roman" w:hAnsi="Times New Roman" w:cs="Times New Roman"/>
          <w:b/>
          <w:bCs/>
          <w:color w:val="auto"/>
          <w:sz w:val="22"/>
          <w:szCs w:val="22"/>
        </w:rPr>
      </w:pPr>
      <w:bookmarkStart w:id="76" w:name="app:euro_trajectories"/>
      <w:bookmarkEnd w:id="73"/>
      <w:bookmarkEnd w:id="75"/>
      <w:r w:rsidRPr="004A752F">
        <w:rPr>
          <w:rFonts w:ascii="Times New Roman" w:hAnsi="Times New Roman" w:cs="Times New Roman"/>
          <w:b/>
          <w:bCs/>
          <w:color w:val="auto"/>
          <w:sz w:val="22"/>
          <w:szCs w:val="22"/>
        </w:rPr>
        <w:t>European Championship Suspense Trajectories</w:t>
      </w:r>
    </w:p>
    <w:p w14:paraId="195D22CA" w14:textId="77777777" w:rsidR="00D35D27" w:rsidRPr="00DD0A30" w:rsidRDefault="00000000" w:rsidP="00DD0A30">
      <w:pPr>
        <w:pStyle w:val="FirstParagraph"/>
        <w:spacing w:line="360" w:lineRule="auto"/>
        <w:jc w:val="both"/>
        <w:rPr>
          <w:rFonts w:ascii="Times New Roman" w:hAnsi="Times New Roman" w:cs="Times New Roman"/>
          <w:sz w:val="22"/>
          <w:szCs w:val="22"/>
        </w:rPr>
      </w:pPr>
      <w:r w:rsidRPr="00DD0A30">
        <w:rPr>
          <w:rFonts w:ascii="Times New Roman" w:hAnsi="Times New Roman" w:cs="Times New Roman"/>
          <w:sz w:val="22"/>
          <w:szCs w:val="22"/>
        </w:rPr>
        <w:t>Figures </w:t>
      </w:r>
      <w:hyperlink w:anchor="fig:susp_traj_eu_uefa">
        <w:r w:rsidR="00D35D27" w:rsidRPr="00DD0A30">
          <w:rPr>
            <w:rStyle w:val="Hyperlink"/>
            <w:rFonts w:ascii="Times New Roman" w:hAnsi="Times New Roman" w:cs="Times New Roman"/>
            <w:sz w:val="22"/>
            <w:szCs w:val="22"/>
          </w:rPr>
          <w:t>6</w:t>
        </w:r>
      </w:hyperlink>
      <w:r w:rsidRPr="00DD0A30">
        <w:rPr>
          <w:rFonts w:ascii="Times New Roman" w:hAnsi="Times New Roman" w:cs="Times New Roman"/>
          <w:sz w:val="22"/>
          <w:szCs w:val="22"/>
        </w:rPr>
        <w:t xml:space="preserve"> and </w:t>
      </w:r>
      <w:hyperlink w:anchor="fig:susp_traj_eu_fifa">
        <w:r w:rsidR="00D35D27" w:rsidRPr="00DD0A30">
          <w:rPr>
            <w:rStyle w:val="Hyperlink"/>
            <w:rFonts w:ascii="Times New Roman" w:hAnsi="Times New Roman" w:cs="Times New Roman"/>
            <w:sz w:val="22"/>
            <w:szCs w:val="22"/>
          </w:rPr>
          <w:t>7</w:t>
        </w:r>
      </w:hyperlink>
      <w:r w:rsidRPr="00DD0A30">
        <w:rPr>
          <w:rFonts w:ascii="Times New Roman" w:hAnsi="Times New Roman" w:cs="Times New Roman"/>
          <w:sz w:val="22"/>
          <w:szCs w:val="22"/>
        </w:rPr>
        <w:t xml:space="preserve"> display the suspense trajectories for stable and volatile groups in the European Championship under UEFA and FIFA rules respectively. Under UEFA’s criteria (Figure </w:t>
      </w:r>
      <w:hyperlink w:anchor="fig:susp_traj_eu_uefa">
        <w:r w:rsidR="00D35D27" w:rsidRPr="00DD0A30">
          <w:rPr>
            <w:rStyle w:val="Hyperlink"/>
            <w:rFonts w:ascii="Times New Roman" w:hAnsi="Times New Roman" w:cs="Times New Roman"/>
            <w:sz w:val="22"/>
            <w:szCs w:val="22"/>
          </w:rPr>
          <w:t>6</w:t>
        </w:r>
      </w:hyperlink>
      <w:r w:rsidRPr="00DD0A30">
        <w:rPr>
          <w:rFonts w:ascii="Times New Roman" w:hAnsi="Times New Roman" w:cs="Times New Roman"/>
          <w:sz w:val="22"/>
          <w:szCs w:val="22"/>
        </w:rPr>
        <w:t>), the difference between the two trajectories is minimal at the start and end of matches, with the largest gap emerging between the 30th and 50th minutes. Under FIFA’s criteria (Figure </w:t>
      </w:r>
      <w:hyperlink w:anchor="fig:susp_traj_eu_fifa">
        <w:r w:rsidR="00D35D27" w:rsidRPr="00DD0A30">
          <w:rPr>
            <w:rStyle w:val="Hyperlink"/>
            <w:rFonts w:ascii="Times New Roman" w:hAnsi="Times New Roman" w:cs="Times New Roman"/>
            <w:sz w:val="22"/>
            <w:szCs w:val="22"/>
          </w:rPr>
          <w:t>7</w:t>
        </w:r>
      </w:hyperlink>
      <w:r w:rsidRPr="00DD0A30">
        <w:rPr>
          <w:rFonts w:ascii="Times New Roman" w:hAnsi="Times New Roman" w:cs="Times New Roman"/>
          <w:sz w:val="22"/>
          <w:szCs w:val="22"/>
        </w:rPr>
        <w:t>), the gap starts at about 0.3 points and gradually narrows toward 0.2 points. In both cases, the differences are smaller in magnitude than those observed in the World Cup, consistent with the null result from the statistical tests and the regression estimation.</w:t>
      </w:r>
    </w:p>
    <w:p w14:paraId="250C6C1D" w14:textId="77777777" w:rsidR="00D35D27" w:rsidRPr="00DD0A30" w:rsidRDefault="00000000" w:rsidP="00724BE0">
      <w:pPr>
        <w:pStyle w:val="CaptionedFigure"/>
        <w:spacing w:line="360" w:lineRule="auto"/>
        <w:jc w:val="center"/>
        <w:rPr>
          <w:rFonts w:ascii="Times New Roman" w:hAnsi="Times New Roman" w:cs="Times New Roman"/>
          <w:sz w:val="22"/>
          <w:szCs w:val="22"/>
        </w:rPr>
      </w:pPr>
      <w:bookmarkStart w:id="77" w:name="fig:susp_traj_eu_uefa"/>
      <w:r w:rsidRPr="00DD0A30">
        <w:rPr>
          <w:rFonts w:ascii="Times New Roman" w:hAnsi="Times New Roman" w:cs="Times New Roman"/>
          <w:noProof/>
          <w:sz w:val="22"/>
          <w:szCs w:val="22"/>
        </w:rPr>
        <w:lastRenderedPageBreak/>
        <w:drawing>
          <wp:inline distT="0" distB="0" distL="0" distR="0" wp14:anchorId="253443FB" wp14:editId="6120C062">
            <wp:extent cx="5334000" cy="3182062"/>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images/susp_traj_eu_uefa.png"/>
                    <pic:cNvPicPr>
                      <a:picLocks noChangeAspect="1" noChangeArrowheads="1"/>
                    </pic:cNvPicPr>
                  </pic:nvPicPr>
                  <pic:blipFill>
                    <a:blip r:embed="rId18"/>
                    <a:stretch>
                      <a:fillRect/>
                    </a:stretch>
                  </pic:blipFill>
                  <pic:spPr bwMode="auto">
                    <a:xfrm>
                      <a:off x="0" y="0"/>
                      <a:ext cx="5334000" cy="3182062"/>
                    </a:xfrm>
                    <a:prstGeom prst="rect">
                      <a:avLst/>
                    </a:prstGeom>
                    <a:noFill/>
                    <a:ln w="9525">
                      <a:noFill/>
                      <a:headEnd/>
                      <a:tailEnd/>
                    </a:ln>
                  </pic:spPr>
                </pic:pic>
              </a:graphicData>
            </a:graphic>
          </wp:inline>
        </w:drawing>
      </w:r>
    </w:p>
    <w:p w14:paraId="689C4802" w14:textId="5922B50C" w:rsidR="00D35D27" w:rsidRPr="00DD0A30" w:rsidRDefault="00724BE0" w:rsidP="00724BE0">
      <w:pPr>
        <w:pStyle w:val="ImageCaption"/>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Figure 6: </w:t>
      </w:r>
      <w:r w:rsidR="00000000" w:rsidRPr="00DD0A30">
        <w:rPr>
          <w:rFonts w:ascii="Times New Roman" w:hAnsi="Times New Roman" w:cs="Times New Roman"/>
          <w:sz w:val="22"/>
          <w:szCs w:val="22"/>
        </w:rPr>
        <w:t>Suspense trajectories in European Championship groups (stable vs. volatile) under UEFA rules.</w:t>
      </w:r>
    </w:p>
    <w:p w14:paraId="4E836CC3" w14:textId="77777777" w:rsidR="00D35D27" w:rsidRPr="00DD0A30" w:rsidRDefault="00000000" w:rsidP="00724BE0">
      <w:pPr>
        <w:pStyle w:val="CaptionedFigure"/>
        <w:spacing w:line="360" w:lineRule="auto"/>
        <w:jc w:val="center"/>
        <w:rPr>
          <w:rFonts w:ascii="Times New Roman" w:hAnsi="Times New Roman" w:cs="Times New Roman"/>
          <w:sz w:val="22"/>
          <w:szCs w:val="22"/>
        </w:rPr>
      </w:pPr>
      <w:bookmarkStart w:id="78" w:name="fig:susp_traj_eu_fifa"/>
      <w:bookmarkEnd w:id="77"/>
      <w:r w:rsidRPr="00DD0A30">
        <w:rPr>
          <w:rFonts w:ascii="Times New Roman" w:hAnsi="Times New Roman" w:cs="Times New Roman"/>
          <w:noProof/>
          <w:sz w:val="22"/>
          <w:szCs w:val="22"/>
        </w:rPr>
        <w:drawing>
          <wp:inline distT="0" distB="0" distL="0" distR="0" wp14:anchorId="40816564" wp14:editId="3F1B757C">
            <wp:extent cx="5334000" cy="3182062"/>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images/susp_traj_eu_fifa.png"/>
                    <pic:cNvPicPr>
                      <a:picLocks noChangeAspect="1" noChangeArrowheads="1"/>
                    </pic:cNvPicPr>
                  </pic:nvPicPr>
                  <pic:blipFill>
                    <a:blip r:embed="rId19"/>
                    <a:stretch>
                      <a:fillRect/>
                    </a:stretch>
                  </pic:blipFill>
                  <pic:spPr bwMode="auto">
                    <a:xfrm>
                      <a:off x="0" y="0"/>
                      <a:ext cx="5334000" cy="3182062"/>
                    </a:xfrm>
                    <a:prstGeom prst="rect">
                      <a:avLst/>
                    </a:prstGeom>
                    <a:noFill/>
                    <a:ln w="9525">
                      <a:noFill/>
                      <a:headEnd/>
                      <a:tailEnd/>
                    </a:ln>
                  </pic:spPr>
                </pic:pic>
              </a:graphicData>
            </a:graphic>
          </wp:inline>
        </w:drawing>
      </w:r>
    </w:p>
    <w:p w14:paraId="22F04E3B" w14:textId="277E8D48" w:rsidR="00D35D27" w:rsidRPr="00DD0A30" w:rsidRDefault="00724BE0" w:rsidP="00DD0A30">
      <w:pPr>
        <w:pStyle w:val="ImageCaption"/>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Figure 7: </w:t>
      </w:r>
      <w:r w:rsidR="00172BA6">
        <w:rPr>
          <w:rFonts w:ascii="Times New Roman" w:hAnsi="Times New Roman" w:cs="Times New Roman"/>
          <w:sz w:val="22"/>
          <w:szCs w:val="22"/>
        </w:rPr>
        <w:t xml:space="preserve">x </w:t>
      </w:r>
      <w:r w:rsidR="00000000" w:rsidRPr="00DD0A30">
        <w:rPr>
          <w:rFonts w:ascii="Times New Roman" w:hAnsi="Times New Roman" w:cs="Times New Roman"/>
          <w:sz w:val="22"/>
          <w:szCs w:val="22"/>
        </w:rPr>
        <w:t>Suspense trajectories in European Championship groups (stable vs. volatile) under FIFA rules.</w:t>
      </w:r>
      <w:bookmarkEnd w:id="52"/>
      <w:bookmarkEnd w:id="76"/>
      <w:bookmarkEnd w:id="78"/>
    </w:p>
    <w:sectPr w:rsidR="00D35D27" w:rsidRPr="00DD0A30">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6619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20EE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B86A3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F915120"/>
    <w:multiLevelType w:val="multilevel"/>
    <w:tmpl w:val="EB9C3D34"/>
    <w:lvl w:ilvl="0">
      <w:start w:val="1"/>
      <w:numFmt w:val="decimal"/>
      <w:lvlText w:val="%1."/>
      <w:lvlJc w:val="left"/>
      <w:pPr>
        <w:ind w:left="71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2157" w:hanging="1800"/>
      </w:pPr>
      <w:rPr>
        <w:rFonts w:hint="default"/>
      </w:rPr>
    </w:lvl>
  </w:abstractNum>
  <w:num w:numId="1" w16cid:durableId="1881238365">
    <w:abstractNumId w:val="0"/>
  </w:num>
  <w:num w:numId="2" w16cid:durableId="219220492">
    <w:abstractNumId w:val="1"/>
  </w:num>
  <w:num w:numId="3" w16cid:durableId="194125492">
    <w:abstractNumId w:val="1"/>
  </w:num>
  <w:num w:numId="4" w16cid:durableId="1006322644">
    <w:abstractNumId w:val="1"/>
  </w:num>
  <w:num w:numId="5" w16cid:durableId="396324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385041">
    <w:abstractNumId w:val="1"/>
  </w:num>
  <w:num w:numId="7" w16cid:durableId="70546696">
    <w:abstractNumId w:val="1"/>
  </w:num>
  <w:num w:numId="8" w16cid:durableId="244849754">
    <w:abstractNumId w:val="1"/>
  </w:num>
  <w:num w:numId="9" w16cid:durableId="1643537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3628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35D27"/>
    <w:rsid w:val="0004612D"/>
    <w:rsid w:val="00172BA6"/>
    <w:rsid w:val="0019023B"/>
    <w:rsid w:val="001D2AC4"/>
    <w:rsid w:val="00216A31"/>
    <w:rsid w:val="00274ECA"/>
    <w:rsid w:val="004716A6"/>
    <w:rsid w:val="004A752F"/>
    <w:rsid w:val="00570E8B"/>
    <w:rsid w:val="006A2E33"/>
    <w:rsid w:val="00724BE0"/>
    <w:rsid w:val="00831F1A"/>
    <w:rsid w:val="008D1FC5"/>
    <w:rsid w:val="00C32A61"/>
    <w:rsid w:val="00D35D27"/>
    <w:rsid w:val="00DD0A30"/>
    <w:rsid w:val="00DF6052"/>
    <w:rsid w:val="00E54EDA"/>
    <w:rsid w:val="00E7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6AB9"/>
  <w15:docId w15:val="{500B889C-3722-4320-8C44-ACE489C7D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DD0A30"/>
  </w:style>
  <w:style w:type="character" w:styleId="UnresolvedMention">
    <w:name w:val="Unresolved Mention"/>
    <w:basedOn w:val="DefaultParagraphFont"/>
    <w:uiPriority w:val="99"/>
    <w:semiHidden/>
    <w:unhideWhenUsed/>
    <w:rsid w:val="006A2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national-football.net/" TargetMode="External"/><Relationship Id="rId13" Type="http://schemas.openxmlformats.org/officeDocument/2006/relationships/hyperlink" Target="https://inside.fifa.com/tournament-organisation/audience-reports/qatar-2022/total-media-engagement"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lex.krumer@himolde.no" TargetMode="External"/><Relationship Id="rId12" Type="http://schemas.openxmlformats.org/officeDocument/2006/relationships/hyperlink" Target="https://publications.fifa.com/en/annual-report-2022/finances/2019-2022-cycle-in-review/2019-2022-revenue"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lessandro1.e.g.d.di.mattia@himolde.no"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sportspro.com/insights/analysis/euro-2024-stats-tv-ratings-viewership-attendance-social-media-sales"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nside.fifa.com/tournament-organisation/audience-reports/qatar-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7753</Words>
  <Characters>44194</Characters>
  <Application>Microsoft Office Word</Application>
  <DocSecurity>0</DocSecurity>
  <Lines>368</Lines>
  <Paragraphs>103</Paragraphs>
  <ScaleCrop>false</ScaleCrop>
  <Company/>
  <LinksUpToDate>false</LinksUpToDate>
  <CharactersWithSpaces>51844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UEFA vs FIFA Tie Break: Which Creates More Suspense?</dc:title>
  <dc:creator>Alessandro Di Mattia and Alex Krumer</dc:creator>
  <cp:keywords/>
  <cp:lastModifiedBy>Alessandro Edoardo Giorgio David Di Mattia</cp:lastModifiedBy>
  <cp:revision>13</cp:revision>
  <dcterms:created xsi:type="dcterms:W3CDTF">2026-07-23T10:52:00Z</dcterms:created>
  <dcterms:modified xsi:type="dcterms:W3CDTF">2026-07-23T13:03:00Z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provides empirical evidence on how tie-breaking rules shape group-level suspense in international football tournaments. By comparing the goal-difference criterion used by FIFA in the World Cup with the head-to-head criterion used by UEFA in the European Championship, we construct a binary suspense indicator that captures whether a single goal could alter the composition of teams qualifying for the knockout stage. Within-group paired tests show that FIFA rules generate significantly higher group-level suspense in the World Cup (p &lt; 0.01), while the difference is insignificant in the European Championship. A cross-tournament logit regression controlling for competitive balance finds that World Cup goals are individually less likely to change the qualifying composition — consistent with the FIFA criterion distributing uncertainty more evenly over the group stage rather than concentrating it in a few decisive goals. We further show that suspense under FIFA rules is more stable and persistent over the 90 minutes of play. Together, the evidence points to FIFA’s goal-difference criterion as generating more sustained group-level uncertainty in the World Cup.</vt:lpwstr>
  </property>
  <property fmtid="{D5CDD505-2E9C-101B-9397-08002B2CF9AE}" pid="3" name="bibliography">
    <vt:lpwstr>reference.bib</vt:lpwstr>
  </property>
  <property fmtid="{D5CDD505-2E9C-101B-9397-08002B2CF9AE}" pid="4" name="csl">
    <vt:lpwstr>apa.csl</vt:lpwstr>
  </property>
  <property fmtid="{D5CDD505-2E9C-101B-9397-08002B2CF9AE}" pid="5" name="date">
    <vt:lpwstr/>
  </property>
  <property fmtid="{D5CDD505-2E9C-101B-9397-08002B2CF9AE}" pid="6" name="MSIP_Label_ee59125d-3421-490c-8c49-713131ff88a1_Enabled">
    <vt:lpwstr>true</vt:lpwstr>
  </property>
  <property fmtid="{D5CDD505-2E9C-101B-9397-08002B2CF9AE}" pid="7" name="MSIP_Label_ee59125d-3421-490c-8c49-713131ff88a1_SetDate">
    <vt:lpwstr>2026-07-23T10:52:23Z</vt:lpwstr>
  </property>
  <property fmtid="{D5CDD505-2E9C-101B-9397-08002B2CF9AE}" pid="8" name="MSIP_Label_ee59125d-3421-490c-8c49-713131ff88a1_Method">
    <vt:lpwstr>Standard</vt:lpwstr>
  </property>
  <property fmtid="{D5CDD505-2E9C-101B-9397-08002B2CF9AE}" pid="9" name="MSIP_Label_ee59125d-3421-490c-8c49-713131ff88a1_Name">
    <vt:lpwstr>Yellow</vt:lpwstr>
  </property>
  <property fmtid="{D5CDD505-2E9C-101B-9397-08002B2CF9AE}" pid="10" name="MSIP_Label_ee59125d-3421-490c-8c49-713131ff88a1_SiteId">
    <vt:lpwstr>938c1eb0-9d08-484b-92b9-53f583bd08fb</vt:lpwstr>
  </property>
  <property fmtid="{D5CDD505-2E9C-101B-9397-08002B2CF9AE}" pid="11" name="MSIP_Label_ee59125d-3421-490c-8c49-713131ff88a1_ActionId">
    <vt:lpwstr>c34c0fc1-a05c-425b-b5a5-6d3ac7508b90</vt:lpwstr>
  </property>
  <property fmtid="{D5CDD505-2E9C-101B-9397-08002B2CF9AE}" pid="12" name="MSIP_Label_ee59125d-3421-490c-8c49-713131ff88a1_ContentBits">
    <vt:lpwstr>0</vt:lpwstr>
  </property>
  <property fmtid="{D5CDD505-2E9C-101B-9397-08002B2CF9AE}" pid="13" name="MSIP_Label_ee59125d-3421-490c-8c49-713131ff88a1_Tag">
    <vt:lpwstr>10, 3, 0, 1</vt:lpwstr>
  </property>
</Properties>
</file>