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pPr>
    </w:p>
    <w:p>
      <w:pPr>
        <w:spacing w:after="80" w:before="0"/>
        <w:jc w:val="center"/>
      </w:pPr>
      <w:r>
        <w:rPr>
          <w:rFonts w:ascii="Arial" w:cs="Arial" w:eastAsia="Arial" w:hAnsi="Arial"/>
          <w:b/>
          <w:bCs/>
          <w:color w:val="0F6E56"/>
          <w:sz w:val="72"/>
          <w:szCs w:val="72"/>
        </w:rPr>
        <w:t xml:space="preserve">AEGF</w:t>
      </w:r>
    </w:p>
    <w:p>
      <w:pPr>
        <w:spacing w:after="160" w:before="0"/>
        <w:jc w:val="center"/>
      </w:pPr>
      <w:r>
        <w:rPr>
          <w:rFonts w:ascii="Arial" w:cs="Arial" w:eastAsia="Arial" w:hAnsi="Arial"/>
          <w:color w:val="1D9E75"/>
          <w:spacing w:val="80"/>
          <w:sz w:val="26"/>
          <w:szCs w:val="26"/>
        </w:rPr>
        <w:t xml:space="preserve">AI EXECUTION GOVERNANCE FORUM</w:t>
      </w:r>
    </w:p>
    <w:p>
      <w:pPr>
        <w:pBdr>
          <w:bottom w:val="single" w:color="1D9E75" w:sz="8" w:space="1"/>
        </w:pBdr>
        <w:spacing w:after="160" w:before="160"/>
      </w:pPr>
    </w:p>
    <w:p>
      <w:pPr>
        <w:spacing w:after="100" w:before="120"/>
      </w:pPr>
    </w:p>
    <w:p>
      <w:pPr>
        <w:spacing w:after="80" w:before="0"/>
        <w:jc w:val="center"/>
      </w:pPr>
      <w:r>
        <w:rPr>
          <w:rFonts w:ascii="Arial" w:cs="Arial" w:eastAsia="Arial" w:hAnsi="Arial"/>
          <w:b/>
          <w:bCs/>
          <w:color w:val="3A4A5A"/>
          <w:sz w:val="40"/>
          <w:szCs w:val="40"/>
        </w:rPr>
        <w:t xml:space="preserve">INSTITUTIONAL CONTINUITY CHARTER</w:t>
      </w:r>
    </w:p>
    <w:p>
      <w:pPr>
        <w:spacing w:after="80" w:before="0"/>
        <w:jc w:val="center"/>
      </w:pPr>
      <w:r>
        <w:rPr>
          <w:rFonts w:ascii="Arial" w:cs="Arial" w:eastAsia="Arial" w:hAnsi="Arial"/>
          <w:color w:val="3A4A5A"/>
          <w:sz w:val="22"/>
          <w:szCs w:val="22"/>
        </w:rPr>
        <w:t xml:space="preserve">Version 1.1  ·  June 2026</w:t>
      </w:r>
    </w:p>
    <w:p>
      <w:pPr>
        <w:spacing w:after="80" w:before="0"/>
        <w:jc w:val="center"/>
      </w:pPr>
      <w:r>
        <w:rPr>
          <w:rFonts w:ascii="Arial" w:cs="Arial" w:eastAsia="Arial" w:hAnsi="Arial"/>
          <w:b/>
          <w:bCs/>
          <w:color w:val="1D9E75"/>
          <w:sz w:val="20"/>
          <w:szCs w:val="20"/>
        </w:rPr>
        <w:t xml:space="preserve">Status: Draft — Pending Steering Committee Adoption</w:t>
      </w:r>
    </w:p>
    <w:p>
      <w:pPr>
        <w:spacing w:after="100" w:before="300"/>
      </w:pPr>
    </w:p>
    <w:p>
      <w:pPr>
        <w:pBdr>
          <w:left w:val="single" w:color="0F6E56" w:sz="14" w:space="10"/>
        </w:pBdr>
        <w:spacing w:after="120" w:before="120"/>
        <w:ind w:left="560"/>
      </w:pPr>
      <w:r>
        <w:rPr>
          <w:rFonts w:ascii="Arial" w:cs="Arial" w:eastAsia="Arial" w:hAnsi="Arial"/>
          <w:b/>
          <w:bCs/>
          <w:i/>
          <w:iCs/>
          <w:color w:val="0F6E56"/>
          <w:sz w:val="22"/>
          <w:szCs w:val="22"/>
        </w:rPr>
        <w:t xml:space="preserve">AEGF must survive any individual's absence.
The institution belongs to the circle, not to any one person.</w:t>
      </w:r>
    </w:p>
    <w:p>
      <w:pPr>
        <w:spacing w:after="100" w:before="200"/>
      </w:pPr>
    </w:p>
    <w:p>
      <w:pPr>
        <w:spacing w:after="40" w:before="0"/>
        <w:jc w:val="center"/>
      </w:pPr>
      <w:r>
        <w:rPr>
          <w:rFonts w:ascii="Arial" w:cs="Arial" w:eastAsia="Arial" w:hAnsi="Arial"/>
          <w:color w:val="3A4A5A"/>
          <w:sz w:val="20"/>
          <w:szCs w:val="20"/>
        </w:rPr>
        <w:t xml:space="preserve">Drafted by: Raheem Larry Babatunde, Convener</w:t>
      </w:r>
    </w:p>
    <w:p>
      <w:pPr>
        <w:spacing w:after="40" w:before="0"/>
        <w:jc w:val="center"/>
      </w:pPr>
      <w:r>
        <w:rPr>
          <w:rFonts w:ascii="Arial" w:cs="Arial" w:eastAsia="Arial" w:hAnsi="Arial"/>
          <w:i/>
          <w:iCs/>
          <w:color w:val="3A4A5A"/>
          <w:sz w:val="18"/>
          <w:szCs w:val="18"/>
        </w:rPr>
        <w:t xml:space="preserve">V1.1 incorporates recommendations from independent governance review</w:t>
      </w:r>
    </w:p>
    <w:p>
      <w:r>
        <w:br w:type="page"/>
      </w:r>
    </w:p>
    <w:p>
      <w:pPr>
        <w:pStyle w:val="Heading1"/>
        <w:spacing w:after="120" w:before="360"/>
      </w:pPr>
      <w:r>
        <w:rPr>
          <w:rFonts w:ascii="Arial" w:cs="Arial" w:eastAsia="Arial" w:hAnsi="Arial"/>
          <w:b/>
          <w:bCs/>
          <w:color w:val="0F6E56"/>
          <w:sz w:val="32"/>
          <w:szCs w:val="32"/>
        </w:rPr>
        <w:t xml:space="preserve">1.  Purpose and Scope</w:t>
      </w:r>
    </w:p>
    <w:p>
      <w:pPr>
        <w:spacing w:after="80" w:before="60"/>
      </w:pPr>
      <w:r>
        <w:rPr>
          <w:rFonts w:ascii="Arial" w:cs="Arial" w:eastAsia="Arial" w:hAnsi="Arial"/>
          <w:color w:val="3A4A5A"/>
          <w:sz w:val="22"/>
          <w:szCs w:val="22"/>
        </w:rPr>
        <w:t xml:space="preserve">This Institutional Continuity Charter defines how the AI Execution Governance Forum (AEGF) sustains its operations, governance, and institutional memory in the event that any key role-holder becomes temporarily or permanently unavailable.</w:t>
      </w:r>
    </w:p>
    <w:p>
      <w:pPr>
        <w:spacing w:after="100" w:before="60"/>
      </w:pPr>
    </w:p>
    <w:p>
      <w:pPr>
        <w:spacing w:after="80" w:before="60"/>
      </w:pPr>
      <w:r>
        <w:rPr>
          <w:rFonts w:ascii="Arial" w:cs="Arial" w:eastAsia="Arial" w:hAnsi="Arial"/>
          <w:color w:val="3A4A5A"/>
          <w:sz w:val="22"/>
          <w:szCs w:val="22"/>
        </w:rPr>
        <w:t xml:space="preserve">The charter answers four foundational questions:</w:t>
      </w:r>
    </w:p>
    <w:p>
      <w:pPr>
        <w:spacing w:after="100" w:before="40"/>
      </w:pPr>
    </w:p>
    <w:p>
      <w:pPr>
        <w:spacing w:after="50" w:before="50"/>
        <w:ind w:left="360"/>
      </w:pPr>
      <w:r>
        <w:rPr>
          <w:rFonts w:ascii="Arial" w:cs="Arial" w:eastAsia="Arial" w:hAnsi="Arial"/>
          <w:b/>
          <w:bCs/>
          <w:color w:val="1D9E75"/>
          <w:sz w:val="22"/>
          <w:szCs w:val="22"/>
        </w:rPr>
        <w:t xml:space="preserve">→  </w:t>
      </w:r>
      <w:r>
        <w:rPr>
          <w:rFonts w:ascii="Arial" w:cs="Arial" w:eastAsia="Arial" w:hAnsi="Arial"/>
          <w:b w:val="false"/>
          <w:bCs w:val="false"/>
          <w:color w:val="3A4A5A"/>
          <w:sz w:val="22"/>
          <w:szCs w:val="22"/>
        </w:rPr>
        <w:t xml:space="preserve">Who acts if the Convener is unavailable for an extended period?</w:t>
      </w:r>
    </w:p>
    <w:p>
      <w:pPr>
        <w:spacing w:after="50" w:before="50"/>
        <w:ind w:left="360"/>
      </w:pPr>
      <w:r>
        <w:rPr>
          <w:rFonts w:ascii="Arial" w:cs="Arial" w:eastAsia="Arial" w:hAnsi="Arial"/>
          <w:b/>
          <w:bCs/>
          <w:color w:val="1D9E75"/>
          <w:sz w:val="22"/>
          <w:szCs w:val="22"/>
        </w:rPr>
        <w:t xml:space="preserve">→  </w:t>
      </w:r>
      <w:r>
        <w:rPr>
          <w:rFonts w:ascii="Arial" w:cs="Arial" w:eastAsia="Arial" w:hAnsi="Arial"/>
          <w:b w:val="false"/>
          <w:bCs w:val="false"/>
          <w:color w:val="3A4A5A"/>
          <w:sz w:val="22"/>
          <w:szCs w:val="22"/>
        </w:rPr>
        <w:t xml:space="preserve">Who manages session architecture if the Session Architect is unavailable?</w:t>
      </w:r>
    </w:p>
    <w:p>
      <w:pPr>
        <w:spacing w:after="50" w:before="50"/>
        <w:ind w:left="360"/>
      </w:pPr>
      <w:r>
        <w:rPr>
          <w:rFonts w:ascii="Arial" w:cs="Arial" w:eastAsia="Arial" w:hAnsi="Arial"/>
          <w:b/>
          <w:bCs/>
          <w:color w:val="1D9E75"/>
          <w:sz w:val="22"/>
          <w:szCs w:val="22"/>
        </w:rPr>
        <w:t xml:space="preserve">→  </w:t>
      </w:r>
      <w:r>
        <w:rPr>
          <w:rFonts w:ascii="Arial" w:cs="Arial" w:eastAsia="Arial" w:hAnsi="Arial"/>
          <w:b w:val="false"/>
          <w:bCs w:val="false"/>
          <w:color w:val="3A4A5A"/>
          <w:sz w:val="22"/>
          <w:szCs w:val="22"/>
        </w:rPr>
        <w:t xml:space="preserve">Who maintains the Registry if the Registry Steward is unavailable?</w:t>
      </w:r>
    </w:p>
    <w:p>
      <w:pPr>
        <w:spacing w:after="50" w:before="50"/>
        <w:ind w:left="360"/>
      </w:pPr>
      <w:r>
        <w:rPr>
          <w:rFonts w:ascii="Arial" w:cs="Arial" w:eastAsia="Arial" w:hAnsi="Arial"/>
          <w:b/>
          <w:bCs/>
          <w:color w:val="1D9E75"/>
          <w:sz w:val="22"/>
          <w:szCs w:val="22"/>
        </w:rPr>
        <w:t xml:space="preserve">→  </w:t>
      </w:r>
      <w:r>
        <w:rPr>
          <w:rFonts w:ascii="Arial" w:cs="Arial" w:eastAsia="Arial" w:hAnsi="Arial"/>
          <w:b w:val="false"/>
          <w:bCs w:val="false"/>
          <w:color w:val="3A4A5A"/>
          <w:sz w:val="22"/>
          <w:szCs w:val="22"/>
        </w:rPr>
        <w:t xml:space="preserve">Who stewards governance integrity if the Structural Governance member is unavailable?</w:t>
      </w:r>
    </w:p>
    <w:p>
      <w:pPr>
        <w:spacing w:after="100" w:before="80"/>
      </w:pPr>
    </w:p>
    <w:p>
      <w:pPr>
        <w:spacing w:after="80" w:before="60"/>
      </w:pPr>
      <w:r>
        <w:rPr>
          <w:rFonts w:ascii="Arial" w:cs="Arial" w:eastAsia="Arial" w:hAnsi="Arial"/>
          <w:color w:val="3A4A5A"/>
          <w:sz w:val="22"/>
          <w:szCs w:val="22"/>
        </w:rPr>
        <w:t xml:space="preserve">This document applies to all interim Steering Committee roles. It is a continuity plan, not a succession plan. Succession implies replacement. Continuity implies the institution persisting regardless of who holds any given role.</w:t>
      </w:r>
    </w:p>
    <w:p>
      <w:pPr>
        <w:pBdr>
          <w:bottom w:val="single" w:color="1D9E75" w:sz="8" w:space="1"/>
        </w:pBdr>
        <w:spacing w:after="160" w:before="160"/>
      </w:pPr>
    </w:p>
    <w:p>
      <w:pPr>
        <w:pStyle w:val="Heading1"/>
        <w:spacing w:after="120" w:before="360"/>
      </w:pPr>
      <w:r>
        <w:rPr>
          <w:rFonts w:ascii="Arial" w:cs="Arial" w:eastAsia="Arial" w:hAnsi="Arial"/>
          <w:b/>
          <w:bCs/>
          <w:color w:val="0F6E56"/>
          <w:sz w:val="32"/>
          <w:szCs w:val="32"/>
        </w:rPr>
        <w:t xml:space="preserve">2.  Mission Lock Clause</w:t>
      </w:r>
    </w:p>
    <w:p>
      <w:pPr>
        <w:pBdr>
          <w:left w:val="single" w:color="0F6E56" w:sz="14" w:space="10"/>
        </w:pBdr>
        <w:spacing w:after="120" w:before="120"/>
        <w:ind w:left="560"/>
      </w:pPr>
      <w:r>
        <w:rPr>
          <w:rFonts w:ascii="Arial" w:cs="Arial" w:eastAsia="Arial" w:hAnsi="Arial"/>
          <w:b/>
          <w:bCs/>
          <w:i/>
          <w:iCs/>
          <w:color w:val="0F6E56"/>
          <w:sz w:val="22"/>
          <w:szCs w:val="22"/>
        </w:rPr>
        <w:t xml:space="preserve">This is a non-negotiable constitutional protection.</w:t>
      </w:r>
    </w:p>
    <w:p>
      <w:pPr>
        <w:spacing w:after="100" w:before="80"/>
      </w:pPr>
    </w:p>
    <w:p>
      <w:pPr>
        <w:spacing w:after="80" w:before="60"/>
      </w:pPr>
      <w:r>
        <w:rPr>
          <w:rFonts w:ascii="Arial" w:cs="Arial" w:eastAsia="Arial" w:hAnsi="Arial"/>
          <w:color w:val="3A4A5A"/>
          <w:sz w:val="22"/>
          <w:szCs w:val="22"/>
        </w:rPr>
        <w:t xml:space="preserve">No continuity action, emergency delegation, role transfer, governance amendment, or Steering Committee decision may alter AEGF's core purpose:</w:t>
      </w:r>
    </w:p>
    <w:p>
      <w:pPr>
        <w:spacing w:after="100" w:before="80"/>
      </w:pPr>
    </w:p>
    <w:p>
      <w:pPr>
        <w:pBdr>
          <w:left w:val="single" w:color="0F6E56" w:sz="14" w:space="10"/>
        </w:pBdr>
        <w:spacing w:after="120" w:before="120"/>
        <w:ind w:left="560"/>
      </w:pPr>
      <w:r>
        <w:rPr>
          <w:rFonts w:ascii="Arial" w:cs="Arial" w:eastAsia="Arial" w:hAnsi="Arial"/>
          <w:b/>
          <w:bCs/>
          <w:i/>
          <w:iCs/>
          <w:color w:val="0F6E56"/>
          <w:sz w:val="22"/>
          <w:szCs w:val="22"/>
        </w:rPr>
        <w:t xml:space="preserve">"AEGF does not claim authority over the field.
It creates visibility for the people building within it."</w:t>
      </w:r>
    </w:p>
    <w:p>
      <w:pPr>
        <w:spacing w:after="100" w:before="80"/>
      </w:pPr>
    </w:p>
    <w:p>
      <w:pPr>
        <w:spacing w:after="80" w:before="60"/>
      </w:pPr>
      <w:r>
        <w:rPr>
          <w:rFonts w:ascii="Arial" w:cs="Arial" w:eastAsia="Arial" w:hAnsi="Arial"/>
          <w:color w:val="3A4A5A"/>
          <w:sz w:val="22"/>
          <w:szCs w:val="22"/>
        </w:rPr>
        <w:t xml:space="preserve">Any proposed change to this core principle requires:</w:t>
      </w:r>
    </w:p>
    <w:p>
      <w:pPr>
        <w:spacing w:after="100" w:before="40"/>
      </w:pPr>
    </w:p>
    <w:p>
      <w:pPr>
        <w:spacing w:after="50" w:before="50"/>
        <w:ind w:left="360"/>
      </w:pPr>
      <w:r>
        <w:rPr>
          <w:rFonts w:ascii="Arial" w:cs="Arial" w:eastAsia="Arial" w:hAnsi="Arial"/>
          <w:b/>
          <w:bCs/>
          <w:color w:val="1D9E75"/>
          <w:sz w:val="22"/>
          <w:szCs w:val="22"/>
        </w:rPr>
        <w:t xml:space="preserve">→  </w:t>
      </w:r>
      <w:r>
        <w:rPr>
          <w:rFonts w:ascii="Arial" w:cs="Arial" w:eastAsia="Arial" w:hAnsi="Arial"/>
          <w:b w:val="false"/>
          <w:bCs w:val="false"/>
          <w:color w:val="3A4A5A"/>
          <w:sz w:val="22"/>
          <w:szCs w:val="22"/>
        </w:rPr>
        <w:t xml:space="preserve">A 75% supermajority vote of the full Steering Committee</w:t>
      </w:r>
    </w:p>
    <w:p>
      <w:pPr>
        <w:spacing w:after="50" w:before="50"/>
        <w:ind w:left="360"/>
      </w:pPr>
      <w:r>
        <w:rPr>
          <w:rFonts w:ascii="Arial" w:cs="Arial" w:eastAsia="Arial" w:hAnsi="Arial"/>
          <w:b/>
          <w:bCs/>
          <w:color w:val="1D9E75"/>
          <w:sz w:val="22"/>
          <w:szCs w:val="22"/>
        </w:rPr>
        <w:t xml:space="preserve">→  </w:t>
      </w:r>
      <w:r>
        <w:rPr>
          <w:rFonts w:ascii="Arial" w:cs="Arial" w:eastAsia="Arial" w:hAnsi="Arial"/>
          <w:b w:val="false"/>
          <w:bCs w:val="false"/>
          <w:color w:val="3A4A5A"/>
          <w:sz w:val="22"/>
          <w:szCs w:val="22"/>
        </w:rPr>
        <w:t xml:space="preserve">Ratification by a 75% vote of the full founding membership</w:t>
      </w:r>
    </w:p>
    <w:p>
      <w:pPr>
        <w:spacing w:after="50" w:before="50"/>
        <w:ind w:left="360"/>
      </w:pPr>
      <w:r>
        <w:rPr>
          <w:rFonts w:ascii="Arial" w:cs="Arial" w:eastAsia="Arial" w:hAnsi="Arial"/>
          <w:b/>
          <w:bCs/>
          <w:color w:val="1D9E75"/>
          <w:sz w:val="22"/>
          <w:szCs w:val="22"/>
        </w:rPr>
        <w:t xml:space="preserve">→  </w:t>
      </w:r>
      <w:r>
        <w:rPr>
          <w:rFonts w:ascii="Arial" w:cs="Arial" w:eastAsia="Arial" w:hAnsi="Arial"/>
          <w:b w:val="false"/>
          <w:bCs w:val="false"/>
          <w:color w:val="3A4A5A"/>
          <w:sz w:val="22"/>
          <w:szCs w:val="22"/>
        </w:rPr>
        <w:t xml:space="preserve">A 30-day notice period before the vote is held</w:t>
      </w:r>
    </w:p>
    <w:p>
      <w:pPr>
        <w:spacing w:after="50" w:before="50"/>
        <w:ind w:left="360"/>
      </w:pPr>
      <w:r>
        <w:rPr>
          <w:rFonts w:ascii="Arial" w:cs="Arial" w:eastAsia="Arial" w:hAnsi="Arial"/>
          <w:b/>
          <w:bCs/>
          <w:color w:val="1D9E75"/>
          <w:sz w:val="22"/>
          <w:szCs w:val="22"/>
        </w:rPr>
        <w:t xml:space="preserve">→  </w:t>
      </w:r>
      <w:r>
        <w:rPr>
          <w:rFonts w:ascii="Arial" w:cs="Arial" w:eastAsia="Arial" w:hAnsi="Arial"/>
          <w:b w:val="false"/>
          <w:bCs w:val="false"/>
          <w:color w:val="3A4A5A"/>
          <w:sz w:val="22"/>
          <w:szCs w:val="22"/>
        </w:rPr>
        <w:t xml:space="preserve">Publication of the proposed change to all members and observers before the vote</w:t>
      </w:r>
    </w:p>
    <w:p>
      <w:pPr>
        <w:spacing w:after="100" w:before="80"/>
      </w:pPr>
    </w:p>
    <w:p>
      <w:pPr>
        <w:spacing w:after="80" w:before="60"/>
      </w:pPr>
      <w:r>
        <w:rPr>
          <w:rFonts w:ascii="Arial" w:cs="Arial" w:eastAsia="Arial" w:hAnsi="Arial"/>
          <w:color w:val="3A4A5A"/>
          <w:sz w:val="22"/>
          <w:szCs w:val="22"/>
        </w:rPr>
        <w:t xml:space="preserve">This clause cannot be suspended, overridden, or temporarily set aside under any continuity action. It applies at all times including during emergencies, leadership transitions, and Assembly preparation.</w:t>
      </w:r>
    </w:p>
    <w:p>
      <w:pPr>
        <w:pBdr>
          <w:bottom w:val="single" w:color="1D9E75" w:sz="8" w:space="1"/>
        </w:pBdr>
        <w:spacing w:after="160" w:before="160"/>
      </w:pPr>
    </w:p>
    <w:p>
      <w:pPr>
        <w:pStyle w:val="Heading1"/>
        <w:spacing w:after="120" w:before="360"/>
      </w:pPr>
      <w:r>
        <w:rPr>
          <w:rFonts w:ascii="Arial" w:cs="Arial" w:eastAsia="Arial" w:hAnsi="Arial"/>
          <w:b/>
          <w:bCs/>
          <w:color w:val="0F6E56"/>
          <w:sz w:val="32"/>
          <w:szCs w:val="32"/>
        </w:rPr>
        <w:t xml:space="preserve">3.  The Continuity Principle</w:t>
      </w:r>
    </w:p>
    <w:p>
      <w:pPr>
        <w:spacing w:after="80" w:before="60"/>
      </w:pPr>
      <w:r>
        <w:rPr>
          <w:rFonts w:ascii="Arial" w:cs="Arial" w:eastAsia="Arial" w:hAnsi="Arial"/>
          <w:color w:val="3A4A5A"/>
          <w:sz w:val="22"/>
          <w:szCs w:val="22"/>
        </w:rPr>
        <w:t xml:space="preserve">AEGF was designed from its founding to avoid single points of failure. Frank Schouten's 75% supermajority rule ensures no individual holds veto authority. The async-first design ensures no single time zone dominates. This charter extends that principle to operational continuity.</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No permanent convener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The Convener role transitions to an elected Chair at the Inaugural Assembly in Tbilisi.</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Distributed authority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Each role has a designated backup holder who can assume interim responsibility without a formal vote during an emergency.</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Institutional memory over individual memory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All governance decisions, session records, Registry listings, and role mandates are stored in the permanent AEGF repository.</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75% rule for role changes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Any permanent role change requires 75% member approval. Emergency interim coverage does not require a vote but must be reported to the full circle within 48 hours.</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Assembly failure protection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If the Inaugural Assembly does not occur as planned due to postponement, quorum failure, or travel disruption, interim governance remains in full force until the Assembly is successfully convened. No expiry date applies to the interim Steering Committee.</w:t>
            </w:r>
          </w:p>
        </w:tc>
      </w:tr>
    </w:tbl>
    <w:p>
      <w:pPr>
        <w:pBdr>
          <w:bottom w:val="single" w:color="1D9E75" w:sz="8" w:space="1"/>
        </w:pBdr>
        <w:spacing w:after="160" w:before="160"/>
      </w:pPr>
    </w:p>
    <w:p>
      <w:pPr>
        <w:pStyle w:val="Heading1"/>
        <w:spacing w:after="120" w:before="360"/>
      </w:pPr>
      <w:r>
        <w:rPr>
          <w:rFonts w:ascii="Arial" w:cs="Arial" w:eastAsia="Arial" w:hAnsi="Arial"/>
          <w:b/>
          <w:bCs/>
          <w:color w:val="0F6E56"/>
          <w:sz w:val="32"/>
          <w:szCs w:val="32"/>
        </w:rPr>
        <w:t xml:space="preserve">4.  Institutional Assets Principle</w:t>
      </w:r>
    </w:p>
    <w:p>
      <w:pPr>
        <w:pBdr>
          <w:left w:val="single" w:color="0F6E56" w:sz="14" w:space="10"/>
        </w:pBdr>
        <w:spacing w:after="120" w:before="120"/>
        <w:ind w:left="560"/>
      </w:pPr>
      <w:r>
        <w:rPr>
          <w:rFonts w:ascii="Arial" w:cs="Arial" w:eastAsia="Arial" w:hAnsi="Arial"/>
          <w:b/>
          <w:bCs/>
          <w:i/>
          <w:iCs/>
          <w:color w:val="0F6E56"/>
          <w:sz w:val="22"/>
          <w:szCs w:val="22"/>
        </w:rPr>
        <w:t xml:space="preserve">This is a non-negotiable constitutional protection.</w:t>
      </w:r>
    </w:p>
    <w:p>
      <w:pPr>
        <w:spacing w:after="100" w:before="80"/>
      </w:pPr>
    </w:p>
    <w:p>
      <w:pPr>
        <w:spacing w:after="80" w:before="60"/>
      </w:pPr>
      <w:r>
        <w:rPr>
          <w:rFonts w:ascii="Arial" w:cs="Arial" w:eastAsia="Arial" w:hAnsi="Arial"/>
          <w:color w:val="3A4A5A"/>
          <w:sz w:val="22"/>
          <w:szCs w:val="22"/>
        </w:rPr>
        <w:t xml:space="preserve">No member, including the Convener, may claim individual ownership of any AEGF institutional asset. The following assets belong to AEGF collectively and remain available to the institution regardless of role changes, member departures, or leadership transitions:</w:t>
      </w:r>
    </w:p>
    <w:p>
      <w:pPr>
        <w:spacing w:after="100" w:before="80"/>
      </w:pPr>
    </w:p>
    <w:p>
      <w:pPr>
        <w:spacing w:after="50" w:before="5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The Registry</w:t>
      </w:r>
      <w:r>
        <w:rPr>
          <w:rFonts w:ascii="Arial" w:cs="Arial" w:eastAsia="Arial" w:hAnsi="Arial"/>
          <w:color w:val="3A4A5A"/>
          <w:sz w:val="22"/>
          <w:szCs w:val="22"/>
        </w:rPr>
        <w:t xml:space="preserve">  All member listings in their own words</w:t>
      </w:r>
    </w:p>
    <w:p>
      <w:pPr>
        <w:spacing w:after="50" w:before="5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Session records</w:t>
      </w:r>
      <w:r>
        <w:rPr>
          <w:rFonts w:ascii="Arial" w:cs="Arial" w:eastAsia="Arial" w:hAnsi="Arial"/>
          <w:color w:val="3A4A5A"/>
          <w:sz w:val="22"/>
          <w:szCs w:val="22"/>
        </w:rPr>
        <w:t xml:space="preserve">  All working session outputs, attributed and unedited</w:t>
      </w:r>
    </w:p>
    <w:p>
      <w:pPr>
        <w:spacing w:after="50" w:before="5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The Founding Record</w:t>
      </w:r>
      <w:r>
        <w:rPr>
          <w:rFonts w:ascii="Arial" w:cs="Arial" w:eastAsia="Arial" w:hAnsi="Arial"/>
          <w:color w:val="3A4A5A"/>
          <w:sz w:val="22"/>
          <w:szCs w:val="22"/>
        </w:rPr>
        <w:t xml:space="preserve">  The complete history from concept to active forum</w:t>
      </w:r>
    </w:p>
    <w:p>
      <w:pPr>
        <w:spacing w:after="50" w:before="5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Governance documents</w:t>
      </w:r>
      <w:r>
        <w:rPr>
          <w:rFonts w:ascii="Arial" w:cs="Arial" w:eastAsia="Arial" w:hAnsi="Arial"/>
          <w:color w:val="3A4A5A"/>
          <w:sz w:val="22"/>
          <w:szCs w:val="22"/>
        </w:rPr>
        <w:t xml:space="preserve">  All briefs, charters, and governance decisions</w:t>
      </w:r>
    </w:p>
    <w:p>
      <w:pPr>
        <w:spacing w:after="50" w:before="5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The Ecosystem Map</w:t>
      </w:r>
      <w:r>
        <w:rPr>
          <w:rFonts w:ascii="Arial" w:cs="Arial" w:eastAsia="Arial" w:hAnsi="Arial"/>
          <w:color w:val="3A4A5A"/>
          <w:sz w:val="22"/>
          <w:szCs w:val="22"/>
        </w:rPr>
        <w:t xml:space="preserve">  All editions of the AEGF Ecosystem Map</w:t>
      </w:r>
    </w:p>
    <w:p>
      <w:pPr>
        <w:spacing w:after="50" w:before="5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Working session outputs</w:t>
      </w:r>
      <w:r>
        <w:rPr>
          <w:rFonts w:ascii="Arial" w:cs="Arial" w:eastAsia="Arial" w:hAnsi="Arial"/>
          <w:color w:val="3A4A5A"/>
          <w:sz w:val="22"/>
          <w:szCs w:val="22"/>
        </w:rPr>
        <w:t xml:space="preserve">  All compiled records, theme maps, and gap maps</w:t>
      </w:r>
    </w:p>
    <w:p>
      <w:pPr>
        <w:spacing w:after="50" w:before="5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The Governance Transition Chain</w:t>
      </w:r>
      <w:r>
        <w:rPr>
          <w:rFonts w:ascii="Arial" w:cs="Arial" w:eastAsia="Arial" w:hAnsi="Arial"/>
          <w:color w:val="3A4A5A"/>
          <w:sz w:val="22"/>
          <w:szCs w:val="22"/>
        </w:rPr>
        <w:t xml:space="preserve">  Tim Zlomke's framework as adopted by the circle</w:t>
      </w:r>
    </w:p>
    <w:p>
      <w:pPr>
        <w:spacing w:after="100" w:before="80"/>
      </w:pPr>
    </w:p>
    <w:p>
      <w:pPr>
        <w:spacing w:after="80" w:before="60"/>
      </w:pPr>
      <w:r>
        <w:rPr>
          <w:rFonts w:ascii="Arial" w:cs="Arial" w:eastAsia="Arial" w:hAnsi="Arial"/>
          <w:color w:val="3A4A5A"/>
          <w:sz w:val="22"/>
          <w:szCs w:val="22"/>
        </w:rPr>
        <w:t xml:space="preserve">If any member departs, their contributions remain in the permanent record attributed to them. Their name and organisation remain credited. Their Registry listing remains published unless they explicitly request removal.</w:t>
      </w:r>
    </w:p>
    <w:p>
      <w:pPr>
        <w:spacing w:after="100" w:before="60"/>
      </w:pPr>
    </w:p>
    <w:p>
      <w:pPr>
        <w:spacing w:after="80" w:before="60"/>
      </w:pPr>
      <w:r>
        <w:rPr>
          <w:rFonts w:ascii="Arial" w:cs="Arial" w:eastAsia="Arial" w:hAnsi="Arial"/>
          <w:color w:val="3A4A5A"/>
          <w:sz w:val="22"/>
          <w:szCs w:val="22"/>
        </w:rPr>
        <w:t xml:space="preserve">No departing member may remove, alter, or claim exclusive rights over any AEGF institutional asset.</w:t>
      </w:r>
    </w:p>
    <w:p>
      <w:pPr>
        <w:pBdr>
          <w:bottom w:val="single" w:color="1D9E75" w:sz="8" w:space="1"/>
        </w:pBdr>
        <w:spacing w:after="160" w:before="160"/>
      </w:pPr>
    </w:p>
    <w:p>
      <w:pPr>
        <w:pStyle w:val="Heading1"/>
        <w:spacing w:after="120" w:before="360"/>
      </w:pPr>
      <w:r>
        <w:rPr>
          <w:rFonts w:ascii="Arial" w:cs="Arial" w:eastAsia="Arial" w:hAnsi="Arial"/>
          <w:b/>
          <w:bCs/>
          <w:color w:val="0F6E56"/>
          <w:sz w:val="32"/>
          <w:szCs w:val="32"/>
        </w:rPr>
        <w:t xml:space="preserve">5.  Role Continuity Assignments</w:t>
      </w:r>
    </w:p>
    <w:p>
      <w:pPr>
        <w:spacing w:after="80" w:before="60"/>
      </w:pPr>
      <w:r>
        <w:rPr>
          <w:rFonts w:ascii="Arial" w:cs="Arial" w:eastAsia="Arial" w:hAnsi="Arial"/>
          <w:color w:val="3A4A5A"/>
          <w:sz w:val="22"/>
          <w:szCs w:val="22"/>
        </w:rPr>
        <w:t xml:space="preserve">Each role has a primary holder and a designated interim backup. Two trigger thresholds apply depending on whether a session is active.</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Trigger Type</w:t>
            </w:r>
          </w:p>
        </w:tc>
        <w:tc>
          <w:tcPr>
            <w:tcW w:type="dxa" w:w="61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r>
      <w:tr>
        <w:tc>
          <w:tcPr>
            <w:tcW w:type="dxa" w:w="3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Operational trigger (during active session)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Primary holder unreachable for 7 consecutive days without prior notice</w:t>
            </w:r>
          </w:p>
        </w:tc>
      </w:tr>
      <w:tr>
        <w:tc>
          <w:tcPr>
            <w:tcW w:type="dxa" w:w="3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Governance trigger (outside active session)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Primary holder unreachable for 14 consecutive days without prior notice</w:t>
            </w:r>
          </w:p>
        </w:tc>
      </w:tr>
    </w:tbl>
    <w:p>
      <w:pPr>
        <w:spacing w:after="100" w:before="100"/>
      </w:pPr>
    </w:p>
    <w:p>
      <w:pPr>
        <w:pStyle w:val="Heading2"/>
        <w:spacing w:after="80" w:before="240"/>
      </w:pPr>
      <w:r>
        <w:rPr>
          <w:rFonts w:ascii="Arial" w:cs="Arial" w:eastAsia="Arial" w:hAnsi="Arial"/>
          <w:b/>
          <w:bCs/>
          <w:color w:val="1D9E75"/>
          <w:sz w:val="26"/>
          <w:szCs w:val="26"/>
        </w:rPr>
        <w:t xml:space="preserve">5.1  Convener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Primary</w:t>
            </w:r>
          </w:p>
        </w:tc>
        <w:tc>
          <w:tcPr>
            <w:tcW w:type="dxa" w:w="6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Raheem Larry Babatunde</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Interim backup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Tim Zlomke (Intellectual Framework Lead)</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Interim scope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Chair Steering Committee decisions. Represent AEGF externally if required. Cannot unilaterally change governance rules or edit member contributions.</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Restoration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When Raheem returns, the interim period ends automatically. No vote required.</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Permanent transition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At the Inaugural Assembly, the Steering Committee elects a Chair. The Convener role transitions to that elected Chair.</w:t>
            </w:r>
          </w:p>
        </w:tc>
      </w:tr>
    </w:tbl>
    <w:p>
      <w:pPr>
        <w:spacing w:after="100" w:before="100"/>
      </w:pPr>
    </w:p>
    <w:p>
      <w:pPr>
        <w:pStyle w:val="Heading2"/>
        <w:spacing w:after="80" w:before="240"/>
      </w:pPr>
      <w:r>
        <w:rPr>
          <w:rFonts w:ascii="Arial" w:cs="Arial" w:eastAsia="Arial" w:hAnsi="Arial"/>
          <w:b/>
          <w:bCs/>
          <w:color w:val="1D9E75"/>
          <w:sz w:val="26"/>
          <w:szCs w:val="26"/>
        </w:rPr>
        <w:t xml:space="preserve">5.2  Session Architect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Primary</w:t>
            </w:r>
          </w:p>
        </w:tc>
        <w:tc>
          <w:tcPr>
            <w:tcW w:type="dxa" w:w="6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Saad Muzafar (Phase 1)</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Interim backup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Dani Danwin (Registry Steward)</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Interim scope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Maintain session structure as Saad designed it. No format changes without Saad's agreement on return.</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Restoration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All session materials returned to Saad immediately on return.</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Phase transition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After Session 01 closes, a new Session Architect for Phase 2 is designated by the full circle.</w:t>
            </w:r>
          </w:p>
        </w:tc>
      </w:tr>
    </w:tbl>
    <w:p>
      <w:pPr>
        <w:spacing w:after="100" w:before="100"/>
      </w:pPr>
    </w:p>
    <w:p>
      <w:pPr>
        <w:pStyle w:val="Heading2"/>
        <w:spacing w:after="80" w:before="240"/>
      </w:pPr>
      <w:r>
        <w:rPr>
          <w:rFonts w:ascii="Arial" w:cs="Arial" w:eastAsia="Arial" w:hAnsi="Arial"/>
          <w:b/>
          <w:bCs/>
          <w:color w:val="1D9E75"/>
          <w:sz w:val="26"/>
          <w:szCs w:val="26"/>
        </w:rPr>
        <w:t xml:space="preserve">5.3  Registry Steward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Primary</w:t>
            </w:r>
          </w:p>
        </w:tc>
        <w:tc>
          <w:tcPr>
            <w:tcW w:type="dxa" w:w="6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Dani Danwin (TrustLayers)</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Interim backup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Evelyne-Claudia Yantony</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Interim scope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Accept and record new Registry submissions. No listing published without the submitting member's written approval.</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Restoration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All pending Registry items reviewed together with Dani before publication.</w:t>
            </w:r>
          </w:p>
        </w:tc>
      </w:tr>
    </w:tbl>
    <w:p>
      <w:pPr>
        <w:spacing w:after="100" w:before="100"/>
      </w:pPr>
    </w:p>
    <w:p>
      <w:pPr>
        <w:pStyle w:val="Heading2"/>
        <w:spacing w:after="80" w:before="240"/>
      </w:pPr>
      <w:r>
        <w:rPr>
          <w:rFonts w:ascii="Arial" w:cs="Arial" w:eastAsia="Arial" w:hAnsi="Arial"/>
          <w:b/>
          <w:bCs/>
          <w:color w:val="1D9E75"/>
          <w:sz w:val="26"/>
          <w:szCs w:val="26"/>
        </w:rPr>
        <w:t xml:space="preserve">5.4  Structural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Primary</w:t>
            </w:r>
          </w:p>
        </w:tc>
        <w:tc>
          <w:tcPr>
            <w:tcW w:type="dxa" w:w="6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Frank Schouten</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Interim backup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Tim Zlomke (Intellectual Framework Lead)</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Interim scope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Apply the 75% supermajority rule. Flag concerns to the full circle. Cannot make unilateral structural decisions.</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Restoration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All structural decisions made in Frank's absence reviewed and confirmed or reversed within 14 days of return.</w:t>
            </w:r>
          </w:p>
        </w:tc>
      </w:tr>
    </w:tbl>
    <w:p>
      <w:pPr>
        <w:spacing w:after="100" w:before="100"/>
      </w:pPr>
    </w:p>
    <w:p>
      <w:pPr>
        <w:pStyle w:val="Heading2"/>
        <w:spacing w:after="80" w:before="240"/>
      </w:pPr>
      <w:r>
        <w:rPr>
          <w:rFonts w:ascii="Arial" w:cs="Arial" w:eastAsia="Arial" w:hAnsi="Arial"/>
          <w:b/>
          <w:bCs/>
          <w:color w:val="1D9E75"/>
          <w:sz w:val="26"/>
          <w:szCs w:val="26"/>
        </w:rPr>
        <w:t xml:space="preserve">5.5  Technical Standards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Primary</w:t>
            </w:r>
          </w:p>
        </w:tc>
        <w:tc>
          <w:tcPr>
            <w:tcW w:type="dxa" w:w="6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Harold Nunes (OMNIX QUANTUM)</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Interim backup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Naimatullah (Velos Systems)</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Interim scope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Flag technically overclaimed or imprecise statements. Cannot block contributions — can only flag.</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Restoration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Harold reviews all flagged items on return.</w:t>
            </w:r>
          </w:p>
        </w:tc>
      </w:tr>
    </w:tbl>
    <w:p>
      <w:pPr>
        <w:pBdr>
          <w:bottom w:val="single" w:color="1D9E75" w:sz="8" w:space="1"/>
        </w:pBdr>
        <w:spacing w:after="160" w:before="160"/>
      </w:pPr>
    </w:p>
    <w:p>
      <w:pPr>
        <w:pStyle w:val="Heading1"/>
        <w:spacing w:after="120" w:before="360"/>
      </w:pPr>
      <w:r>
        <w:rPr>
          <w:rFonts w:ascii="Arial" w:cs="Arial" w:eastAsia="Arial" w:hAnsi="Arial"/>
          <w:b/>
          <w:bCs/>
          <w:color w:val="0F6E56"/>
          <w:sz w:val="32"/>
          <w:szCs w:val="32"/>
        </w:rPr>
        <w:t xml:space="preserve">6.  Conflict of Interest Policy</w:t>
      </w:r>
    </w:p>
    <w:p>
      <w:pPr>
        <w:spacing w:after="80" w:before="60"/>
      </w:pPr>
      <w:r>
        <w:rPr>
          <w:rFonts w:ascii="Arial" w:cs="Arial" w:eastAsia="Arial" w:hAnsi="Arial"/>
          <w:color w:val="3A4A5A"/>
          <w:sz w:val="22"/>
          <w:szCs w:val="22"/>
        </w:rPr>
        <w:t xml:space="preserve">As AEGF grows, members will hold commercial products, consulting practices, governance platforms, standards interests, and investor relationships. This policy protects the forum's credibility and neutrality.</w:t>
      </w:r>
    </w:p>
    <w:p>
      <w:pPr>
        <w:spacing w:after="100" w:before="80"/>
      </w:pPr>
    </w:p>
    <w:p>
      <w:pPr>
        <w:pStyle w:val="Heading2"/>
        <w:spacing w:after="80" w:before="240"/>
      </w:pPr>
      <w:r>
        <w:rPr>
          <w:rFonts w:ascii="Arial" w:cs="Arial" w:eastAsia="Arial" w:hAnsi="Arial"/>
          <w:b/>
          <w:bCs/>
          <w:color w:val="1D9E75"/>
          <w:sz w:val="26"/>
          <w:szCs w:val="26"/>
        </w:rPr>
        <w:t xml:space="preserve">6.1  Disclosure Requirement</w:t>
      </w:r>
    </w:p>
    <w:p>
      <w:pPr>
        <w:spacing w:after="80" w:before="60"/>
      </w:pPr>
      <w:r>
        <w:rPr>
          <w:rFonts w:ascii="Arial" w:cs="Arial" w:eastAsia="Arial" w:hAnsi="Arial"/>
          <w:color w:val="3A4A5A"/>
          <w:sz w:val="22"/>
          <w:szCs w:val="22"/>
        </w:rPr>
        <w:t xml:space="preserve">Members must disclose material conflicts of interest when participating in discussions, recommendations, publications, or decisions where those interests may reasonably affect neutrality.</w:t>
      </w:r>
    </w:p>
    <w:p>
      <w:pPr>
        <w:spacing w:after="100" w:before="60"/>
      </w:pPr>
    </w:p>
    <w:p>
      <w:pPr>
        <w:spacing w:after="80" w:before="60"/>
      </w:pPr>
      <w:r>
        <w:rPr>
          <w:rFonts w:ascii="Arial" w:cs="Arial" w:eastAsia="Arial" w:hAnsi="Arial"/>
          <w:color w:val="3A4A5A"/>
          <w:sz w:val="22"/>
          <w:szCs w:val="22"/>
        </w:rPr>
        <w:t xml:space="preserve">A conflict of interest is material when a member's commercial, financial, or professional interests could reasonably be seen to benefit from a particular AEGF output, decision, or recommendation.</w:t>
      </w:r>
    </w:p>
    <w:p>
      <w:pPr>
        <w:spacing w:after="100" w:before="80"/>
      </w:pPr>
    </w:p>
    <w:p>
      <w:pPr>
        <w:pStyle w:val="Heading2"/>
        <w:spacing w:after="80" w:before="240"/>
      </w:pPr>
      <w:r>
        <w:rPr>
          <w:rFonts w:ascii="Arial" w:cs="Arial" w:eastAsia="Arial" w:hAnsi="Arial"/>
          <w:b/>
          <w:bCs/>
          <w:color w:val="1D9E75"/>
          <w:sz w:val="26"/>
          <w:szCs w:val="26"/>
        </w:rPr>
        <w:t xml:space="preserve">6.2  Examples Requiring Disclosure</w:t>
      </w:r>
    </w:p>
    <w:p>
      <w:pPr>
        <w:spacing w:after="50" w:before="50"/>
        <w:ind w:left="360"/>
      </w:pPr>
      <w:r>
        <w:rPr>
          <w:rFonts w:ascii="Arial" w:cs="Arial" w:eastAsia="Arial" w:hAnsi="Arial"/>
          <w:b/>
          <w:bCs/>
          <w:color w:val="1D9E75"/>
          <w:sz w:val="22"/>
          <w:szCs w:val="22"/>
        </w:rPr>
        <w:t xml:space="preserve">→  </w:t>
      </w:r>
      <w:r>
        <w:rPr>
          <w:rFonts w:ascii="Arial" w:cs="Arial" w:eastAsia="Arial" w:hAnsi="Arial"/>
          <w:b w:val="false"/>
          <w:bCs w:val="false"/>
          <w:color w:val="3A4A5A"/>
          <w:sz w:val="22"/>
          <w:szCs w:val="22"/>
        </w:rPr>
        <w:t xml:space="preserve">A member whose product is directly referenced in a session output they are compiling</w:t>
      </w:r>
    </w:p>
    <w:p>
      <w:pPr>
        <w:spacing w:after="50" w:before="50"/>
        <w:ind w:left="360"/>
      </w:pPr>
      <w:r>
        <w:rPr>
          <w:rFonts w:ascii="Arial" w:cs="Arial" w:eastAsia="Arial" w:hAnsi="Arial"/>
          <w:b/>
          <w:bCs/>
          <w:color w:val="1D9E75"/>
          <w:sz w:val="22"/>
          <w:szCs w:val="22"/>
        </w:rPr>
        <w:t xml:space="preserve">→  </w:t>
      </w:r>
      <w:r>
        <w:rPr>
          <w:rFonts w:ascii="Arial" w:cs="Arial" w:eastAsia="Arial" w:hAnsi="Arial"/>
          <w:b w:val="false"/>
          <w:bCs w:val="false"/>
          <w:color w:val="3A4A5A"/>
          <w:sz w:val="22"/>
          <w:szCs w:val="22"/>
        </w:rPr>
        <w:t xml:space="preserve">A member who holds a financial interest in another member's organisation</w:t>
      </w:r>
    </w:p>
    <w:p>
      <w:pPr>
        <w:spacing w:after="50" w:before="50"/>
        <w:ind w:left="360"/>
      </w:pPr>
      <w:r>
        <w:rPr>
          <w:rFonts w:ascii="Arial" w:cs="Arial" w:eastAsia="Arial" w:hAnsi="Arial"/>
          <w:b/>
          <w:bCs/>
          <w:color w:val="1D9E75"/>
          <w:sz w:val="22"/>
          <w:szCs w:val="22"/>
        </w:rPr>
        <w:t xml:space="preserve">→  </w:t>
      </w:r>
      <w:r>
        <w:rPr>
          <w:rFonts w:ascii="Arial" w:cs="Arial" w:eastAsia="Arial" w:hAnsi="Arial"/>
          <w:b w:val="false"/>
          <w:bCs w:val="false"/>
          <w:color w:val="3A4A5A"/>
          <w:sz w:val="22"/>
          <w:szCs w:val="22"/>
        </w:rPr>
        <w:t xml:space="preserve">A member whose consulting work depends on a particular governance standard being adopted</w:t>
      </w:r>
    </w:p>
    <w:p>
      <w:pPr>
        <w:spacing w:after="50" w:before="50"/>
        <w:ind w:left="360"/>
      </w:pPr>
      <w:r>
        <w:rPr>
          <w:rFonts w:ascii="Arial" w:cs="Arial" w:eastAsia="Arial" w:hAnsi="Arial"/>
          <w:b/>
          <w:bCs/>
          <w:color w:val="1D9E75"/>
          <w:sz w:val="22"/>
          <w:szCs w:val="22"/>
        </w:rPr>
        <w:t xml:space="preserve">→  </w:t>
      </w:r>
      <w:r>
        <w:rPr>
          <w:rFonts w:ascii="Arial" w:cs="Arial" w:eastAsia="Arial" w:hAnsi="Arial"/>
          <w:b w:val="false"/>
          <w:bCs w:val="false"/>
          <w:color w:val="3A4A5A"/>
          <w:sz w:val="22"/>
          <w:szCs w:val="22"/>
        </w:rPr>
        <w:t xml:space="preserve">A member participating in a vote that directly affects their Registry listing or role</w:t>
      </w:r>
    </w:p>
    <w:p>
      <w:pPr>
        <w:spacing w:after="100" w:before="80"/>
      </w:pPr>
    </w:p>
    <w:p>
      <w:pPr>
        <w:pStyle w:val="Heading2"/>
        <w:spacing w:after="80" w:before="240"/>
      </w:pPr>
      <w:r>
        <w:rPr>
          <w:rFonts w:ascii="Arial" w:cs="Arial" w:eastAsia="Arial" w:hAnsi="Arial"/>
          <w:b/>
          <w:bCs/>
          <w:color w:val="1D9E75"/>
          <w:sz w:val="26"/>
          <w:szCs w:val="26"/>
        </w:rPr>
        <w:t xml:space="preserve">6.3  Disclosure Process</w:t>
      </w:r>
    </w:p>
    <w:p>
      <w:pPr>
        <w:spacing w:after="80" w:before="60"/>
      </w:pPr>
      <w:r>
        <w:rPr>
          <w:rFonts w:ascii="Arial" w:cs="Arial" w:eastAsia="Arial" w:hAnsi="Arial"/>
          <w:color w:val="3A4A5A"/>
          <w:sz w:val="22"/>
          <w:szCs w:val="22"/>
        </w:rPr>
        <w:t xml:space="preserve">Disclosure is made in writing to the full Steering Committee before the relevant discussion, output, or decision. The disclosed interest is recorded in the permanent repository. The disclosing member may continue to participate unless the Steering Committee determines by 75% vote that their participation compromises neutrality.</w:t>
      </w:r>
    </w:p>
    <w:p>
      <w:pPr>
        <w:spacing w:after="100" w:before="80"/>
      </w:pPr>
    </w:p>
    <w:p>
      <w:pPr>
        <w:pStyle w:val="Heading2"/>
        <w:spacing w:after="80" w:before="240"/>
      </w:pPr>
      <w:r>
        <w:rPr>
          <w:rFonts w:ascii="Arial" w:cs="Arial" w:eastAsia="Arial" w:hAnsi="Arial"/>
          <w:b/>
          <w:bCs/>
          <w:color w:val="1D9E75"/>
          <w:sz w:val="26"/>
          <w:szCs w:val="26"/>
        </w:rPr>
        <w:t xml:space="preserve">6.4  What Disclosure Does Not Require</w:t>
      </w:r>
    </w:p>
    <w:p>
      <w:pPr>
        <w:spacing w:after="80" w:before="60"/>
      </w:pPr>
      <w:r>
        <w:rPr>
          <w:rFonts w:ascii="Arial" w:cs="Arial" w:eastAsia="Arial" w:hAnsi="Arial"/>
          <w:color w:val="3A4A5A"/>
          <w:sz w:val="22"/>
          <w:szCs w:val="22"/>
        </w:rPr>
        <w:t xml:space="preserve">Members are not required to disclose that they build governance solutions — that is the entire basis of their membership. Disclosure is required only when a specific commercial interest intersects with a specific AEGF output or decision.</w:t>
      </w:r>
    </w:p>
    <w:p>
      <w:pPr>
        <w:pBdr>
          <w:bottom w:val="single" w:color="1D9E75" w:sz="8" w:space="1"/>
        </w:pBdr>
        <w:spacing w:after="160" w:before="160"/>
      </w:pPr>
    </w:p>
    <w:p>
      <w:pPr>
        <w:pStyle w:val="Heading1"/>
        <w:spacing w:after="120" w:before="360"/>
      </w:pPr>
      <w:r>
        <w:rPr>
          <w:rFonts w:ascii="Arial" w:cs="Arial" w:eastAsia="Arial" w:hAnsi="Arial"/>
          <w:b/>
          <w:bCs/>
          <w:color w:val="0F6E56"/>
          <w:sz w:val="32"/>
          <w:szCs w:val="32"/>
        </w:rPr>
        <w:t xml:space="preserve">7.  Dispute Resolution Protocol</w:t>
      </w:r>
    </w:p>
    <w:p>
      <w:pPr>
        <w:spacing w:after="80" w:before="60"/>
      </w:pPr>
      <w:r>
        <w:rPr>
          <w:rFonts w:ascii="Arial" w:cs="Arial" w:eastAsia="Arial" w:hAnsi="Arial"/>
          <w:color w:val="3A4A5A"/>
          <w:sz w:val="22"/>
          <w:szCs w:val="22"/>
        </w:rPr>
        <w:t xml:space="preserve">Governance without enforcement is theatre. This protocol provides a documented mechanism for resolving disputes fairly and transparently.</w:t>
      </w:r>
    </w:p>
    <w:p>
      <w:pPr>
        <w:spacing w:after="100" w:before="80"/>
      </w:pPr>
    </w:p>
    <w:p>
      <w:pPr>
        <w:pStyle w:val="Heading2"/>
        <w:spacing w:after="80" w:before="240"/>
      </w:pPr>
      <w:r>
        <w:rPr>
          <w:rFonts w:ascii="Arial" w:cs="Arial" w:eastAsia="Arial" w:hAnsi="Arial"/>
          <w:b/>
          <w:bCs/>
          <w:color w:val="1D9E75"/>
          <w:sz w:val="26"/>
          <w:szCs w:val="26"/>
        </w:rPr>
        <w:t xml:space="preserve">7.1  Types of Dispute Covered</w:t>
      </w:r>
    </w:p>
    <w:p>
      <w:pPr>
        <w:spacing w:after="50" w:before="5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Attribution disputes</w:t>
      </w:r>
      <w:r>
        <w:rPr>
          <w:rFonts w:ascii="Arial" w:cs="Arial" w:eastAsia="Arial" w:hAnsi="Arial"/>
          <w:color w:val="3A4A5A"/>
          <w:sz w:val="22"/>
          <w:szCs w:val="22"/>
        </w:rPr>
        <w:t xml:space="preserve">  A member believes their contribution has been misrepresented or incorrectly attributed</w:t>
      </w:r>
    </w:p>
    <w:p>
      <w:pPr>
        <w:spacing w:after="50" w:before="5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Neutrality disputes</w:t>
      </w:r>
      <w:r>
        <w:rPr>
          <w:rFonts w:ascii="Arial" w:cs="Arial" w:eastAsia="Arial" w:hAnsi="Arial"/>
          <w:color w:val="3A4A5A"/>
          <w:sz w:val="22"/>
          <w:szCs w:val="22"/>
        </w:rPr>
        <w:t xml:space="preserve">  A member believes an AEGF output or decision violates the forum's neutrality</w:t>
      </w:r>
    </w:p>
    <w:p>
      <w:pPr>
        <w:spacing w:after="50" w:before="5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Governance disputes</w:t>
      </w:r>
      <w:r>
        <w:rPr>
          <w:rFonts w:ascii="Arial" w:cs="Arial" w:eastAsia="Arial" w:hAnsi="Arial"/>
          <w:color w:val="3A4A5A"/>
          <w:sz w:val="22"/>
          <w:szCs w:val="22"/>
        </w:rPr>
        <w:t xml:space="preserve">  A member believes the 75% supermajority rule or another governance rule has been violated</w:t>
      </w:r>
    </w:p>
    <w:p>
      <w:pPr>
        <w:spacing w:after="50" w:before="5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Role disputes</w:t>
      </w:r>
      <w:r>
        <w:rPr>
          <w:rFonts w:ascii="Arial" w:cs="Arial" w:eastAsia="Arial" w:hAnsi="Arial"/>
          <w:color w:val="3A4A5A"/>
          <w:sz w:val="22"/>
          <w:szCs w:val="22"/>
        </w:rPr>
        <w:t xml:space="preserve">  A member disputes the scope or exercise of another member's designated authority</w:t>
      </w:r>
    </w:p>
    <w:p>
      <w:pPr>
        <w:spacing w:after="100" w:before="80"/>
      </w:pPr>
    </w:p>
    <w:p>
      <w:pPr>
        <w:pStyle w:val="Heading2"/>
        <w:spacing w:after="80" w:before="240"/>
      </w:pPr>
      <w:r>
        <w:rPr>
          <w:rFonts w:ascii="Arial" w:cs="Arial" w:eastAsia="Arial" w:hAnsi="Arial"/>
          <w:b/>
          <w:bCs/>
          <w:color w:val="1D9E75"/>
          <w:sz w:val="26"/>
          <w:szCs w:val="26"/>
        </w:rPr>
        <w:t xml:space="preserve">7.2  The Five-Step Procedure</w:t>
      </w:r>
    </w:p>
    <w:p>
      <w:pPr>
        <w:pStyle w:val="ListParagraph"/>
        <w:numPr>
          <w:ilvl w:val="0"/>
          <w:numId w:val="2"/>
        </w:numPr>
        <w:spacing w:after="60" w:before="60"/>
      </w:pPr>
      <w:r>
        <w:rPr>
          <w:rFonts w:ascii="Arial" w:cs="Arial" w:eastAsia="Arial" w:hAnsi="Arial"/>
          <w:color w:val="3A4A5A"/>
          <w:sz w:val="22"/>
          <w:szCs w:val="22"/>
        </w:rPr>
        <w:t xml:space="preserve">Concern raised in writing to the Convener and the Structural Governance member (Frank Schouten) within 14 days of the disputed action.</w:t>
      </w:r>
    </w:p>
    <w:p>
      <w:pPr>
        <w:pStyle w:val="ListParagraph"/>
        <w:numPr>
          <w:ilvl w:val="0"/>
          <w:numId w:val="2"/>
        </w:numPr>
        <w:spacing w:after="60" w:before="60"/>
      </w:pPr>
      <w:r>
        <w:rPr>
          <w:rFonts w:ascii="Arial" w:cs="Arial" w:eastAsia="Arial" w:hAnsi="Arial"/>
          <w:color w:val="3A4A5A"/>
          <w:sz w:val="22"/>
          <w:szCs w:val="22"/>
        </w:rPr>
        <w:t xml:space="preserve">The Structural Governance member reviews the concern and confirms whether it falls within the scope of this protocol within 7 days.</w:t>
      </w:r>
    </w:p>
    <w:p>
      <w:pPr>
        <w:pStyle w:val="ListParagraph"/>
        <w:numPr>
          <w:ilvl w:val="0"/>
          <w:numId w:val="2"/>
        </w:numPr>
        <w:spacing w:after="60" w:before="60"/>
      </w:pPr>
      <w:r>
        <w:rPr>
          <w:rFonts w:ascii="Arial" w:cs="Arial" w:eastAsia="Arial" w:hAnsi="Arial"/>
          <w:color w:val="3A4A5A"/>
          <w:sz w:val="22"/>
          <w:szCs w:val="22"/>
        </w:rPr>
        <w:t xml:space="preserve">Relevant parties are invited to respond in writing within 7 days of the review confirmation.</w:t>
      </w:r>
    </w:p>
    <w:p>
      <w:pPr>
        <w:pStyle w:val="ListParagraph"/>
        <w:numPr>
          <w:ilvl w:val="0"/>
          <w:numId w:val="2"/>
        </w:numPr>
        <w:spacing w:after="60" w:before="60"/>
      </w:pPr>
      <w:r>
        <w:rPr>
          <w:rFonts w:ascii="Arial" w:cs="Arial" w:eastAsia="Arial" w:hAnsi="Arial"/>
          <w:color w:val="3A4A5A"/>
          <w:sz w:val="22"/>
          <w:szCs w:val="22"/>
        </w:rPr>
        <w:t xml:space="preserve">The full Steering Committee discusses and reaches a resolution by 75% vote within 14 days of receiving all responses.</w:t>
      </w:r>
    </w:p>
    <w:p>
      <w:pPr>
        <w:pStyle w:val="ListParagraph"/>
        <w:numPr>
          <w:ilvl w:val="0"/>
          <w:numId w:val="2"/>
        </w:numPr>
        <w:spacing w:after="60" w:before="60"/>
      </w:pPr>
      <w:r>
        <w:rPr>
          <w:rFonts w:ascii="Arial" w:cs="Arial" w:eastAsia="Arial" w:hAnsi="Arial"/>
          <w:color w:val="3A4A5A"/>
          <w:sz w:val="22"/>
          <w:szCs w:val="22"/>
        </w:rPr>
        <w:t xml:space="preserve">The resolution is documented publicly in the permanent repository, attributed to the Steering Committee, with the date and outcome recorded.</w:t>
      </w:r>
    </w:p>
    <w:p>
      <w:pPr>
        <w:spacing w:after="100" w:before="80"/>
      </w:pPr>
    </w:p>
    <w:p>
      <w:pPr>
        <w:pStyle w:val="Heading2"/>
        <w:spacing w:after="80" w:before="240"/>
      </w:pPr>
      <w:r>
        <w:rPr>
          <w:rFonts w:ascii="Arial" w:cs="Arial" w:eastAsia="Arial" w:hAnsi="Arial"/>
          <w:b/>
          <w:bCs/>
          <w:color w:val="1D9E75"/>
          <w:sz w:val="26"/>
          <w:szCs w:val="26"/>
        </w:rPr>
        <w:t xml:space="preserve">7.3  Principles of Resolution</w:t>
      </w:r>
    </w:p>
    <w:p>
      <w:pPr>
        <w:spacing w:after="80" w:before="60"/>
      </w:pPr>
      <w:r>
        <w:rPr>
          <w:rFonts w:ascii="Arial" w:cs="Arial" w:eastAsia="Arial" w:hAnsi="Arial"/>
          <w:color w:val="3A4A5A"/>
          <w:sz w:val="22"/>
          <w:szCs w:val="22"/>
        </w:rPr>
        <w:t xml:space="preserve">Resolutions prioritise restoring neutrality and protecting attribution. They do not punish. They correct. If a resolution requires removing a member from the forum, that action requires a 75% Steering Committee vote and 14 days notice to the member before taking effect.</w:t>
      </w:r>
    </w:p>
    <w:p>
      <w:pPr>
        <w:pBdr>
          <w:bottom w:val="single" w:color="1D9E75" w:sz="8" w:space="1"/>
        </w:pBdr>
        <w:spacing w:after="160" w:before="160"/>
      </w:pPr>
    </w:p>
    <w:p>
      <w:pPr>
        <w:pStyle w:val="Heading1"/>
        <w:spacing w:after="120" w:before="360"/>
      </w:pPr>
      <w:r>
        <w:rPr>
          <w:rFonts w:ascii="Arial" w:cs="Arial" w:eastAsia="Arial" w:hAnsi="Arial"/>
          <w:b/>
          <w:bCs/>
          <w:color w:val="0F6E56"/>
          <w:sz w:val="32"/>
          <w:szCs w:val="32"/>
        </w:rPr>
        <w:t xml:space="preserve">8.  Institutional Memory and Shared Access</w:t>
      </w:r>
    </w:p>
    <w:p>
      <w:pPr>
        <w:spacing w:after="80" w:before="60"/>
      </w:pPr>
      <w:r>
        <w:rPr>
          <w:rFonts w:ascii="Arial" w:cs="Arial" w:eastAsia="Arial" w:hAnsi="Arial"/>
          <w:color w:val="3A4A5A"/>
          <w:sz w:val="22"/>
          <w:szCs w:val="22"/>
        </w:rPr>
        <w:t xml:space="preserve">AEGF's institutional memory must never reside in a single person's possession.</w:t>
      </w:r>
    </w:p>
    <w:p>
      <w:pPr>
        <w:spacing w:after="100" w:before="80"/>
      </w:pPr>
    </w:p>
    <w:p>
      <w:pPr>
        <w:pStyle w:val="Heading2"/>
        <w:spacing w:after="80" w:before="240"/>
      </w:pPr>
      <w:r>
        <w:rPr>
          <w:rFonts w:ascii="Arial" w:cs="Arial" w:eastAsia="Arial" w:hAnsi="Arial"/>
          <w:b/>
          <w:bCs/>
          <w:color w:val="1D9E75"/>
          <w:sz w:val="26"/>
          <w:szCs w:val="26"/>
        </w:rPr>
        <w:t xml:space="preserve">8.1  The Permanent Repository</w:t>
      </w:r>
    </w:p>
    <w:p>
      <w:pPr>
        <w:spacing w:after="80" w:before="60"/>
      </w:pPr>
      <w:r>
        <w:rPr>
          <w:rFonts w:ascii="Arial" w:cs="Arial" w:eastAsia="Arial" w:hAnsi="Arial"/>
          <w:color w:val="3A4A5A"/>
          <w:sz w:val="22"/>
          <w:szCs w:val="22"/>
        </w:rPr>
        <w:t xml:space="preserve">All AEGF records are stored in the public GitHub repository: github.com/aegf-records</w:t>
      </w:r>
    </w:p>
    <w:p>
      <w:pPr>
        <w:spacing w:after="100" w:before="60"/>
      </w:pPr>
    </w:p>
    <w:p>
      <w:pPr>
        <w:spacing w:after="50" w:before="5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Founding Record</w:t>
      </w:r>
      <w:r>
        <w:rPr>
          <w:rFonts w:ascii="Arial" w:cs="Arial" w:eastAsia="Arial" w:hAnsi="Arial"/>
          <w:color w:val="3A4A5A"/>
          <w:sz w:val="22"/>
          <w:szCs w:val="22"/>
        </w:rPr>
        <w:t xml:space="preserve">  Complete history from concept to active founding circle</w:t>
      </w:r>
    </w:p>
    <w:p>
      <w:pPr>
        <w:spacing w:after="50" w:before="5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V0.4 Brief and all future versions</w:t>
      </w:r>
      <w:r>
        <w:rPr>
          <w:rFonts w:ascii="Arial" w:cs="Arial" w:eastAsia="Arial" w:hAnsi="Arial"/>
          <w:color w:val="3A4A5A"/>
          <w:sz w:val="22"/>
          <w:szCs w:val="22"/>
        </w:rPr>
        <w:t xml:space="preserve">  The governing brief</w:t>
      </w:r>
    </w:p>
    <w:p>
      <w:pPr>
        <w:spacing w:after="50" w:before="5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Session records</w:t>
      </w:r>
      <w:r>
        <w:rPr>
          <w:rFonts w:ascii="Arial" w:cs="Arial" w:eastAsia="Arial" w:hAnsi="Arial"/>
          <w:color w:val="3A4A5A"/>
          <w:sz w:val="22"/>
          <w:szCs w:val="22"/>
        </w:rPr>
        <w:t xml:space="preserve">  All working session outputs, attributed, unedited</w:t>
      </w:r>
    </w:p>
    <w:p>
      <w:pPr>
        <w:spacing w:after="50" w:before="5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Registry</w:t>
      </w:r>
      <w:r>
        <w:rPr>
          <w:rFonts w:ascii="Arial" w:cs="Arial" w:eastAsia="Arial" w:hAnsi="Arial"/>
          <w:color w:val="3A4A5A"/>
          <w:sz w:val="22"/>
          <w:szCs w:val="22"/>
        </w:rPr>
        <w:t xml:space="preserve">  All member listings in the member's own words</w:t>
      </w:r>
    </w:p>
    <w:p>
      <w:pPr>
        <w:spacing w:after="50" w:before="5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Governance decisions</w:t>
      </w:r>
      <w:r>
        <w:rPr>
          <w:rFonts w:ascii="Arial" w:cs="Arial" w:eastAsia="Arial" w:hAnsi="Arial"/>
          <w:color w:val="3A4A5A"/>
          <w:sz w:val="22"/>
          <w:szCs w:val="22"/>
        </w:rPr>
        <w:t xml:space="preserve">  All Steering Committee decisions with attribution</w:t>
      </w:r>
    </w:p>
    <w:p>
      <w:pPr>
        <w:spacing w:after="50" w:before="5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Role mandates</w:t>
      </w:r>
      <w:r>
        <w:rPr>
          <w:rFonts w:ascii="Arial" w:cs="Arial" w:eastAsia="Arial" w:hAnsi="Arial"/>
          <w:color w:val="3A4A5A"/>
          <w:sz w:val="22"/>
          <w:szCs w:val="22"/>
        </w:rPr>
        <w:t xml:space="preserve">  Each member's mandate in their own words</w:t>
      </w:r>
    </w:p>
    <w:p>
      <w:pPr>
        <w:spacing w:after="50" w:before="5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This charter</w:t>
      </w:r>
      <w:r>
        <w:rPr>
          <w:rFonts w:ascii="Arial" w:cs="Arial" w:eastAsia="Arial" w:hAnsi="Arial"/>
          <w:color w:val="3A4A5A"/>
          <w:sz w:val="22"/>
          <w:szCs w:val="22"/>
        </w:rPr>
        <w:t xml:space="preserve">  The Institutional Continuity Charter V1.1</w:t>
      </w:r>
    </w:p>
    <w:p>
      <w:pPr>
        <w:spacing w:after="100" w:before="80"/>
      </w:pPr>
    </w:p>
    <w:p>
      <w:pPr>
        <w:pStyle w:val="Heading2"/>
        <w:spacing w:after="80" w:before="240"/>
      </w:pPr>
      <w:r>
        <w:rPr>
          <w:rFonts w:ascii="Arial" w:cs="Arial" w:eastAsia="Arial" w:hAnsi="Arial"/>
          <w:b/>
          <w:bCs/>
          <w:color w:val="1D9E75"/>
          <w:sz w:val="26"/>
          <w:szCs w:val="26"/>
        </w:rPr>
        <w:t xml:space="preserve">8.2  Shared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57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Primary Owner + Backup Access</w:t>
            </w:r>
          </w:p>
        </w:tc>
      </w:tr>
      <w:tr>
        <w:tc>
          <w:tcPr>
            <w:tcW w:type="dxa" w:w="36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aegforum.org domain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Raheem Larry Babatunde — backup: Tim Zlomke</w:t>
            </w:r>
          </w:p>
        </w:tc>
      </w:tr>
      <w:tr>
        <w:tc>
          <w:tcPr>
            <w:tcW w:type="dxa" w:w="36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GitHub repository (aegf-records)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Raheem Larry Babatunde — backup: Dani Danwin and Tim Zlomke</w:t>
            </w:r>
          </w:p>
        </w:tc>
      </w:tr>
      <w:tr>
        <w:tc>
          <w:tcPr>
            <w:tcW w:type="dxa" w:w="36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Slack workspace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Raheem Larry Babatunde — backup: Saad Muzafar</w:t>
            </w:r>
          </w:p>
        </w:tc>
      </w:tr>
      <w:tr>
        <w:tc>
          <w:tcPr>
            <w:tcW w:type="dxa" w:w="36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AEGF email addresses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raheem@aegforum.org primary — backup: Dani Danwin for contact@aegforum.org</w:t>
            </w:r>
          </w:p>
        </w:tc>
      </w:tr>
    </w:tbl>
    <w:p>
      <w:pPr>
        <w:pBdr>
          <w:bottom w:val="single" w:color="1D9E75" w:sz="8" w:space="1"/>
        </w:pBdr>
        <w:spacing w:after="160" w:before="160"/>
      </w:pPr>
    </w:p>
    <w:p>
      <w:pPr>
        <w:pStyle w:val="Heading1"/>
        <w:spacing w:after="120" w:before="360"/>
      </w:pPr>
      <w:r>
        <w:rPr>
          <w:rFonts w:ascii="Arial" w:cs="Arial" w:eastAsia="Arial" w:hAnsi="Arial"/>
          <w:b/>
          <w:bCs/>
          <w:color w:val="0F6E56"/>
          <w:sz w:val="32"/>
          <w:szCs w:val="32"/>
        </w:rPr>
        <w:t xml:space="preserve">9.  Annual Governance Review</w:t>
      </w:r>
    </w:p>
    <w:p>
      <w:pPr>
        <w:spacing w:after="80" w:before="60"/>
      </w:pPr>
      <w:r>
        <w:rPr>
          <w:rFonts w:ascii="Arial" w:cs="Arial" w:eastAsia="Arial" w:hAnsi="Arial"/>
          <w:color w:val="3A4A5A"/>
          <w:sz w:val="22"/>
          <w:szCs w:val="22"/>
        </w:rPr>
        <w:t xml:space="preserve">AEGF conducts an Annual Governance Review each June beginning June 2027. The review is a self-correction mechanism, not an audit.</w:t>
      </w:r>
    </w:p>
    <w:p>
      <w:pPr>
        <w:spacing w:after="100" w:before="80"/>
      </w:pPr>
    </w:p>
    <w:p>
      <w:pPr>
        <w:spacing w:after="80" w:before="60"/>
      </w:pPr>
      <w:r>
        <w:rPr>
          <w:rFonts w:ascii="Arial" w:cs="Arial" w:eastAsia="Arial" w:hAnsi="Arial"/>
          <w:color w:val="3A4A5A"/>
          <w:sz w:val="22"/>
          <w:szCs w:val="22"/>
        </w:rPr>
        <w:t xml:space="preserve">Seven questions are asked:</w:t>
      </w:r>
    </w:p>
    <w:p>
      <w:pPr>
        <w:spacing w:after="100" w:before="40"/>
      </w:pPr>
    </w:p>
    <w:p>
      <w:pPr>
        <w:spacing w:after="50" w:before="5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Neutrality</w:t>
      </w:r>
      <w:r>
        <w:rPr>
          <w:rFonts w:ascii="Arial" w:cs="Arial" w:eastAsia="Arial" w:hAnsi="Arial"/>
          <w:color w:val="3A4A5A"/>
          <w:sz w:val="22"/>
          <w:szCs w:val="22"/>
        </w:rPr>
        <w:t xml:space="preserve">  Are we still neutral? Have we drifted toward advocacy, certification, or commercial influence?</w:t>
      </w:r>
    </w:p>
    <w:p>
      <w:pPr>
        <w:spacing w:after="50" w:before="5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Builder service</w:t>
      </w:r>
      <w:r>
        <w:rPr>
          <w:rFonts w:ascii="Arial" w:cs="Arial" w:eastAsia="Arial" w:hAnsi="Arial"/>
          <w:color w:val="3A4A5A"/>
          <w:sz w:val="22"/>
          <w:szCs w:val="22"/>
        </w:rPr>
        <w:t xml:space="preserve">  Are we still serving builders? Is the Registry growing and being used?</w:t>
      </w:r>
    </w:p>
    <w:p>
      <w:pPr>
        <w:spacing w:after="50" w:before="5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Representation</w:t>
      </w:r>
      <w:r>
        <w:rPr>
          <w:rFonts w:ascii="Arial" w:cs="Arial" w:eastAsia="Arial" w:hAnsi="Arial"/>
          <w:color w:val="3A4A5A"/>
          <w:sz w:val="22"/>
          <w:szCs w:val="22"/>
        </w:rPr>
        <w:t xml:space="preserve">  Have we drifted into speaking for the field rather than making it visible?</w:t>
      </w:r>
    </w:p>
    <w:p>
      <w:pPr>
        <w:spacing w:after="50" w:before="5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Phase discipline</w:t>
      </w:r>
      <w:r>
        <w:rPr>
          <w:rFonts w:ascii="Arial" w:cs="Arial" w:eastAsia="Arial" w:hAnsi="Arial"/>
          <w:color w:val="3A4A5A"/>
          <w:sz w:val="22"/>
          <w:szCs w:val="22"/>
        </w:rPr>
        <w:t xml:space="preserve">  Are we in the right phase? Have we moved into recommendations before trust was earned?</w:t>
      </w:r>
    </w:p>
    <w:p>
      <w:pPr>
        <w:spacing w:after="50" w:before="5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Governance health</w:t>
      </w:r>
      <w:r>
        <w:rPr>
          <w:rFonts w:ascii="Arial" w:cs="Arial" w:eastAsia="Arial" w:hAnsi="Arial"/>
          <w:color w:val="3A4A5A"/>
          <w:sz w:val="22"/>
          <w:szCs w:val="22"/>
        </w:rPr>
        <w:t xml:space="preserve">  Is the 75% rule being respected? Are all role mandates still accurate?</w:t>
      </w:r>
    </w:p>
    <w:p>
      <w:pPr>
        <w:spacing w:after="50" w:before="5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Continuity readiness</w:t>
      </w:r>
      <w:r>
        <w:rPr>
          <w:rFonts w:ascii="Arial" w:cs="Arial" w:eastAsia="Arial" w:hAnsi="Arial"/>
          <w:color w:val="3A4A5A"/>
          <w:sz w:val="22"/>
          <w:szCs w:val="22"/>
        </w:rPr>
        <w:t xml:space="preserve">  Are all backup roles current? Are all shared credentials accessible?</w:t>
      </w:r>
    </w:p>
    <w:p>
      <w:pPr>
        <w:spacing w:after="50" w:before="5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Member satisfaction</w:t>
      </w:r>
      <w:r>
        <w:rPr>
          <w:rFonts w:ascii="Arial" w:cs="Arial" w:eastAsia="Arial" w:hAnsi="Arial"/>
          <w:color w:val="3A4A5A"/>
          <w:sz w:val="22"/>
          <w:szCs w:val="22"/>
        </w:rPr>
        <w:t xml:space="preserve">  Do members still feel their independence is protected and their contributions attributed correctly?</w:t>
      </w:r>
    </w:p>
    <w:p>
      <w:pPr>
        <w:spacing w:after="100" w:before="80"/>
      </w:pPr>
    </w:p>
    <w:p>
      <w:pPr>
        <w:spacing w:after="80" w:before="60"/>
      </w:pPr>
      <w:r>
        <w:rPr>
          <w:rFonts w:ascii="Arial" w:cs="Arial" w:eastAsia="Arial" w:hAnsi="Arial"/>
          <w:color w:val="3A4A5A"/>
          <w:sz w:val="22"/>
          <w:szCs w:val="22"/>
        </w:rPr>
        <w:t xml:space="preserve">Results are published in the permanent repository and shared with all members and observers.</w:t>
      </w:r>
    </w:p>
    <w:p>
      <w:pPr>
        <w:pBdr>
          <w:bottom w:val="single" w:color="1D9E75" w:sz="8" w:space="1"/>
        </w:pBdr>
        <w:spacing w:after="160" w:before="160"/>
      </w:pPr>
    </w:p>
    <w:p>
      <w:pPr>
        <w:pStyle w:val="Heading1"/>
        <w:spacing w:after="120" w:before="360"/>
      </w:pPr>
      <w:r>
        <w:rPr>
          <w:rFonts w:ascii="Arial" w:cs="Arial" w:eastAsia="Arial" w:hAnsi="Arial"/>
          <w:b/>
          <w:bCs/>
          <w:color w:val="0F6E56"/>
          <w:sz w:val="32"/>
          <w:szCs w:val="32"/>
        </w:rPr>
        <w:t xml:space="preserve">10.  Membership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Definition and Rights</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Founding Members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Confirmed before the Inaugural Assembly. Eligible to sign the Tbilisi Declaration. Eligible for Steering Committee. Registry listing permanent.</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Active Members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Join after the Inaugural Assembly. Contribute to working sessions. Registry listing active. Not eligible for the founding Steering Committee.</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Observers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Follow AEGF's work without Registry listing or session obligations. No commitment required.</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Advisors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Occasional strategic contributors engaged for specific expertise. Acknowledged in Ecosystem Reports where relevant.</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Pipeline Participants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Interested but not yet active. Moved to Observer status after 30 days without response. Door remains open.</w:t>
            </w:r>
          </w:p>
        </w:tc>
      </w:tr>
    </w:tbl>
    <w:p>
      <w:pPr>
        <w:pBdr>
          <w:bottom w:val="single" w:color="1D9E75" w:sz="8" w:space="1"/>
        </w:pBdr>
        <w:spacing w:after="160" w:before="160"/>
      </w:pPr>
    </w:p>
    <w:p>
      <w:pPr>
        <w:pStyle w:val="Heading1"/>
        <w:spacing w:after="120" w:before="360"/>
      </w:pPr>
      <w:r>
        <w:rPr>
          <w:rFonts w:ascii="Arial" w:cs="Arial" w:eastAsia="Arial" w:hAnsi="Arial"/>
          <w:b/>
          <w:bCs/>
          <w:color w:val="0F6E56"/>
          <w:sz w:val="32"/>
          <w:szCs w:val="32"/>
        </w:rPr>
        <w:t xml:space="preserve">11.  Adoption and Amendment</w:t>
      </w:r>
    </w:p>
    <w:p>
      <w:pPr>
        <w:spacing w:after="80" w:before="60"/>
      </w:pPr>
      <w:r>
        <w:rPr>
          <w:rFonts w:ascii="Arial" w:cs="Arial" w:eastAsia="Arial" w:hAnsi="Arial"/>
          <w:color w:val="3A4A5A"/>
          <w:sz w:val="22"/>
          <w:szCs w:val="22"/>
        </w:rPr>
        <w:t xml:space="preserve">This charter becomes effective when adopted by the interim Steering Committee by 75% approval.</w:t>
      </w:r>
    </w:p>
    <w:p>
      <w:pPr>
        <w:spacing w:after="100" w:before="60"/>
      </w:pPr>
    </w:p>
    <w:p>
      <w:pPr>
        <w:spacing w:after="80" w:before="60"/>
      </w:pPr>
      <w:r>
        <w:rPr>
          <w:rFonts w:ascii="Arial" w:cs="Arial" w:eastAsia="Arial" w:hAnsi="Arial"/>
          <w:color w:val="3A4A5A"/>
          <w:sz w:val="22"/>
          <w:szCs w:val="22"/>
        </w:rPr>
        <w:t xml:space="preserve">Amendments require 75% Steering Committee approval and must be recorded in the permanent repository with the date, the change made, and the names of those who approved it.</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V1.0 drafted by Convener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June 2026</w:t>
            </w:r>
          </w:p>
        </w:tc>
      </w:tr>
      <w:tr>
        <w:tc>
          <w:tcPr>
            <w:tcW w:type="dxa" w:w="3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V1.1 revised following independent governance review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June 2026</w:t>
            </w:r>
          </w:p>
        </w:tc>
      </w:tr>
      <w:tr>
        <w:tc>
          <w:tcPr>
            <w:tcW w:type="dxa" w:w="3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Circulated to Steering Committee for review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Pending</w:t>
            </w:r>
          </w:p>
        </w:tc>
      </w:tr>
      <w:tr>
        <w:tc>
          <w:tcPr>
            <w:tcW w:type="dxa" w:w="3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Adopted by 75% Steering Committee vote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Pending</w:t>
            </w:r>
          </w:p>
        </w:tc>
      </w:tr>
      <w:tr>
        <w:tc>
          <w:tcPr>
            <w:tcW w:type="dxa" w:w="3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Published to permanent repository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Pending</w:t>
            </w:r>
          </w:p>
        </w:tc>
      </w:tr>
      <w:tr>
        <w:tc>
          <w:tcPr>
            <w:tcW w:type="dxa" w:w="3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Shared with full founding circle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Pending</w:t>
            </w:r>
          </w:p>
        </w:tc>
      </w:tr>
      <w:tr>
        <w:tc>
          <w:tcPr>
            <w:tcW w:type="dxa" w:w="3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First Annual Governance Review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June 2027</w:t>
            </w:r>
          </w:p>
        </w:tc>
      </w:tr>
    </w:tbl>
    <w:p>
      <w:pPr>
        <w:pBdr>
          <w:bottom w:val="single" w:color="1D9E75" w:sz="8" w:space="1"/>
        </w:pBdr>
        <w:spacing w:after="160" w:before="160"/>
      </w:pPr>
    </w:p>
    <w:p>
      <w:pPr>
        <w:spacing w:after="100" w:before="200"/>
      </w:pPr>
    </w:p>
    <w:p>
      <w:pPr>
        <w:pBdr>
          <w:left w:val="single" w:color="0F6E56" w:sz="14" w:space="10"/>
        </w:pBdr>
        <w:spacing w:after="120" w:before="120"/>
        <w:ind w:left="560"/>
      </w:pPr>
      <w:r>
        <w:rPr>
          <w:rFonts w:ascii="Arial" w:cs="Arial" w:eastAsia="Arial" w:hAnsi="Arial"/>
          <w:b/>
          <w:bCs/>
          <w:i/>
          <w:iCs/>
          <w:color w:val="0F6E56"/>
          <w:sz w:val="22"/>
          <w:szCs w:val="22"/>
        </w:rPr>
        <w:t xml:space="preserve">AEGF does not claim authority over the field.
It creates visibility for the people building within it.
No continuity action may ever change this.</w:t>
      </w:r>
    </w:p>
    <w:p>
      <w:pPr>
        <w:spacing w:after="100" w:before="120"/>
      </w:pPr>
    </w:p>
    <w:p>
      <w:pPr>
        <w:spacing w:after="40" w:before="80"/>
        <w:jc w:val="center"/>
      </w:pPr>
      <w:r>
        <w:rPr>
          <w:rFonts w:ascii="Arial" w:cs="Arial" w:eastAsia="Arial" w:hAnsi="Arial"/>
          <w:b/>
          <w:bCs/>
          <w:color w:val="3A4A5A"/>
          <w:sz w:val="22"/>
          <w:szCs w:val="22"/>
        </w:rPr>
        <w:t xml:space="preserve">Raheem Larry Babatunde</w:t>
      </w:r>
    </w:p>
    <w:p>
      <w:pPr>
        <w:spacing w:after="40" w:before="0"/>
        <w:jc w:val="center"/>
      </w:pPr>
      <w:r>
        <w:rPr>
          <w:rFonts w:ascii="Arial" w:cs="Arial" w:eastAsia="Arial" w:hAnsi="Arial"/>
          <w:color w:val="1D9E75"/>
          <w:sz w:val="20"/>
          <w:szCs w:val="20"/>
        </w:rPr>
        <w:t xml:space="preserve">Convener, AI Execution Governance Forum</w:t>
      </w:r>
    </w:p>
    <w:p>
      <w:pPr>
        <w:spacing w:after="0" w:before="0"/>
        <w:jc w:val="center"/>
      </w:pPr>
      <w:r>
        <w:rPr>
          <w:rFonts w:ascii="Arial" w:cs="Arial" w:eastAsia="Arial" w:hAnsi="Arial"/>
          <w:i/>
          <w:iCs/>
          <w:color w:val="3A4A5A"/>
          <w:sz w:val="18"/>
          <w:szCs w:val="18"/>
        </w:rPr>
        <w:t xml:space="preserve">June 2026  ·  Version 1.1  ·  Draft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6E56"/>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D9E7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2026-06-10T19:41:21.297Z</dcterms:created>
  <dcterms:modified xsi:type="dcterms:W3CDTF">2026-06-10T19:41:21.311Z</dcterms:modified>
</cp:coreProperties>
</file>

<file path=docProps/custom.xml><?xml version="1.0" encoding="utf-8"?>
<Properties xmlns="http://schemas.openxmlformats.org/officeDocument/2006/custom-properties" xmlns:vt="http://schemas.openxmlformats.org/officeDocument/2006/docPropsVTypes"/>
</file>