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0"/>
      </w:pPr>
    </w:p>
    <w:p>
      <w:pPr>
        <w:spacing w:after="80" w:before="0"/>
        <w:jc w:val="center"/>
      </w:pPr>
      <w:r>
        <w:rPr>
          <w:rFonts w:ascii="Arial" w:cs="Arial" w:eastAsia="Arial" w:hAnsi="Arial"/>
          <w:b/>
          <w:bCs/>
          <w:color w:val="0F6E56"/>
          <w:sz w:val="80"/>
          <w:szCs w:val="80"/>
        </w:rPr>
        <w:t xml:space="preserve">AEGF</w:t>
      </w:r>
    </w:p>
    <w:p>
      <w:pPr>
        <w:spacing w:after="160" w:before="0"/>
        <w:jc w:val="center"/>
      </w:pPr>
      <w:r>
        <w:rPr>
          <w:rFonts w:ascii="Arial" w:cs="Arial" w:eastAsia="Arial" w:hAnsi="Arial"/>
          <w:color w:val="1D9E75"/>
          <w:spacing w:val="80"/>
          <w:sz w:val="26"/>
          <w:szCs w:val="26"/>
        </w:rPr>
        <w:t xml:space="preserve">AI EXECUTION GOVERNANCE FORUM</w:t>
      </w:r>
    </w:p>
    <w:p>
      <w:pPr>
        <w:pBdr>
          <w:bottom w:val="single" w:color="1D9E75" w:sz="8" w:space="1"/>
        </w:pBdr>
        <w:spacing w:after="160" w:before="160"/>
      </w:pPr>
    </w:p>
    <w:p>
      <w:pPr>
        <w:spacing w:after="120" w:before="80"/>
      </w:pPr>
    </w:p>
    <w:p>
      <w:pPr>
        <w:spacing w:after="80" w:before="0"/>
        <w:jc w:val="center"/>
      </w:pPr>
      <w:r>
        <w:rPr>
          <w:rFonts w:ascii="Arial" w:cs="Arial" w:eastAsia="Arial" w:hAnsi="Arial"/>
          <w:b/>
          <w:bCs/>
          <w:color w:val="3A4A5A"/>
          <w:sz w:val="40"/>
          <w:szCs w:val="40"/>
        </w:rPr>
        <w:t xml:space="preserve">FOUNDING RECORD</w:t>
      </w:r>
    </w:p>
    <w:p>
      <w:pPr>
        <w:spacing w:after="80" w:before="0"/>
        <w:jc w:val="center"/>
      </w:pPr>
      <w:r>
        <w:rPr>
          <w:rFonts w:ascii="Arial" w:cs="Arial" w:eastAsia="Arial" w:hAnsi="Arial"/>
          <w:i/>
          <w:iCs/>
          <w:color w:val="3A4A5A"/>
          <w:sz w:val="24"/>
          <w:szCs w:val="24"/>
        </w:rPr>
        <w:t xml:space="preserve">From Concept to Active Founding Circle</w:t>
      </w:r>
    </w:p>
    <w:p>
      <w:pPr>
        <w:spacing w:after="240" w:before="0"/>
        <w:jc w:val="center"/>
      </w:pPr>
      <w:r>
        <w:rPr>
          <w:rFonts w:ascii="Arial" w:cs="Arial" w:eastAsia="Arial" w:hAnsi="Arial"/>
          <w:color w:val="3A4A5A"/>
          <w:sz w:val="22"/>
          <w:szCs w:val="22"/>
        </w:rPr>
        <w:t xml:space="preserve">June 2026</w:t>
      </w:r>
    </w:p>
    <w:p>
      <w:pPr>
        <w:spacing w:after="120" w:before="400"/>
      </w:pPr>
    </w:p>
    <w:p>
      <w:pPr>
        <w:spacing w:after="80" w:before="0"/>
        <w:jc w:val="center"/>
      </w:pPr>
      <w:r>
        <w:rPr>
          <w:rFonts w:ascii="Arial" w:cs="Arial" w:eastAsia="Arial" w:hAnsi="Arial"/>
          <w:color w:val="3A4A5A"/>
          <w:sz w:val="20"/>
          <w:szCs w:val="20"/>
        </w:rPr>
        <w:t xml:space="preserve">Compiled by: Raheem Larry Babatunde  ·  Convener, AEGF</w:t>
      </w:r>
    </w:p>
    <w:p>
      <w:pPr>
        <w:spacing w:after="80" w:before="0"/>
        <w:jc w:val="center"/>
      </w:pPr>
      <w:r>
        <w:rPr>
          <w:rFonts w:ascii="Arial" w:cs="Arial" w:eastAsia="Arial" w:hAnsi="Arial"/>
          <w:b/>
          <w:bCs/>
          <w:color w:val="1D9E75"/>
          <w:sz w:val="20"/>
          <w:szCs w:val="20"/>
        </w:rPr>
        <w:t xml:space="preserve">Status: Active — Founding Circle Assembled — Session 01 Pending Open</w:t>
      </w:r>
    </w:p>
    <w:p>
      <w:r>
        <w:br w:type="page"/>
      </w:r>
    </w:p>
    <w:p>
      <w:pPr>
        <w:pStyle w:val="Heading1"/>
        <w:spacing w:after="160" w:before="400"/>
      </w:pPr>
      <w:r>
        <w:rPr>
          <w:rFonts w:ascii="Arial" w:cs="Arial" w:eastAsia="Arial" w:hAnsi="Arial"/>
          <w:b/>
          <w:bCs/>
          <w:color w:val="0F6E56"/>
          <w:sz w:val="34"/>
          <w:szCs w:val="34"/>
        </w:rPr>
        <w:t xml:space="preserve">1.  Origin and Purpose</w:t>
      </w:r>
    </w:p>
    <w:p>
      <w:pPr>
        <w:spacing w:after="80" w:before="60"/>
      </w:pPr>
      <w:r>
        <w:rPr>
          <w:rFonts w:ascii="Arial" w:cs="Arial" w:eastAsia="Arial" w:hAnsi="Arial"/>
          <w:color w:val="3A4A5A"/>
          <w:sz w:val="22"/>
          <w:szCs w:val="22"/>
        </w:rPr>
        <w:t xml:space="preserve">The AI Execution Governance Forum (AEGF) was initiated by Raheem Larry Babatunde, founder of VeriSigil AI, in June 2026. The founding insight was that the emerging field of AI execution governance was producing independent solutions in isolation — builders working on similar problems from different directions, with no neutral space to make their work visible to each other or to the governments, enterprises, and institutions that need to understand and deploy it.</w:t>
      </w:r>
    </w:p>
    <w:p>
      <w:pPr>
        <w:spacing w:after="120" w:before="60"/>
      </w:pPr>
    </w:p>
    <w:p>
      <w:pPr>
        <w:spacing w:after="80" w:before="60"/>
      </w:pPr>
      <w:r>
        <w:rPr>
          <w:rFonts w:ascii="Arial" w:cs="Arial" w:eastAsia="Arial" w:hAnsi="Arial"/>
          <w:color w:val="3A4A5A"/>
          <w:sz w:val="22"/>
          <w:szCs w:val="22"/>
        </w:rPr>
        <w:t xml:space="preserve">The original concept was an AI Execution Governance Alliance. Through early feedback from prospective members it evolved into a Forum — a more accurate description of the neutral, non-representative, non-certifying structure that members required to participate with confidence.</w:t>
      </w:r>
    </w:p>
    <w:p>
      <w:pPr>
        <w:spacing w:after="120" w:before="80"/>
      </w:pPr>
    </w:p>
    <w:p>
      <w:pPr>
        <w:pBdr>
          <w:left w:val="single" w:color="0F6E56" w:sz="14" w:space="10"/>
        </w:pBdr>
        <w:spacing w:after="120" w:before="120"/>
        <w:ind w:left="560"/>
      </w:pPr>
      <w:r>
        <w:rPr>
          <w:rFonts w:ascii="Arial" w:cs="Arial" w:eastAsia="Arial" w:hAnsi="Arial"/>
          <w:b/>
          <w:bCs/>
          <w:i/>
          <w:iCs/>
          <w:color w:val="0F6E56"/>
          <w:sz w:val="22"/>
          <w:szCs w:val="22"/>
        </w:rPr>
        <w:t xml:space="preserve">AEGF does not claim authority over the field. It creates visibility for the people building within it.</w:t>
      </w:r>
    </w:p>
    <w:p>
      <w:pPr>
        <w:spacing w:after="120" w:before="80"/>
      </w:pPr>
    </w:p>
    <w:p>
      <w:pPr>
        <w:spacing w:after="80" w:before="60"/>
      </w:pPr>
      <w:r>
        <w:rPr>
          <w:rFonts w:ascii="Arial" w:cs="Arial" w:eastAsia="Arial" w:hAnsi="Arial"/>
          <w:color w:val="3A4A5A"/>
          <w:sz w:val="22"/>
          <w:szCs w:val="22"/>
        </w:rPr>
        <w:t xml:space="preserve">This record documents every significant decision, contribution, and development from the initial concept through to the assembled founding circle and the point at which Session 01 is ready to open.</w:t>
      </w:r>
    </w:p>
    <w:p>
      <w:pPr>
        <w:pBdr>
          <w:bottom w:val="single" w:color="1D9E75" w:sz="8" w:space="1"/>
        </w:pBdr>
        <w:spacing w:after="160" w:before="160"/>
      </w:pPr>
    </w:p>
    <w:p>
      <w:pPr>
        <w:pStyle w:val="Heading1"/>
        <w:spacing w:after="160" w:before="400"/>
      </w:pPr>
      <w:r>
        <w:rPr>
          <w:rFonts w:ascii="Arial" w:cs="Arial" w:eastAsia="Arial" w:hAnsi="Arial"/>
          <w:b/>
          <w:bCs/>
          <w:color w:val="0F6E56"/>
          <w:sz w:val="34"/>
          <w:szCs w:val="34"/>
        </w:rPr>
        <w:t xml:space="preserve">2.  The Brief — Version History</w:t>
      </w:r>
    </w:p>
    <w:p>
      <w:pPr>
        <w:spacing w:after="80" w:before="60"/>
      </w:pPr>
      <w:r>
        <w:rPr>
          <w:rFonts w:ascii="Arial" w:cs="Arial" w:eastAsia="Arial" w:hAnsi="Arial"/>
          <w:color w:val="3A4A5A"/>
          <w:sz w:val="22"/>
          <w:szCs w:val="22"/>
        </w:rPr>
        <w:t xml:space="preserve">The forum brief evolved through four versions, each shaped directly by member feedback.</w:t>
      </w:r>
    </w:p>
    <w:p>
      <w:pPr>
        <w:spacing w:after="12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0F6E56" w:val="clear"/>
            <w:tcMar>
              <w:top w:type="dxa" w:w="70"/>
              <w:left w:type="dxa" w:w="120"/>
              <w:bottom w:type="dxa" w:w="70"/>
              <w:right w:type="dxa" w:w="120"/>
            </w:tcMar>
          </w:tcPr>
          <w:p>
            <w:r>
              <w:rPr>
                <w:rFonts w:ascii="Arial" w:cs="Arial" w:eastAsia="Arial" w:hAnsi="Arial"/>
                <w:b/>
                <w:bCs/>
                <w:color w:val="FFFFFF"/>
                <w:sz w:val="20"/>
                <w:szCs w:val="20"/>
              </w:rPr>
              <w:t xml:space="preserve">Version</w:t>
            </w:r>
          </w:p>
        </w:tc>
        <w:tc>
          <w:tcPr>
            <w:tcW w:type="dxa" w:w="7760"/>
            <w:tcBorders>
              <w:top w:val="single" w:color="CCCCCC" w:sz="1"/>
              <w:left w:val="single" w:color="CCCCCC" w:sz="1"/>
              <w:bottom w:val="single" w:color="CCCCCC" w:sz="1"/>
              <w:right w:val="single" w:color="CCCCCC" w:sz="1"/>
            </w:tcBorders>
            <w:shd w:fill="0F6E56" w:val="clear"/>
            <w:tcMar>
              <w:top w:type="dxa" w:w="70"/>
              <w:left w:type="dxa" w:w="120"/>
              <w:bottom w:type="dxa" w:w="70"/>
              <w:right w:type="dxa" w:w="120"/>
            </w:tcMar>
          </w:tcPr>
          <w:p>
            <w:r>
              <w:rPr>
                <w:rFonts w:ascii="Arial" w:cs="Arial" w:eastAsia="Arial" w:hAnsi="Arial"/>
                <w:b/>
                <w:bCs/>
                <w:color w:val="FFFFFF"/>
                <w:sz w:val="20"/>
                <w:szCs w:val="20"/>
              </w:rPr>
              <w:t xml:space="preserve">Key Development</w:t>
            </w:r>
          </w:p>
        </w:tc>
      </w:tr>
      <w:tr>
        <w:tc>
          <w:tcPr>
            <w:tcW w:type="dxa" w:w="1600"/>
            <w:tcBorders>
              <w:top w:val="single" w:color="CCCCCC" w:sz="1"/>
              <w:left w:val="single" w:color="CCCCCC" w:sz="1"/>
              <w:bottom w:val="single" w:color="CCCCCC" w:sz="1"/>
              <w:right w:val="single" w:color="CCCCCC" w:sz="1"/>
            </w:tcBorders>
            <w:shd w:fill="F7F6F3" w:val="clear"/>
            <w:tcMar>
              <w:top w:type="dxa" w:w="70"/>
              <w:left w:type="dxa" w:w="120"/>
              <w:bottom w:type="dxa" w:w="70"/>
              <w:right w:type="dxa" w:w="120"/>
            </w:tcMar>
          </w:tcPr>
          <w:p>
            <w:r>
              <w:rPr>
                <w:rFonts w:ascii="Arial" w:cs="Arial" w:eastAsia="Arial" w:hAnsi="Arial"/>
                <w:b/>
                <w:bCs/>
                <w:color w:val="3A4A5A"/>
                <w:sz w:val="20"/>
                <w:szCs w:val="20"/>
              </w:rPr>
              <w:t xml:space="preserve">V0.1</w:t>
            </w:r>
          </w:p>
        </w:tc>
        <w:tc>
          <w:tcPr>
            <w:tcW w:type="dxa" w:w="7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A4A5A"/>
                <w:sz w:val="20"/>
                <w:szCs w:val="20"/>
              </w:rPr>
              <w:t xml:space="preserve">Exploratory concept — AI Execution Governance Alliance. Outreach began with individual practitioners.</w:t>
            </w:r>
          </w:p>
        </w:tc>
      </w:tr>
      <w:tr>
        <w:tc>
          <w:tcPr>
            <w:tcW w:type="dxa" w:w="1600"/>
            <w:tcBorders>
              <w:top w:val="single" w:color="CCCCCC" w:sz="1"/>
              <w:left w:val="single" w:color="CCCCCC" w:sz="1"/>
              <w:bottom w:val="single" w:color="CCCCCC" w:sz="1"/>
              <w:right w:val="single" w:color="CCCCCC" w:sz="1"/>
            </w:tcBorders>
            <w:shd w:fill="F7F6F3" w:val="clear"/>
            <w:tcMar>
              <w:top w:type="dxa" w:w="70"/>
              <w:left w:type="dxa" w:w="120"/>
              <w:bottom w:type="dxa" w:w="70"/>
              <w:right w:type="dxa" w:w="120"/>
            </w:tcMar>
          </w:tcPr>
          <w:p>
            <w:r>
              <w:rPr>
                <w:rFonts w:ascii="Arial" w:cs="Arial" w:eastAsia="Arial" w:hAnsi="Arial"/>
                <w:b/>
                <w:bCs/>
                <w:color w:val="3A4A5A"/>
                <w:sz w:val="20"/>
                <w:szCs w:val="20"/>
              </w:rPr>
              <w:t xml:space="preserve">V0.2</w:t>
            </w:r>
          </w:p>
        </w:tc>
        <w:tc>
          <w:tcPr>
            <w:tcW w:type="dxa" w:w="7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A4A5A"/>
                <w:sz w:val="20"/>
                <w:szCs w:val="20"/>
              </w:rPr>
              <w:t xml:space="preserve">Shift from Alliance to Forum. Independence framing introduced. Neutrality positioned as the core structural commitment.</w:t>
            </w:r>
          </w:p>
        </w:tc>
      </w:tr>
      <w:tr>
        <w:tc>
          <w:tcPr>
            <w:tcW w:type="dxa" w:w="1600"/>
            <w:tcBorders>
              <w:top w:val="single" w:color="CCCCCC" w:sz="1"/>
              <w:left w:val="single" w:color="CCCCCC" w:sz="1"/>
              <w:bottom w:val="single" w:color="CCCCCC" w:sz="1"/>
              <w:right w:val="single" w:color="CCCCCC" w:sz="1"/>
            </w:tcBorders>
            <w:shd w:fill="F7F6F3" w:val="clear"/>
            <w:tcMar>
              <w:top w:type="dxa" w:w="70"/>
              <w:left w:type="dxa" w:w="120"/>
              <w:bottom w:type="dxa" w:w="70"/>
              <w:right w:type="dxa" w:w="120"/>
            </w:tcMar>
          </w:tcPr>
          <w:p>
            <w:r>
              <w:rPr>
                <w:rFonts w:ascii="Arial" w:cs="Arial" w:eastAsia="Arial" w:hAnsi="Arial"/>
                <w:b/>
                <w:bCs/>
                <w:color w:val="3A4A5A"/>
                <w:sz w:val="20"/>
                <w:szCs w:val="20"/>
              </w:rPr>
              <w:t xml:space="preserve">V0.3</w:t>
            </w:r>
          </w:p>
        </w:tc>
        <w:tc>
          <w:tcPr>
            <w:tcW w:type="dxa" w:w="7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A4A5A"/>
                <w:sz w:val="20"/>
                <w:szCs w:val="20"/>
              </w:rPr>
              <w:t xml:space="preserve">Registry added. Member attribution established. Inaugural Assembly milestone set. First outreach messages sent. Collective authority language introduced — later identified as problematic.</w:t>
            </w:r>
          </w:p>
        </w:tc>
      </w:tr>
      <w:tr>
        <w:tc>
          <w:tcPr>
            <w:tcW w:type="dxa" w:w="1600"/>
            <w:tcBorders>
              <w:top w:val="single" w:color="CCCCCC" w:sz="1"/>
              <w:left w:val="single" w:color="CCCCCC" w:sz="1"/>
              <w:bottom w:val="single" w:color="CCCCCC" w:sz="1"/>
              <w:right w:val="single" w:color="CCCCCC" w:sz="1"/>
            </w:tcBorders>
            <w:shd w:fill="F7F6F3" w:val="clear"/>
            <w:tcMar>
              <w:top w:type="dxa" w:w="70"/>
              <w:left w:type="dxa" w:w="120"/>
              <w:bottom w:type="dxa" w:w="70"/>
              <w:right w:type="dxa" w:w="120"/>
            </w:tcMar>
          </w:tcPr>
          <w:p>
            <w:r>
              <w:rPr>
                <w:rFonts w:ascii="Arial" w:cs="Arial" w:eastAsia="Arial" w:hAnsi="Arial"/>
                <w:b/>
                <w:bCs/>
                <w:color w:val="3A4A5A"/>
                <w:sz w:val="20"/>
                <w:szCs w:val="20"/>
              </w:rPr>
              <w:t xml:space="preserve">V0.4 — Final</w:t>
            </w:r>
          </w:p>
        </w:tc>
        <w:tc>
          <w:tcPr>
            <w:tcW w:type="dxa" w:w="7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A4A5A"/>
                <w:sz w:val="20"/>
                <w:szCs w:val="20"/>
              </w:rPr>
              <w:t xml:space="preserve">Four-phase approach (Saad Muzafar). Governance Transition Chain (Tim Zlomke). All collective authority and representative language removed (Frank Schouten, Saad Muzafar independently). Working session format made explicit (Harold Nunes). Attribution moved to front. Stakeholder recognition for affected publics (Frank Schouten). Observer pathway clarified. Infrastructure references updated to reflect founding-phase reality.</w:t>
            </w:r>
          </w:p>
        </w:tc>
      </w:tr>
    </w:tbl>
    <w:p>
      <w:pPr>
        <w:spacing w:after="120" w:before="80"/>
      </w:pPr>
    </w:p>
    <w:p>
      <w:pPr>
        <w:pBdr>
          <w:left w:val="single" w:color="0F6E56" w:sz="14" w:space="10"/>
        </w:pBdr>
        <w:spacing w:after="120" w:before="120"/>
        <w:ind w:left="560"/>
      </w:pPr>
      <w:r>
        <w:rPr>
          <w:rFonts w:ascii="Arial" w:cs="Arial" w:eastAsia="Arial" w:hAnsi="Arial"/>
          <w:b/>
          <w:bCs/>
          <w:i/>
          <w:iCs/>
          <w:color w:val="0F6E56"/>
          <w:sz w:val="22"/>
          <w:szCs w:val="22"/>
        </w:rPr>
        <w:t xml:space="preserve">Core principle established in V0.4: AEGF does not claim authority over the field. It creates visibility for the people building within it. — Saad Muzafar, Founding Member</w:t>
      </w:r>
    </w:p>
    <w:p>
      <w:pPr>
        <w:pBdr>
          <w:bottom w:val="single" w:color="1D9E75" w:sz="8" w:space="1"/>
        </w:pBdr>
        <w:spacing w:after="160" w:before="160"/>
      </w:pPr>
    </w:p>
    <w:p>
      <w:pPr>
        <w:pStyle w:val="Heading1"/>
        <w:spacing w:after="160" w:before="400"/>
      </w:pPr>
      <w:r>
        <w:rPr>
          <w:rFonts w:ascii="Arial" w:cs="Arial" w:eastAsia="Arial" w:hAnsi="Arial"/>
          <w:b/>
          <w:bCs/>
          <w:color w:val="0F6E56"/>
          <w:sz w:val="34"/>
          <w:szCs w:val="34"/>
        </w:rPr>
        <w:t xml:space="preserve">3.  Governance Architecture</w:t>
      </w:r>
    </w:p>
    <w:p>
      <w:pPr>
        <w:pStyle w:val="Heading2"/>
        <w:spacing w:after="100" w:before="280"/>
      </w:pPr>
      <w:r>
        <w:rPr>
          <w:rFonts w:ascii="Arial" w:cs="Arial" w:eastAsia="Arial" w:hAnsi="Arial"/>
          <w:b/>
          <w:bCs/>
          <w:color w:val="1D9E75"/>
          <w:sz w:val="26"/>
          <w:szCs w:val="26"/>
        </w:rPr>
        <w:t xml:space="preserve">3.1  The Four-Phase Approach</w:t>
      </w:r>
    </w:p>
    <w:p>
      <w:pPr>
        <w:spacing w:after="80" w:before="60"/>
      </w:pPr>
      <w:r>
        <w:rPr>
          <w:rFonts w:ascii="Arial" w:cs="Arial" w:eastAsia="Arial" w:hAnsi="Arial"/>
          <w:color w:val="3A4A5A"/>
          <w:sz w:val="22"/>
          <w:szCs w:val="22"/>
        </w:rPr>
        <w:t xml:space="preserve">Proposed by Saad Muzafar and accepted by the full circle as the operating sequence for AEGF:</w:t>
      </w:r>
    </w:p>
    <w:p>
      <w:pPr>
        <w:spacing w:after="1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0F6E56" w:val="clear"/>
            <w:tcMar>
              <w:top w:type="dxa" w:w="70"/>
              <w:left w:type="dxa" w:w="120"/>
              <w:bottom w:type="dxa" w:w="70"/>
              <w:right w:type="dxa" w:w="120"/>
            </w:tcMar>
          </w:tcPr>
          <w:p>
            <w:r>
              <w:rPr>
                <w:rFonts w:ascii="Arial" w:cs="Arial" w:eastAsia="Arial" w:hAnsi="Arial"/>
                <w:b/>
                <w:bCs/>
                <w:color w:val="FFFFFF"/>
                <w:sz w:val="20"/>
                <w:szCs w:val="20"/>
              </w:rPr>
              <w:t xml:space="preserve">Phase</w:t>
            </w:r>
          </w:p>
        </w:tc>
        <w:tc>
          <w:tcPr>
            <w:tcW w:type="dxa" w:w="7360"/>
            <w:tcBorders>
              <w:top w:val="single" w:color="CCCCCC" w:sz="1"/>
              <w:left w:val="single" w:color="CCCCCC" w:sz="1"/>
              <w:bottom w:val="single" w:color="CCCCCC" w:sz="1"/>
              <w:right w:val="single" w:color="CCCCCC" w:sz="1"/>
            </w:tcBorders>
            <w:shd w:fill="0F6E56" w:val="clear"/>
            <w:tcMar>
              <w:top w:type="dxa" w:w="70"/>
              <w:left w:type="dxa" w:w="120"/>
              <w:bottom w:type="dxa" w:w="70"/>
              <w:right w:type="dxa" w:w="120"/>
            </w:tcMar>
          </w:tcPr>
          <w:p>
            <w:r>
              <w:rPr>
                <w:rFonts w:ascii="Arial" w:cs="Arial" w:eastAsia="Arial" w:hAnsi="Arial"/>
                <w:b/>
                <w:bCs/>
                <w:color w:val="FFFFFF"/>
                <w:sz w:val="20"/>
                <w:szCs w:val="20"/>
              </w:rPr>
              <w:t xml:space="preserve">Focus</w:t>
            </w:r>
          </w:p>
        </w:tc>
      </w:tr>
      <w:tr>
        <w:tc>
          <w:tcPr>
            <w:tcW w:type="dxa" w:w="2000"/>
            <w:tcBorders>
              <w:top w:val="single" w:color="CCCCCC" w:sz="1"/>
              <w:left w:val="single" w:color="CCCCCC" w:sz="1"/>
              <w:bottom w:val="single" w:color="CCCCCC" w:sz="1"/>
              <w:right w:val="single" w:color="CCCCCC" w:sz="1"/>
            </w:tcBorders>
            <w:shd w:fill="F7F6F3" w:val="clear"/>
            <w:tcMar>
              <w:top w:type="dxa" w:w="70"/>
              <w:left w:type="dxa" w:w="120"/>
              <w:bottom w:type="dxa" w:w="70"/>
              <w:right w:type="dxa" w:w="120"/>
            </w:tcMar>
          </w:tcPr>
          <w:p>
            <w:r>
              <w:rPr>
                <w:rFonts w:ascii="Arial" w:cs="Arial" w:eastAsia="Arial" w:hAnsi="Arial"/>
                <w:b/>
                <w:bCs/>
                <w:color w:val="3A4A5A"/>
                <w:sz w:val="20"/>
                <w:szCs w:val="20"/>
              </w:rPr>
              <w:t xml:space="preserve">Phase 1 — CURRENT</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A4A5A"/>
                <w:sz w:val="20"/>
                <w:szCs w:val="20"/>
              </w:rPr>
              <w:t xml:space="preserve">Visibility and Ecosystem Mapping — Registry, member listings, session documentation</w:t>
            </w:r>
          </w:p>
        </w:tc>
      </w:tr>
      <w:tr>
        <w:tc>
          <w:tcPr>
            <w:tcW w:type="dxa" w:w="2000"/>
            <w:tcBorders>
              <w:top w:val="single" w:color="CCCCCC" w:sz="1"/>
              <w:left w:val="single" w:color="CCCCCC" w:sz="1"/>
              <w:bottom w:val="single" w:color="CCCCCC" w:sz="1"/>
              <w:right w:val="single" w:color="CCCCCC" w:sz="1"/>
            </w:tcBorders>
            <w:shd w:fill="F7F6F3" w:val="clear"/>
            <w:tcMar>
              <w:top w:type="dxa" w:w="70"/>
              <w:left w:type="dxa" w:w="120"/>
              <w:bottom w:type="dxa" w:w="70"/>
              <w:right w:type="dxa" w:w="120"/>
            </w:tcMar>
          </w:tcPr>
          <w:p>
            <w:r>
              <w:rPr>
                <w:rFonts w:ascii="Arial" w:cs="Arial" w:eastAsia="Arial" w:hAnsi="Arial"/>
                <w:b/>
                <w:bCs/>
                <w:color w:val="3A4A5A"/>
                <w:sz w:val="20"/>
                <w:szCs w:val="20"/>
              </w:rPr>
              <w:t xml:space="preserve">Phase 2</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A4A5A"/>
                <w:sz w:val="20"/>
                <w:szCs w:val="20"/>
              </w:rPr>
              <w:t xml:space="preserve">Pattern Documentation — Common questions, shared vocabulary, identified gaps</w:t>
            </w:r>
          </w:p>
        </w:tc>
      </w:tr>
      <w:tr>
        <w:tc>
          <w:tcPr>
            <w:tcW w:type="dxa" w:w="2000"/>
            <w:tcBorders>
              <w:top w:val="single" w:color="CCCCCC" w:sz="1"/>
              <w:left w:val="single" w:color="CCCCCC" w:sz="1"/>
              <w:bottom w:val="single" w:color="CCCCCC" w:sz="1"/>
              <w:right w:val="single" w:color="CCCCCC" w:sz="1"/>
            </w:tcBorders>
            <w:shd w:fill="F7F6F3" w:val="clear"/>
            <w:tcMar>
              <w:top w:type="dxa" w:w="70"/>
              <w:left w:type="dxa" w:w="120"/>
              <w:bottom w:type="dxa" w:w="70"/>
              <w:right w:type="dxa" w:w="120"/>
            </w:tcMar>
          </w:tcPr>
          <w:p>
            <w:r>
              <w:rPr>
                <w:rFonts w:ascii="Arial" w:cs="Arial" w:eastAsia="Arial" w:hAnsi="Arial"/>
                <w:b/>
                <w:bCs/>
                <w:color w:val="3A4A5A"/>
                <w:sz w:val="20"/>
                <w:szCs w:val="20"/>
              </w:rPr>
              <w:t xml:space="preserve">Phase 3</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A4A5A"/>
                <w:sz w:val="20"/>
                <w:szCs w:val="20"/>
              </w:rPr>
              <w:t xml:space="preserve">Dialogue Between Independent Approaches — Cross-member exchange, complementarity</w:t>
            </w:r>
          </w:p>
        </w:tc>
      </w:tr>
      <w:tr>
        <w:tc>
          <w:tcPr>
            <w:tcW w:type="dxa" w:w="2000"/>
            <w:tcBorders>
              <w:top w:val="single" w:color="CCCCCC" w:sz="1"/>
              <w:left w:val="single" w:color="CCCCCC" w:sz="1"/>
              <w:bottom w:val="single" w:color="CCCCCC" w:sz="1"/>
              <w:right w:val="single" w:color="CCCCCC" w:sz="1"/>
            </w:tcBorders>
            <w:shd w:fill="F7F6F3" w:val="clear"/>
            <w:tcMar>
              <w:top w:type="dxa" w:w="70"/>
              <w:left w:type="dxa" w:w="120"/>
              <w:bottom w:type="dxa" w:w="70"/>
              <w:right w:type="dxa" w:w="120"/>
            </w:tcMar>
          </w:tcPr>
          <w:p>
            <w:r>
              <w:rPr>
                <w:rFonts w:ascii="Arial" w:cs="Arial" w:eastAsia="Arial" w:hAnsi="Arial"/>
                <w:b/>
                <w:bCs/>
                <w:color w:val="3A4A5A"/>
                <w:sz w:val="20"/>
                <w:szCs w:val="20"/>
              </w:rPr>
              <w:t xml:space="preserve">Phase 4</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A4A5A"/>
                <w:sz w:val="20"/>
                <w:szCs w:val="20"/>
              </w:rPr>
              <w:t xml:space="preserve">Recommendations and Institutional Influence — Only after trust is built and members consent</w:t>
            </w:r>
          </w:p>
        </w:tc>
      </w:tr>
    </w:tbl>
    <w:p>
      <w:pPr>
        <w:spacing w:after="120" w:before="80"/>
      </w:pPr>
    </w:p>
    <w:p>
      <w:pPr>
        <w:pStyle w:val="Heading2"/>
        <w:spacing w:after="100" w:before="280"/>
      </w:pPr>
      <w:r>
        <w:rPr>
          <w:rFonts w:ascii="Arial" w:cs="Arial" w:eastAsia="Arial" w:hAnsi="Arial"/>
          <w:b/>
          <w:bCs/>
          <w:color w:val="1D9E75"/>
          <w:sz w:val="26"/>
          <w:szCs w:val="26"/>
        </w:rPr>
        <w:t xml:space="preserve">3.2  The Supermajority Governance Rule</w:t>
      </w:r>
    </w:p>
    <w:p>
      <w:pPr>
        <w:spacing w:after="80" w:before="60"/>
      </w:pPr>
      <w:r>
        <w:rPr>
          <w:rFonts w:ascii="Arial" w:cs="Arial" w:eastAsia="Arial" w:hAnsi="Arial"/>
          <w:color w:val="3A4A5A"/>
          <w:sz w:val="22"/>
          <w:szCs w:val="22"/>
        </w:rPr>
        <w:t xml:space="preserve">Proposed by Frank Schouten when offered the Guardian of Neutrality role. Frank declined the personal veto role and proposed a structural alternative, accepted by the full circle:</w:t>
      </w:r>
    </w:p>
    <w:p>
      <w:pPr>
        <w:spacing w:after="120" w:before="60"/>
      </w:pPr>
    </w:p>
    <w:p>
      <w:pPr>
        <w:pBdr>
          <w:left w:val="single" w:color="0F6E56" w:sz="14" w:space="10"/>
        </w:pBdr>
        <w:spacing w:after="120" w:before="120"/>
        <w:ind w:left="560"/>
      </w:pPr>
      <w:r>
        <w:rPr>
          <w:rFonts w:ascii="Arial" w:cs="Arial" w:eastAsia="Arial" w:hAnsi="Arial"/>
          <w:b/>
          <w:bCs/>
          <w:i/>
          <w:iCs/>
          <w:color w:val="0F6E56"/>
          <w:sz w:val="22"/>
          <w:szCs w:val="22"/>
        </w:rPr>
        <w:t xml:space="preserve">Constitutional changes, declarations, recommendations, representative statements, and institutional positions require 75% member approval. No single member holds veto authority over others. Neutrality is protected by structure, not by individual. — Frank Schouten, Founding Member</w:t>
      </w:r>
    </w:p>
    <w:p>
      <w:pPr>
        <w:spacing w:after="120" w:before="80"/>
      </w:pPr>
    </w:p>
    <w:p>
      <w:pPr>
        <w:pStyle w:val="Heading2"/>
        <w:spacing w:after="100" w:before="280"/>
      </w:pPr>
      <w:r>
        <w:rPr>
          <w:rFonts w:ascii="Arial" w:cs="Arial" w:eastAsia="Arial" w:hAnsi="Arial"/>
          <w:b/>
          <w:bCs/>
          <w:color w:val="1D9E75"/>
          <w:sz w:val="26"/>
          <w:szCs w:val="26"/>
        </w:rPr>
        <w:t xml:space="preserve">3.3  The Governance Transition Chain</w:t>
      </w:r>
    </w:p>
    <w:p>
      <w:pPr>
        <w:spacing w:after="80" w:before="60"/>
      </w:pPr>
      <w:r>
        <w:rPr>
          <w:rFonts w:ascii="Arial" w:cs="Arial" w:eastAsia="Arial" w:hAnsi="Arial"/>
          <w:color w:val="3A4A5A"/>
          <w:sz w:val="22"/>
          <w:szCs w:val="22"/>
        </w:rPr>
        <w:t xml:space="preserve">Developed by Tim Zlomke and adopted as the shared vocabulary of the forum:</w:t>
      </w:r>
    </w:p>
    <w:p>
      <w:pPr>
        <w:spacing w:after="120" w:before="80"/>
      </w:pPr>
    </w:p>
    <w:p>
      <w:pPr>
        <w:spacing w:after="80" w:before="80"/>
        <w:jc w:val="center"/>
      </w:pPr>
      <w:r>
        <w:rPr>
          <w:rFonts w:ascii="Arial" w:cs="Arial" w:eastAsia="Arial" w:hAnsi="Arial"/>
          <w:b/>
          <w:bCs/>
          <w:color w:val="0F6E56"/>
          <w:sz w:val="22"/>
          <w:szCs w:val="22"/>
        </w:rPr>
        <w:t xml:space="preserve">EVIDENCE  →  TRUST  →  AUTHORITY  →  PERMISSION  →  ACTION  →  CONSEQUENCE</w:t>
      </w:r>
    </w:p>
    <w:p>
      <w:pPr>
        <w:spacing w:after="12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0F6E56" w:val="clear"/>
            <w:tcMar>
              <w:top w:type="dxa" w:w="70"/>
              <w:left w:type="dxa" w:w="120"/>
              <w:bottom w:type="dxa" w:w="70"/>
              <w:right w:type="dxa" w:w="120"/>
            </w:tcMar>
          </w:tcPr>
          <w:p>
            <w:r>
              <w:rPr>
                <w:rFonts w:ascii="Arial" w:cs="Arial" w:eastAsia="Arial" w:hAnsi="Arial"/>
                <w:b/>
                <w:bCs/>
                <w:color w:val="FFFFFF"/>
                <w:sz w:val="20"/>
                <w:szCs w:val="20"/>
              </w:rPr>
              <w:t xml:space="preserve">Transition</w:t>
            </w:r>
          </w:p>
        </w:tc>
        <w:tc>
          <w:tcPr>
            <w:tcW w:type="dxa" w:w="6960"/>
            <w:tcBorders>
              <w:top w:val="single" w:color="CCCCCC" w:sz="1"/>
              <w:left w:val="single" w:color="CCCCCC" w:sz="1"/>
              <w:bottom w:val="single" w:color="CCCCCC" w:sz="1"/>
              <w:right w:val="single" w:color="CCCCCC" w:sz="1"/>
            </w:tcBorders>
            <w:shd w:fill="0F6E56" w:val="clear"/>
            <w:tcMar>
              <w:top w:type="dxa" w:w="70"/>
              <w:left w:type="dxa" w:w="120"/>
              <w:bottom w:type="dxa" w:w="70"/>
              <w:right w:type="dxa" w:w="120"/>
            </w:tcMar>
          </w:tcPr>
          <w:p>
            <w:r>
              <w:rPr>
                <w:rFonts w:ascii="Arial" w:cs="Arial" w:eastAsia="Arial" w:hAnsi="Arial"/>
                <w:b/>
                <w:bCs/>
                <w:color w:val="FFFFFF"/>
                <w:sz w:val="20"/>
                <w:szCs w:val="20"/>
              </w:rPr>
              <w:t xml:space="preserve">Governing Question</w:t>
            </w:r>
          </w:p>
        </w:tc>
      </w:tr>
      <w:tr>
        <w:tc>
          <w:tcPr>
            <w:tcW w:type="dxa" w:w="2400"/>
            <w:tcBorders>
              <w:top w:val="single" w:color="CCCCCC" w:sz="1"/>
              <w:left w:val="single" w:color="CCCCCC" w:sz="1"/>
              <w:bottom w:val="single" w:color="CCCCCC" w:sz="1"/>
              <w:right w:val="single" w:color="CCCCCC" w:sz="1"/>
            </w:tcBorders>
            <w:shd w:fill="F7F6F3" w:val="clear"/>
            <w:tcMar>
              <w:top w:type="dxa" w:w="70"/>
              <w:left w:type="dxa" w:w="120"/>
              <w:bottom w:type="dxa" w:w="70"/>
              <w:right w:type="dxa" w:w="120"/>
            </w:tcMar>
          </w:tcPr>
          <w:p>
            <w:r>
              <w:rPr>
                <w:rFonts w:ascii="Arial" w:cs="Arial" w:eastAsia="Arial" w:hAnsi="Arial"/>
                <w:b/>
                <w:bCs/>
                <w:color w:val="3A4A5A"/>
                <w:sz w:val="20"/>
                <w:szCs w:val="20"/>
              </w:rPr>
              <w:t xml:space="preserve">Evidence → Trust</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A4A5A"/>
                <w:sz w:val="20"/>
                <w:szCs w:val="20"/>
              </w:rPr>
              <w:t xml:space="preserve">How does raw information become trusted governing judgment?</w:t>
            </w:r>
          </w:p>
        </w:tc>
      </w:tr>
      <w:tr>
        <w:tc>
          <w:tcPr>
            <w:tcW w:type="dxa" w:w="2400"/>
            <w:tcBorders>
              <w:top w:val="single" w:color="CCCCCC" w:sz="1"/>
              <w:left w:val="single" w:color="CCCCCC" w:sz="1"/>
              <w:bottom w:val="single" w:color="CCCCCC" w:sz="1"/>
              <w:right w:val="single" w:color="CCCCCC" w:sz="1"/>
            </w:tcBorders>
            <w:shd w:fill="F7F6F3" w:val="clear"/>
            <w:tcMar>
              <w:top w:type="dxa" w:w="70"/>
              <w:left w:type="dxa" w:w="120"/>
              <w:bottom w:type="dxa" w:w="70"/>
              <w:right w:type="dxa" w:w="120"/>
            </w:tcMar>
          </w:tcPr>
          <w:p>
            <w:r>
              <w:rPr>
                <w:rFonts w:ascii="Arial" w:cs="Arial" w:eastAsia="Arial" w:hAnsi="Arial"/>
                <w:b/>
                <w:bCs/>
                <w:color w:val="3A4A5A"/>
                <w:sz w:val="20"/>
                <w:szCs w:val="20"/>
              </w:rPr>
              <w:t xml:space="preserve">Trust → Authority</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A4A5A"/>
                <w:sz w:val="20"/>
                <w:szCs w:val="20"/>
              </w:rPr>
              <w:t xml:space="preserve">How do trusted sources become authorised decision-makers? (Identified by Tim Zlomke as the least governed and most consequential transition)</w:t>
            </w:r>
          </w:p>
        </w:tc>
      </w:tr>
      <w:tr>
        <w:tc>
          <w:tcPr>
            <w:tcW w:type="dxa" w:w="2400"/>
            <w:tcBorders>
              <w:top w:val="single" w:color="CCCCCC" w:sz="1"/>
              <w:left w:val="single" w:color="CCCCCC" w:sz="1"/>
              <w:bottom w:val="single" w:color="CCCCCC" w:sz="1"/>
              <w:right w:val="single" w:color="CCCCCC" w:sz="1"/>
            </w:tcBorders>
            <w:shd w:fill="F7F6F3" w:val="clear"/>
            <w:tcMar>
              <w:top w:type="dxa" w:w="70"/>
              <w:left w:type="dxa" w:w="120"/>
              <w:bottom w:type="dxa" w:w="70"/>
              <w:right w:type="dxa" w:w="120"/>
            </w:tcMar>
          </w:tcPr>
          <w:p>
            <w:r>
              <w:rPr>
                <w:rFonts w:ascii="Arial" w:cs="Arial" w:eastAsia="Arial" w:hAnsi="Arial"/>
                <w:b/>
                <w:bCs/>
                <w:color w:val="3A4A5A"/>
                <w:sz w:val="20"/>
                <w:szCs w:val="20"/>
              </w:rPr>
              <w:t xml:space="preserve">Authority → Permission</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A4A5A"/>
                <w:sz w:val="20"/>
                <w:szCs w:val="20"/>
              </w:rPr>
              <w:t xml:space="preserve">How does authority translate into specific allowed actions?</w:t>
            </w:r>
          </w:p>
        </w:tc>
      </w:tr>
      <w:tr>
        <w:tc>
          <w:tcPr>
            <w:tcW w:type="dxa" w:w="2400"/>
            <w:tcBorders>
              <w:top w:val="single" w:color="CCCCCC" w:sz="1"/>
              <w:left w:val="single" w:color="CCCCCC" w:sz="1"/>
              <w:bottom w:val="single" w:color="CCCCCC" w:sz="1"/>
              <w:right w:val="single" w:color="CCCCCC" w:sz="1"/>
            </w:tcBorders>
            <w:shd w:fill="F7F6F3" w:val="clear"/>
            <w:tcMar>
              <w:top w:type="dxa" w:w="70"/>
              <w:left w:type="dxa" w:w="120"/>
              <w:bottom w:type="dxa" w:w="70"/>
              <w:right w:type="dxa" w:w="120"/>
            </w:tcMar>
          </w:tcPr>
          <w:p>
            <w:r>
              <w:rPr>
                <w:rFonts w:ascii="Arial" w:cs="Arial" w:eastAsia="Arial" w:hAnsi="Arial"/>
                <w:b/>
                <w:bCs/>
                <w:color w:val="3A4A5A"/>
                <w:sz w:val="20"/>
                <w:szCs w:val="20"/>
              </w:rPr>
              <w:t xml:space="preserve">Permission → Action</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A4A5A"/>
                <w:sz w:val="20"/>
                <w:szCs w:val="20"/>
              </w:rPr>
              <w:t xml:space="preserve">How are permissions enforced at the moment of execution?</w:t>
            </w:r>
          </w:p>
        </w:tc>
      </w:tr>
      <w:tr>
        <w:tc>
          <w:tcPr>
            <w:tcW w:type="dxa" w:w="2400"/>
            <w:tcBorders>
              <w:top w:val="single" w:color="CCCCCC" w:sz="1"/>
              <w:left w:val="single" w:color="CCCCCC" w:sz="1"/>
              <w:bottom w:val="single" w:color="CCCCCC" w:sz="1"/>
              <w:right w:val="single" w:color="CCCCCC" w:sz="1"/>
            </w:tcBorders>
            <w:shd w:fill="F7F6F3" w:val="clear"/>
            <w:tcMar>
              <w:top w:type="dxa" w:w="70"/>
              <w:left w:type="dxa" w:w="120"/>
              <w:bottom w:type="dxa" w:w="70"/>
              <w:right w:type="dxa" w:w="120"/>
            </w:tcMar>
          </w:tcPr>
          <w:p>
            <w:r>
              <w:rPr>
                <w:rFonts w:ascii="Arial" w:cs="Arial" w:eastAsia="Arial" w:hAnsi="Arial"/>
                <w:b/>
                <w:bCs/>
                <w:color w:val="3A4A5A"/>
                <w:sz w:val="20"/>
                <w:szCs w:val="20"/>
              </w:rPr>
              <w:t xml:space="preserve">Action → Consequence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A4A5A"/>
                <w:sz w:val="20"/>
                <w:szCs w:val="20"/>
              </w:rPr>
              <w:t xml:space="preserve">How are actions traced to outcomes and accountability?</w:t>
            </w:r>
          </w:p>
        </w:tc>
      </w:tr>
    </w:tbl>
    <w:p>
      <w:pPr>
        <w:spacing w:after="120" w:before="80"/>
      </w:pPr>
    </w:p>
    <w:p>
      <w:pPr>
        <w:pBdr>
          <w:left w:val="single" w:color="0F6E56" w:sz="14" w:space="10"/>
        </w:pBdr>
        <w:spacing w:after="120" w:before="120"/>
        <w:ind w:left="560"/>
      </w:pPr>
      <w:r>
        <w:rPr>
          <w:rFonts w:ascii="Arial" w:cs="Arial" w:eastAsia="Arial" w:hAnsi="Arial"/>
          <w:b/>
          <w:bCs/>
          <w:i/>
          <w:iCs/>
          <w:color w:val="0F6E56"/>
          <w:sz w:val="22"/>
          <w:szCs w:val="22"/>
        </w:rPr>
        <w:t xml:space="preserve">Many governance failures are not failures of execution but failures of authority formation. Execution simply reveals them. — Tim Zlomke, Intellectual Framework Lead</w:t>
      </w:r>
    </w:p>
    <w:p>
      <w:pPr>
        <w:pBdr>
          <w:bottom w:val="single" w:color="1D9E75" w:sz="8" w:space="1"/>
        </w:pBdr>
        <w:spacing w:after="160" w:before="160"/>
      </w:pPr>
    </w:p>
    <w:p>
      <w:pPr>
        <w:pStyle w:val="Heading1"/>
        <w:spacing w:after="160" w:before="400"/>
      </w:pPr>
      <w:r>
        <w:rPr>
          <w:rFonts w:ascii="Arial" w:cs="Arial" w:eastAsia="Arial" w:hAnsi="Arial"/>
          <w:b/>
          <w:bCs/>
          <w:color w:val="0F6E56"/>
          <w:sz w:val="34"/>
          <w:szCs w:val="34"/>
        </w:rPr>
        <w:t xml:space="preserve">4.  The Interim Steering Committee</w:t>
      </w:r>
    </w:p>
    <w:p>
      <w:pPr>
        <w:spacing w:after="80" w:before="60"/>
      </w:pPr>
      <w:r>
        <w:rPr>
          <w:rFonts w:ascii="Arial" w:cs="Arial" w:eastAsia="Arial" w:hAnsi="Arial"/>
          <w:color w:val="3A4A5A"/>
          <w:sz w:val="22"/>
          <w:szCs w:val="22"/>
        </w:rPr>
        <w:t xml:space="preserve">The interim Steering Committee was assembled through individual role designation messages, each grounded in demonstrated contribution rather than invitation alone. Every role mandate is recorded in the member's own words.</w:t>
      </w:r>
    </w:p>
    <w:p>
      <w:pPr>
        <w:spacing w:after="12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F6E56" w:val="clear"/>
            <w:tcMar>
              <w:top w:type="dxa" w:w="70"/>
              <w:left w:type="dxa" w:w="120"/>
              <w:bottom w:type="dxa" w:w="70"/>
              <w:right w:type="dxa" w:w="120"/>
            </w:tcMar>
          </w:tcPr>
          <w:p>
            <w:r>
              <w:rPr>
                <w:rFonts w:ascii="Arial" w:cs="Arial" w:eastAsia="Arial" w:hAnsi="Arial"/>
                <w:b/>
                <w:bCs/>
                <w:color w:val="FFFFFF"/>
                <w:sz w:val="20"/>
                <w:szCs w:val="20"/>
              </w:rPr>
              <w:t xml:space="preserve">Member</w:t>
            </w:r>
          </w:p>
        </w:tc>
        <w:tc>
          <w:tcPr>
            <w:tcW w:type="dxa" w:w="6560"/>
            <w:tcBorders>
              <w:top w:val="single" w:color="CCCCCC" w:sz="1"/>
              <w:left w:val="single" w:color="CCCCCC" w:sz="1"/>
              <w:bottom w:val="single" w:color="CCCCCC" w:sz="1"/>
              <w:right w:val="single" w:color="CCCCCC" w:sz="1"/>
            </w:tcBorders>
            <w:shd w:fill="0F6E56" w:val="clear"/>
            <w:tcMar>
              <w:top w:type="dxa" w:w="70"/>
              <w:left w:type="dxa" w:w="120"/>
              <w:bottom w:type="dxa" w:w="70"/>
              <w:right w:type="dxa" w:w="120"/>
            </w:tcMar>
          </w:tcPr>
          <w:p>
            <w:r>
              <w:rPr>
                <w:rFonts w:ascii="Arial" w:cs="Arial" w:eastAsia="Arial" w:hAnsi="Arial"/>
                <w:b/>
                <w:bCs/>
                <w:color w:val="FFFFFF"/>
                <w:sz w:val="20"/>
                <w:szCs w:val="20"/>
              </w:rPr>
              <w:t xml:space="preserve">Role — Mandate</w:t>
            </w:r>
          </w:p>
        </w:tc>
      </w:tr>
      <w:tr>
        <w:tc>
          <w:tcPr>
            <w:tcW w:type="dxa" w:w="2800"/>
            <w:tcBorders>
              <w:top w:val="single" w:color="CCCCCC" w:sz="1"/>
              <w:left w:val="single" w:color="CCCCCC" w:sz="1"/>
              <w:bottom w:val="single" w:color="CCCCCC" w:sz="1"/>
              <w:right w:val="single" w:color="CCCCCC" w:sz="1"/>
            </w:tcBorders>
            <w:shd w:fill="F7F6F3" w:val="clear"/>
            <w:tcMar>
              <w:top w:type="dxa" w:w="70"/>
              <w:left w:type="dxa" w:w="120"/>
              <w:bottom w:type="dxa" w:w="70"/>
              <w:right w:type="dxa" w:w="120"/>
            </w:tcMar>
          </w:tcPr>
          <w:p>
            <w:r>
              <w:rPr>
                <w:rFonts w:ascii="Arial" w:cs="Arial" w:eastAsia="Arial" w:hAnsi="Arial"/>
                <w:b/>
                <w:bCs/>
                <w:color w:val="3A4A5A"/>
                <w:sz w:val="20"/>
                <w:szCs w:val="20"/>
              </w:rPr>
              <w:t xml:space="preserve">Raheem Larry Babatunde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A4A5A"/>
                <w:sz w:val="20"/>
                <w:szCs w:val="20"/>
              </w:rPr>
              <w:t xml:space="preserve">Convener — Holds the circle together, chairs the Assembly, represents the forum externally. Not the owner. The convener.</w:t>
            </w:r>
          </w:p>
        </w:tc>
      </w:tr>
      <w:tr>
        <w:tc>
          <w:tcPr>
            <w:tcW w:type="dxa" w:w="2800"/>
            <w:tcBorders>
              <w:top w:val="single" w:color="CCCCCC" w:sz="1"/>
              <w:left w:val="single" w:color="CCCCCC" w:sz="1"/>
              <w:bottom w:val="single" w:color="CCCCCC" w:sz="1"/>
              <w:right w:val="single" w:color="CCCCCC" w:sz="1"/>
            </w:tcBorders>
            <w:shd w:fill="F7F6F3" w:val="clear"/>
            <w:tcMar>
              <w:top w:type="dxa" w:w="70"/>
              <w:left w:type="dxa" w:w="120"/>
              <w:bottom w:type="dxa" w:w="70"/>
              <w:right w:type="dxa" w:w="120"/>
            </w:tcMar>
          </w:tcPr>
          <w:p>
            <w:r>
              <w:rPr>
                <w:rFonts w:ascii="Arial" w:cs="Arial" w:eastAsia="Arial" w:hAnsi="Arial"/>
                <w:b/>
                <w:bCs/>
                <w:color w:val="3A4A5A"/>
                <w:sz w:val="20"/>
                <w:szCs w:val="20"/>
              </w:rPr>
              <w:t xml:space="preserve">Tim Zlomke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A4A5A"/>
                <w:sz w:val="20"/>
                <w:szCs w:val="20"/>
              </w:rPr>
              <w:t xml:space="preserve">Intellectual Framework Lead — "Stewarding the framework as a neutral and evolving lens, not as an authority over the work of others, nor as a mechanism for driving convergence toward any particular architecture."</w:t>
            </w:r>
          </w:p>
        </w:tc>
      </w:tr>
      <w:tr>
        <w:tc>
          <w:tcPr>
            <w:tcW w:type="dxa" w:w="2800"/>
            <w:tcBorders>
              <w:top w:val="single" w:color="CCCCCC" w:sz="1"/>
              <w:left w:val="single" w:color="CCCCCC" w:sz="1"/>
              <w:bottom w:val="single" w:color="CCCCCC" w:sz="1"/>
              <w:right w:val="single" w:color="CCCCCC" w:sz="1"/>
            </w:tcBorders>
            <w:shd w:fill="F7F6F3" w:val="clear"/>
            <w:tcMar>
              <w:top w:type="dxa" w:w="70"/>
              <w:left w:type="dxa" w:w="120"/>
              <w:bottom w:type="dxa" w:w="70"/>
              <w:right w:type="dxa" w:w="120"/>
            </w:tcMar>
          </w:tcPr>
          <w:p>
            <w:r>
              <w:rPr>
                <w:rFonts w:ascii="Arial" w:cs="Arial" w:eastAsia="Arial" w:hAnsi="Arial"/>
                <w:b/>
                <w:bCs/>
                <w:color w:val="3A4A5A"/>
                <w:sz w:val="20"/>
                <w:szCs w:val="20"/>
              </w:rPr>
              <w:t xml:space="preserve">Arvind SR</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A4A5A"/>
                <w:sz w:val="20"/>
                <w:szCs w:val="20"/>
              </w:rPr>
              <w:t xml:space="preserve">Enterprise Adoption Lead — "Technical governance mechanisms must coexist with enterprise architecture, operating models, decision structures, accountability frameworks, and organisational realities if they are to achieve meaningful adoption."</w:t>
            </w:r>
          </w:p>
        </w:tc>
      </w:tr>
      <w:tr>
        <w:tc>
          <w:tcPr>
            <w:tcW w:type="dxa" w:w="2800"/>
            <w:tcBorders>
              <w:top w:val="single" w:color="CCCCCC" w:sz="1"/>
              <w:left w:val="single" w:color="CCCCCC" w:sz="1"/>
              <w:bottom w:val="single" w:color="CCCCCC" w:sz="1"/>
              <w:right w:val="single" w:color="CCCCCC" w:sz="1"/>
            </w:tcBorders>
            <w:shd w:fill="F7F6F3" w:val="clear"/>
            <w:tcMar>
              <w:top w:type="dxa" w:w="70"/>
              <w:left w:type="dxa" w:w="120"/>
              <w:bottom w:type="dxa" w:w="70"/>
              <w:right w:type="dxa" w:w="120"/>
            </w:tcMar>
          </w:tcPr>
          <w:p>
            <w:r>
              <w:rPr>
                <w:rFonts w:ascii="Arial" w:cs="Arial" w:eastAsia="Arial" w:hAnsi="Arial"/>
                <w:b/>
                <w:bCs/>
                <w:color w:val="3A4A5A"/>
                <w:sz w:val="20"/>
                <w:szCs w:val="20"/>
              </w:rPr>
              <w:t xml:space="preserve">Harold Nunes (OMNIX QUANTUM)</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A4A5A"/>
                <w:sz w:val="20"/>
                <w:szCs w:val="20"/>
              </w:rPr>
              <w:t xml:space="preserve">Technical Standards Lead — "If something is technically overclaimed or imprecise, I will flag it. That is the standard the work deserves."</w:t>
            </w:r>
          </w:p>
        </w:tc>
      </w:tr>
      <w:tr>
        <w:tc>
          <w:tcPr>
            <w:tcW w:type="dxa" w:w="2800"/>
            <w:tcBorders>
              <w:top w:val="single" w:color="CCCCCC" w:sz="1"/>
              <w:left w:val="single" w:color="CCCCCC" w:sz="1"/>
              <w:bottom w:val="single" w:color="CCCCCC" w:sz="1"/>
              <w:right w:val="single" w:color="CCCCCC" w:sz="1"/>
            </w:tcBorders>
            <w:shd w:fill="F7F6F3" w:val="clear"/>
            <w:tcMar>
              <w:top w:type="dxa" w:w="70"/>
              <w:left w:type="dxa" w:w="120"/>
              <w:bottom w:type="dxa" w:w="70"/>
              <w:right w:type="dxa" w:w="120"/>
            </w:tcMar>
          </w:tcPr>
          <w:p>
            <w:r>
              <w:rPr>
                <w:rFonts w:ascii="Arial" w:cs="Arial" w:eastAsia="Arial" w:hAnsi="Arial"/>
                <w:b/>
                <w:bCs/>
                <w:color w:val="3A4A5A"/>
                <w:sz w:val="20"/>
                <w:szCs w:val="20"/>
              </w:rPr>
              <w:t xml:space="preserve">Dani Danwin (TrustLayers)</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A4A5A"/>
                <w:sz w:val="20"/>
                <w:szCs w:val="20"/>
              </w:rPr>
              <w:t xml:space="preserve">Registry Steward — "Stewardship rather than authority — ensuring every contribution is represented faithfully, in the member's own words."</w:t>
            </w:r>
          </w:p>
        </w:tc>
      </w:tr>
      <w:tr>
        <w:tc>
          <w:tcPr>
            <w:tcW w:type="dxa" w:w="2800"/>
            <w:tcBorders>
              <w:top w:val="single" w:color="CCCCCC" w:sz="1"/>
              <w:left w:val="single" w:color="CCCCCC" w:sz="1"/>
              <w:bottom w:val="single" w:color="CCCCCC" w:sz="1"/>
              <w:right w:val="single" w:color="CCCCCC" w:sz="1"/>
            </w:tcBorders>
            <w:shd w:fill="F7F6F3" w:val="clear"/>
            <w:tcMar>
              <w:top w:type="dxa" w:w="70"/>
              <w:left w:type="dxa" w:w="120"/>
              <w:bottom w:type="dxa" w:w="70"/>
              <w:right w:type="dxa" w:w="120"/>
            </w:tcMar>
          </w:tcPr>
          <w:p>
            <w:r>
              <w:rPr>
                <w:rFonts w:ascii="Arial" w:cs="Arial" w:eastAsia="Arial" w:hAnsi="Arial"/>
                <w:b/>
                <w:bCs/>
                <w:color w:val="3A4A5A"/>
                <w:sz w:val="20"/>
                <w:szCs w:val="20"/>
              </w:rPr>
              <w:t xml:space="preserve">Frank Schouten</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A4A5A"/>
                <w:sz w:val="20"/>
                <w:szCs w:val="20"/>
              </w:rPr>
              <w:t xml:space="preserve">Founding Member, Structural Governance — Declined personal veto role. Proposed and established the 75% supermajority governance rule.</w:t>
            </w:r>
          </w:p>
        </w:tc>
      </w:tr>
      <w:tr>
        <w:tc>
          <w:tcPr>
            <w:tcW w:type="dxa" w:w="2800"/>
            <w:tcBorders>
              <w:top w:val="single" w:color="CCCCCC" w:sz="1"/>
              <w:left w:val="single" w:color="CCCCCC" w:sz="1"/>
              <w:bottom w:val="single" w:color="CCCCCC" w:sz="1"/>
              <w:right w:val="single" w:color="CCCCCC" w:sz="1"/>
            </w:tcBorders>
            <w:shd w:fill="F7F6F3" w:val="clear"/>
            <w:tcMar>
              <w:top w:type="dxa" w:w="70"/>
              <w:left w:type="dxa" w:w="120"/>
              <w:bottom w:type="dxa" w:w="70"/>
              <w:right w:type="dxa" w:w="120"/>
            </w:tcMar>
          </w:tcPr>
          <w:p>
            <w:r>
              <w:rPr>
                <w:rFonts w:ascii="Arial" w:cs="Arial" w:eastAsia="Arial" w:hAnsi="Arial"/>
                <w:b/>
                <w:bCs/>
                <w:color w:val="3A4A5A"/>
                <w:sz w:val="20"/>
                <w:szCs w:val="20"/>
              </w:rPr>
              <w:t xml:space="preserve">Saad Muzafar</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A4A5A"/>
                <w:sz w:val="20"/>
                <w:szCs w:val="20"/>
              </w:rPr>
              <w:t xml:space="preserve">Session Architect Phase 1 — Designed Session 01 structure, contribution format, and compilation principle. Steering Committee seat confirmed after Session 01 closes.</w:t>
            </w:r>
          </w:p>
        </w:tc>
      </w:tr>
      <w:tr>
        <w:tc>
          <w:tcPr>
            <w:tcW w:type="dxa" w:w="2800"/>
            <w:tcBorders>
              <w:top w:val="single" w:color="CCCCCC" w:sz="1"/>
              <w:left w:val="single" w:color="CCCCCC" w:sz="1"/>
              <w:bottom w:val="single" w:color="CCCCCC" w:sz="1"/>
              <w:right w:val="single" w:color="CCCCCC" w:sz="1"/>
            </w:tcBorders>
            <w:shd w:fill="F7F6F3" w:val="clear"/>
            <w:tcMar>
              <w:top w:type="dxa" w:w="70"/>
              <w:left w:type="dxa" w:w="120"/>
              <w:bottom w:type="dxa" w:w="70"/>
              <w:right w:type="dxa" w:w="120"/>
            </w:tcMar>
          </w:tcPr>
          <w:p>
            <w:r>
              <w:rPr>
                <w:rFonts w:ascii="Arial" w:cs="Arial" w:eastAsia="Arial" w:hAnsi="Arial"/>
                <w:b/>
                <w:bCs/>
                <w:color w:val="3A4A5A"/>
                <w:sz w:val="20"/>
                <w:szCs w:val="20"/>
              </w:rPr>
              <w:t xml:space="preserve">Syeda Beenish Fatima (MaqasidAI)</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A4A5A"/>
                <w:sz w:val="20"/>
                <w:szCs w:val="20"/>
              </w:rPr>
              <w:t xml:space="preserve">Values and Context Governance Lead — Accepted with three binding conditions: review not production, sign-off required before any output carries her name, participation covers MaqasidAI only.</w:t>
            </w:r>
          </w:p>
        </w:tc>
      </w:tr>
    </w:tbl>
    <w:p>
      <w:pPr>
        <w:pBdr>
          <w:bottom w:val="single" w:color="1D9E75" w:sz="8" w:space="1"/>
        </w:pBdr>
        <w:spacing w:after="160" w:before="160"/>
      </w:pPr>
    </w:p>
    <w:p>
      <w:pPr>
        <w:pStyle w:val="Heading1"/>
        <w:spacing w:after="160" w:before="400"/>
      </w:pPr>
      <w:r>
        <w:rPr>
          <w:rFonts w:ascii="Arial" w:cs="Arial" w:eastAsia="Arial" w:hAnsi="Arial"/>
          <w:b/>
          <w:bCs/>
          <w:color w:val="0F6E56"/>
          <w:sz w:val="34"/>
          <w:szCs w:val="34"/>
        </w:rPr>
        <w:t xml:space="preserve">5.  The Founding Circle — Complete Member Record</w:t>
      </w:r>
    </w:p>
    <w:p>
      <w:pPr>
        <w:spacing w:after="80" w:before="60"/>
      </w:pPr>
      <w:r>
        <w:rPr>
          <w:rFonts w:ascii="Arial" w:cs="Arial" w:eastAsia="Arial" w:hAnsi="Arial"/>
          <w:color w:val="3A4A5A"/>
          <w:sz w:val="22"/>
          <w:szCs w:val="22"/>
        </w:rPr>
        <w:t xml:space="preserve">Every confirmed founding member, their organisation, their domain, their Registry submission status, and their key contribution to the forum record.</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0F6E56" w:val="clear"/>
            <w:tcMar>
              <w:top w:type="dxa" w:w="80"/>
              <w:left w:type="dxa" w:w="140"/>
              <w:bottom w:type="dxa" w:w="80"/>
              <w:right w:type="dxa" w:w="140"/>
            </w:tcMar>
          </w:tcPr>
          <w:p>
            <w:r>
              <w:rPr>
                <w:rFonts w:ascii="Arial" w:cs="Arial" w:eastAsia="Arial" w:hAnsi="Arial"/>
                <w:b/>
                <w:bCs/>
                <w:color w:val="FFFFFF"/>
                <w:sz w:val="22"/>
                <w:szCs w:val="22"/>
              </w:rPr>
              <w:t xml:space="preserve">Dani Danwin  ·  TrustLayers</w:t>
            </w:r>
          </w:p>
        </w:tc>
      </w:tr>
      <w:tr>
        <w:tc>
          <w:tcPr>
            <w:tcW w:type="dxa" w:w="2800"/>
            <w:tcBorders>
              <w:top w:val="single" w:color="CCCCCC" w:sz="1"/>
              <w:left w:val="single" w:color="CCCCCC" w:sz="1"/>
              <w:bottom w:val="single" w:color="CCCCCC" w:sz="1"/>
              <w:right w:val="single" w:color="CCCCCC" w:sz="1"/>
            </w:tcBorders>
            <w:shd w:fill="F7F6F3" w:val="clear"/>
            <w:tcMar>
              <w:top w:type="dxa" w:w="60"/>
              <w:left w:type="dxa" w:w="120"/>
              <w:bottom w:type="dxa" w:w="60"/>
              <w:right w:type="dxa" w:w="120"/>
            </w:tcMar>
          </w:tcPr>
          <w:p>
            <w:r>
              <w:rPr>
                <w:rFonts w:ascii="Arial" w:cs="Arial" w:eastAsia="Arial" w:hAnsi="Arial"/>
                <w:b/>
                <w:bCs/>
                <w:color w:val="3A4A5A"/>
                <w:sz w:val="20"/>
                <w:szCs w:val="20"/>
              </w:rPr>
              <w:t xml:space="preserve">Role</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A4A5A"/>
                <w:sz w:val="20"/>
                <w:szCs w:val="20"/>
              </w:rPr>
              <w:t xml:space="preserve">Registry Steward — Interim Steering Committee</w:t>
            </w:r>
          </w:p>
        </w:tc>
      </w:tr>
      <w:tr>
        <w:tc>
          <w:tcPr>
            <w:tcW w:type="dxa" w:w="2800"/>
            <w:tcBorders>
              <w:top w:val="single" w:color="CCCCCC" w:sz="1"/>
              <w:left w:val="single" w:color="CCCCCC" w:sz="1"/>
              <w:bottom w:val="single" w:color="CCCCCC" w:sz="1"/>
              <w:right w:val="single" w:color="CCCCCC" w:sz="1"/>
            </w:tcBorders>
            <w:shd w:fill="F7F6F3" w:val="clear"/>
            <w:tcMar>
              <w:top w:type="dxa" w:w="60"/>
              <w:left w:type="dxa" w:w="120"/>
              <w:bottom w:type="dxa" w:w="60"/>
              <w:right w:type="dxa" w:w="120"/>
            </w:tcMar>
          </w:tcPr>
          <w:p>
            <w:r>
              <w:rPr>
                <w:rFonts w:ascii="Arial" w:cs="Arial" w:eastAsia="Arial" w:hAnsi="Arial"/>
                <w:b/>
                <w:bCs/>
                <w:color w:val="3A4A5A"/>
                <w:sz w:val="20"/>
                <w:szCs w:val="20"/>
              </w:rPr>
              <w:t xml:space="preserve">Status</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A4A5A"/>
                <w:sz w:val="20"/>
                <w:szCs w:val="20"/>
              </w:rPr>
              <w:t xml:space="preserve">Confirmed — Registry submitted — Session contribution submitted</w:t>
            </w:r>
          </w:p>
        </w:tc>
      </w:tr>
      <w:tr>
        <w:tc>
          <w:tcPr>
            <w:tcW w:type="dxa" w:w="2800"/>
            <w:tcBorders>
              <w:top w:val="single" w:color="CCCCCC" w:sz="1"/>
              <w:left w:val="single" w:color="CCCCCC" w:sz="1"/>
              <w:bottom w:val="single" w:color="CCCCCC" w:sz="1"/>
              <w:right w:val="single" w:color="CCCCCC" w:sz="1"/>
            </w:tcBorders>
            <w:shd w:fill="F7F6F3" w:val="clear"/>
            <w:tcMar>
              <w:top w:type="dxa" w:w="60"/>
              <w:left w:type="dxa" w:w="120"/>
              <w:bottom w:type="dxa" w:w="60"/>
              <w:right w:type="dxa" w:w="120"/>
            </w:tcMar>
          </w:tcPr>
          <w:p>
            <w:r>
              <w:rPr>
                <w:rFonts w:ascii="Arial" w:cs="Arial" w:eastAsia="Arial" w:hAnsi="Arial"/>
                <w:b/>
                <w:bCs/>
                <w:color w:val="3A4A5A"/>
                <w:sz w:val="20"/>
                <w:szCs w:val="20"/>
              </w:rPr>
              <w:t xml:space="preserve">Key Contribution</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i/>
                <w:iCs/>
                <w:color w:val="3A4A5A"/>
                <w:sz w:val="20"/>
                <w:szCs w:val="20"/>
              </w:rPr>
              <w:t xml:space="preserve">First Registry submission and first session contribution. "Compliance is not a post-event check, but a structural impossibility of failure." Seed contributor to Session 01.</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0F6E56" w:val="clear"/>
            <w:tcMar>
              <w:top w:type="dxa" w:w="80"/>
              <w:left w:type="dxa" w:w="140"/>
              <w:bottom w:type="dxa" w:w="80"/>
              <w:right w:type="dxa" w:w="140"/>
            </w:tcMar>
          </w:tcPr>
          <w:p>
            <w:r>
              <w:rPr>
                <w:rFonts w:ascii="Arial" w:cs="Arial" w:eastAsia="Arial" w:hAnsi="Arial"/>
                <w:b/>
                <w:bCs/>
                <w:color w:val="FFFFFF"/>
                <w:sz w:val="22"/>
                <w:szCs w:val="22"/>
              </w:rPr>
              <w:t xml:space="preserve">Frank Schouten</w:t>
            </w:r>
          </w:p>
        </w:tc>
      </w:tr>
      <w:tr>
        <w:tc>
          <w:tcPr>
            <w:tcW w:type="dxa" w:w="2800"/>
            <w:tcBorders>
              <w:top w:val="single" w:color="CCCCCC" w:sz="1"/>
              <w:left w:val="single" w:color="CCCCCC" w:sz="1"/>
              <w:bottom w:val="single" w:color="CCCCCC" w:sz="1"/>
              <w:right w:val="single" w:color="CCCCCC" w:sz="1"/>
            </w:tcBorders>
            <w:shd w:fill="F7F6F3" w:val="clear"/>
            <w:tcMar>
              <w:top w:type="dxa" w:w="60"/>
              <w:left w:type="dxa" w:w="120"/>
              <w:bottom w:type="dxa" w:w="60"/>
              <w:right w:type="dxa" w:w="120"/>
            </w:tcMar>
          </w:tcPr>
          <w:p>
            <w:r>
              <w:rPr>
                <w:rFonts w:ascii="Arial" w:cs="Arial" w:eastAsia="Arial" w:hAnsi="Arial"/>
                <w:b/>
                <w:bCs/>
                <w:color w:val="3A4A5A"/>
                <w:sz w:val="20"/>
                <w:szCs w:val="20"/>
              </w:rPr>
              <w:t xml:space="preserve">Role</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A4A5A"/>
                <w:sz w:val="20"/>
                <w:szCs w:val="20"/>
              </w:rPr>
              <w:t xml:space="preserve">Founding Member — Structural Governance</w:t>
            </w:r>
          </w:p>
        </w:tc>
      </w:tr>
      <w:tr>
        <w:tc>
          <w:tcPr>
            <w:tcW w:type="dxa" w:w="2800"/>
            <w:tcBorders>
              <w:top w:val="single" w:color="CCCCCC" w:sz="1"/>
              <w:left w:val="single" w:color="CCCCCC" w:sz="1"/>
              <w:bottom w:val="single" w:color="CCCCCC" w:sz="1"/>
              <w:right w:val="single" w:color="CCCCCC" w:sz="1"/>
            </w:tcBorders>
            <w:shd w:fill="F7F6F3" w:val="clear"/>
            <w:tcMar>
              <w:top w:type="dxa" w:w="60"/>
              <w:left w:type="dxa" w:w="120"/>
              <w:bottom w:type="dxa" w:w="60"/>
              <w:right w:type="dxa" w:w="120"/>
            </w:tcMar>
          </w:tcPr>
          <w:p>
            <w:r>
              <w:rPr>
                <w:rFonts w:ascii="Arial" w:cs="Arial" w:eastAsia="Arial" w:hAnsi="Arial"/>
                <w:b/>
                <w:bCs/>
                <w:color w:val="3A4A5A"/>
                <w:sz w:val="20"/>
                <w:szCs w:val="20"/>
              </w:rPr>
              <w:t xml:space="preserve">Status</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A4A5A"/>
                <w:sz w:val="20"/>
                <w:szCs w:val="20"/>
              </w:rPr>
              <w:t xml:space="preserve">Confirmed — Registry listing pending</w:t>
            </w:r>
          </w:p>
        </w:tc>
      </w:tr>
      <w:tr>
        <w:tc>
          <w:tcPr>
            <w:tcW w:type="dxa" w:w="2800"/>
            <w:tcBorders>
              <w:top w:val="single" w:color="CCCCCC" w:sz="1"/>
              <w:left w:val="single" w:color="CCCCCC" w:sz="1"/>
              <w:bottom w:val="single" w:color="CCCCCC" w:sz="1"/>
              <w:right w:val="single" w:color="CCCCCC" w:sz="1"/>
            </w:tcBorders>
            <w:shd w:fill="F7F6F3" w:val="clear"/>
            <w:tcMar>
              <w:top w:type="dxa" w:w="60"/>
              <w:left w:type="dxa" w:w="120"/>
              <w:bottom w:type="dxa" w:w="60"/>
              <w:right w:type="dxa" w:w="120"/>
            </w:tcMar>
          </w:tcPr>
          <w:p>
            <w:r>
              <w:rPr>
                <w:rFonts w:ascii="Arial" w:cs="Arial" w:eastAsia="Arial" w:hAnsi="Arial"/>
                <w:b/>
                <w:bCs/>
                <w:color w:val="3A4A5A"/>
                <w:sz w:val="20"/>
                <w:szCs w:val="20"/>
              </w:rPr>
              <w:t xml:space="preserve">Key Contribution</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i/>
                <w:iCs/>
                <w:color w:val="3A4A5A"/>
                <w:sz w:val="20"/>
                <w:szCs w:val="20"/>
              </w:rPr>
              <w:t xml:space="preserve">Identified collective authority language as a structural risk in V0.3. Proposed the 75% supermajority governance rule. Recognised affected publics as an underrepresented stakeholder category.</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0F6E56" w:val="clear"/>
            <w:tcMar>
              <w:top w:type="dxa" w:w="80"/>
              <w:left w:type="dxa" w:w="140"/>
              <w:bottom w:type="dxa" w:w="80"/>
              <w:right w:type="dxa" w:w="140"/>
            </w:tcMar>
          </w:tcPr>
          <w:p>
            <w:r>
              <w:rPr>
                <w:rFonts w:ascii="Arial" w:cs="Arial" w:eastAsia="Arial" w:hAnsi="Arial"/>
                <w:b/>
                <w:bCs/>
                <w:color w:val="FFFFFF"/>
                <w:sz w:val="22"/>
                <w:szCs w:val="22"/>
              </w:rPr>
              <w:t xml:space="preserve">Harold Alberto Nunes Rodelo  ·  OMNIX QUANTUM</w:t>
            </w:r>
          </w:p>
        </w:tc>
      </w:tr>
      <w:tr>
        <w:tc>
          <w:tcPr>
            <w:tcW w:type="dxa" w:w="2800"/>
            <w:tcBorders>
              <w:top w:val="single" w:color="CCCCCC" w:sz="1"/>
              <w:left w:val="single" w:color="CCCCCC" w:sz="1"/>
              <w:bottom w:val="single" w:color="CCCCCC" w:sz="1"/>
              <w:right w:val="single" w:color="CCCCCC" w:sz="1"/>
            </w:tcBorders>
            <w:shd w:fill="F7F6F3" w:val="clear"/>
            <w:tcMar>
              <w:top w:type="dxa" w:w="60"/>
              <w:left w:type="dxa" w:w="120"/>
              <w:bottom w:type="dxa" w:w="60"/>
              <w:right w:type="dxa" w:w="120"/>
            </w:tcMar>
          </w:tcPr>
          <w:p>
            <w:r>
              <w:rPr>
                <w:rFonts w:ascii="Arial" w:cs="Arial" w:eastAsia="Arial" w:hAnsi="Arial"/>
                <w:b/>
                <w:bCs/>
                <w:color w:val="3A4A5A"/>
                <w:sz w:val="20"/>
                <w:szCs w:val="20"/>
              </w:rPr>
              <w:t xml:space="preserve">Role</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A4A5A"/>
                <w:sz w:val="20"/>
                <w:szCs w:val="20"/>
              </w:rPr>
              <w:t xml:space="preserve">Technical Standards Lead — Interim Steering Committee</w:t>
            </w:r>
          </w:p>
        </w:tc>
      </w:tr>
      <w:tr>
        <w:tc>
          <w:tcPr>
            <w:tcW w:type="dxa" w:w="2800"/>
            <w:tcBorders>
              <w:top w:val="single" w:color="CCCCCC" w:sz="1"/>
              <w:left w:val="single" w:color="CCCCCC" w:sz="1"/>
              <w:bottom w:val="single" w:color="CCCCCC" w:sz="1"/>
              <w:right w:val="single" w:color="CCCCCC" w:sz="1"/>
            </w:tcBorders>
            <w:shd w:fill="F7F6F3" w:val="clear"/>
            <w:tcMar>
              <w:top w:type="dxa" w:w="60"/>
              <w:left w:type="dxa" w:w="120"/>
              <w:bottom w:type="dxa" w:w="60"/>
              <w:right w:type="dxa" w:w="120"/>
            </w:tcMar>
          </w:tcPr>
          <w:p>
            <w:r>
              <w:rPr>
                <w:rFonts w:ascii="Arial" w:cs="Arial" w:eastAsia="Arial" w:hAnsi="Arial"/>
                <w:b/>
                <w:bCs/>
                <w:color w:val="3A4A5A"/>
                <w:sz w:val="20"/>
                <w:szCs w:val="20"/>
              </w:rPr>
              <w:t xml:space="preserve">Status</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A4A5A"/>
                <w:sz w:val="20"/>
                <w:szCs w:val="20"/>
              </w:rPr>
              <w:t xml:space="preserve">Confirmed — Registry submitted — Session contribution submitted</w:t>
            </w:r>
          </w:p>
        </w:tc>
      </w:tr>
      <w:tr>
        <w:tc>
          <w:tcPr>
            <w:tcW w:type="dxa" w:w="2800"/>
            <w:tcBorders>
              <w:top w:val="single" w:color="CCCCCC" w:sz="1"/>
              <w:left w:val="single" w:color="CCCCCC" w:sz="1"/>
              <w:bottom w:val="single" w:color="CCCCCC" w:sz="1"/>
              <w:right w:val="single" w:color="CCCCCC" w:sz="1"/>
            </w:tcBorders>
            <w:shd w:fill="F7F6F3" w:val="clear"/>
            <w:tcMar>
              <w:top w:type="dxa" w:w="60"/>
              <w:left w:type="dxa" w:w="120"/>
              <w:bottom w:type="dxa" w:w="60"/>
              <w:right w:type="dxa" w:w="120"/>
            </w:tcMar>
          </w:tcPr>
          <w:p>
            <w:r>
              <w:rPr>
                <w:rFonts w:ascii="Arial" w:cs="Arial" w:eastAsia="Arial" w:hAnsi="Arial"/>
                <w:b/>
                <w:bCs/>
                <w:color w:val="3A4A5A"/>
                <w:sz w:val="20"/>
                <w:szCs w:val="20"/>
              </w:rPr>
              <w:t xml:space="preserve">Key Contribution</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i/>
                <w:iCs/>
                <w:color w:val="3A4A5A"/>
                <w:sz w:val="20"/>
                <w:szCs w:val="20"/>
              </w:rPr>
              <w:t xml:space="preserve">Six peer-reviewed RFCs defining the Agent Trust Fabric. 242 formal protocol invariants. Post-quantum cryptographic sealing before Turn 0. Works entirely through translation — proving async-first design is essential for genuine global participation.</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0F6E56" w:val="clear"/>
            <w:tcMar>
              <w:top w:type="dxa" w:w="80"/>
              <w:left w:type="dxa" w:w="140"/>
              <w:bottom w:type="dxa" w:w="80"/>
              <w:right w:type="dxa" w:w="140"/>
            </w:tcMar>
          </w:tcPr>
          <w:p>
            <w:r>
              <w:rPr>
                <w:rFonts w:ascii="Arial" w:cs="Arial" w:eastAsia="Arial" w:hAnsi="Arial"/>
                <w:b/>
                <w:bCs/>
                <w:color w:val="FFFFFF"/>
                <w:sz w:val="22"/>
                <w:szCs w:val="22"/>
              </w:rPr>
              <w:t xml:space="preserve">Arvind SR</w:t>
            </w:r>
          </w:p>
        </w:tc>
      </w:tr>
      <w:tr>
        <w:tc>
          <w:tcPr>
            <w:tcW w:type="dxa" w:w="2800"/>
            <w:tcBorders>
              <w:top w:val="single" w:color="CCCCCC" w:sz="1"/>
              <w:left w:val="single" w:color="CCCCCC" w:sz="1"/>
              <w:bottom w:val="single" w:color="CCCCCC" w:sz="1"/>
              <w:right w:val="single" w:color="CCCCCC" w:sz="1"/>
            </w:tcBorders>
            <w:shd w:fill="F7F6F3" w:val="clear"/>
            <w:tcMar>
              <w:top w:type="dxa" w:w="60"/>
              <w:left w:type="dxa" w:w="120"/>
              <w:bottom w:type="dxa" w:w="60"/>
              <w:right w:type="dxa" w:w="120"/>
            </w:tcMar>
          </w:tcPr>
          <w:p>
            <w:r>
              <w:rPr>
                <w:rFonts w:ascii="Arial" w:cs="Arial" w:eastAsia="Arial" w:hAnsi="Arial"/>
                <w:b/>
                <w:bCs/>
                <w:color w:val="3A4A5A"/>
                <w:sz w:val="20"/>
                <w:szCs w:val="20"/>
              </w:rPr>
              <w:t xml:space="preserve">Role</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A4A5A"/>
                <w:sz w:val="20"/>
                <w:szCs w:val="20"/>
              </w:rPr>
              <w:t xml:space="preserve">Enterprise Adoption Lead — Interim Steering Committee</w:t>
            </w:r>
          </w:p>
        </w:tc>
      </w:tr>
      <w:tr>
        <w:tc>
          <w:tcPr>
            <w:tcW w:type="dxa" w:w="2800"/>
            <w:tcBorders>
              <w:top w:val="single" w:color="CCCCCC" w:sz="1"/>
              <w:left w:val="single" w:color="CCCCCC" w:sz="1"/>
              <w:bottom w:val="single" w:color="CCCCCC" w:sz="1"/>
              <w:right w:val="single" w:color="CCCCCC" w:sz="1"/>
            </w:tcBorders>
            <w:shd w:fill="F7F6F3" w:val="clear"/>
            <w:tcMar>
              <w:top w:type="dxa" w:w="60"/>
              <w:left w:type="dxa" w:w="120"/>
              <w:bottom w:type="dxa" w:w="60"/>
              <w:right w:type="dxa" w:w="120"/>
            </w:tcMar>
          </w:tcPr>
          <w:p>
            <w:r>
              <w:rPr>
                <w:rFonts w:ascii="Arial" w:cs="Arial" w:eastAsia="Arial" w:hAnsi="Arial"/>
                <w:b/>
                <w:bCs/>
                <w:color w:val="3A4A5A"/>
                <w:sz w:val="20"/>
                <w:szCs w:val="20"/>
              </w:rPr>
              <w:t xml:space="preserve">Status</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A4A5A"/>
                <w:sz w:val="20"/>
                <w:szCs w:val="20"/>
              </w:rPr>
              <w:t xml:space="preserve">Confirmed — Registry submitted</w:t>
            </w:r>
          </w:p>
        </w:tc>
      </w:tr>
      <w:tr>
        <w:tc>
          <w:tcPr>
            <w:tcW w:type="dxa" w:w="2800"/>
            <w:tcBorders>
              <w:top w:val="single" w:color="CCCCCC" w:sz="1"/>
              <w:left w:val="single" w:color="CCCCCC" w:sz="1"/>
              <w:bottom w:val="single" w:color="CCCCCC" w:sz="1"/>
              <w:right w:val="single" w:color="CCCCCC" w:sz="1"/>
            </w:tcBorders>
            <w:shd w:fill="F7F6F3" w:val="clear"/>
            <w:tcMar>
              <w:top w:type="dxa" w:w="60"/>
              <w:left w:type="dxa" w:w="120"/>
              <w:bottom w:type="dxa" w:w="60"/>
              <w:right w:type="dxa" w:w="120"/>
            </w:tcMar>
          </w:tcPr>
          <w:p>
            <w:r>
              <w:rPr>
                <w:rFonts w:ascii="Arial" w:cs="Arial" w:eastAsia="Arial" w:hAnsi="Arial"/>
                <w:b/>
                <w:bCs/>
                <w:color w:val="3A4A5A"/>
                <w:sz w:val="20"/>
                <w:szCs w:val="20"/>
              </w:rPr>
              <w:t xml:space="preserve">Key Contribution</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i/>
                <w:iCs/>
                <w:color w:val="3A4A5A"/>
                <w:sz w:val="20"/>
                <w:szCs w:val="20"/>
              </w:rPr>
              <w:t xml:space="preserve">"Structural conditions required for organisations to remain controllable as AI embeds in decision-making and execution pathways." Observer-first approach that evolved into active participation.</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0F6E56" w:val="clear"/>
            <w:tcMar>
              <w:top w:type="dxa" w:w="80"/>
              <w:left w:type="dxa" w:w="140"/>
              <w:bottom w:type="dxa" w:w="80"/>
              <w:right w:type="dxa" w:w="140"/>
            </w:tcMar>
          </w:tcPr>
          <w:p>
            <w:r>
              <w:rPr>
                <w:rFonts w:ascii="Arial" w:cs="Arial" w:eastAsia="Arial" w:hAnsi="Arial"/>
                <w:b/>
                <w:bCs/>
                <w:color w:val="FFFFFF"/>
                <w:sz w:val="22"/>
                <w:szCs w:val="22"/>
              </w:rPr>
              <w:t xml:space="preserve">Tim Zlomke</w:t>
            </w:r>
          </w:p>
        </w:tc>
      </w:tr>
      <w:tr>
        <w:tc>
          <w:tcPr>
            <w:tcW w:type="dxa" w:w="2800"/>
            <w:tcBorders>
              <w:top w:val="single" w:color="CCCCCC" w:sz="1"/>
              <w:left w:val="single" w:color="CCCCCC" w:sz="1"/>
              <w:bottom w:val="single" w:color="CCCCCC" w:sz="1"/>
              <w:right w:val="single" w:color="CCCCCC" w:sz="1"/>
            </w:tcBorders>
            <w:shd w:fill="F7F6F3" w:val="clear"/>
            <w:tcMar>
              <w:top w:type="dxa" w:w="60"/>
              <w:left w:type="dxa" w:w="120"/>
              <w:bottom w:type="dxa" w:w="60"/>
              <w:right w:type="dxa" w:w="120"/>
            </w:tcMar>
          </w:tcPr>
          <w:p>
            <w:r>
              <w:rPr>
                <w:rFonts w:ascii="Arial" w:cs="Arial" w:eastAsia="Arial" w:hAnsi="Arial"/>
                <w:b/>
                <w:bCs/>
                <w:color w:val="3A4A5A"/>
                <w:sz w:val="20"/>
                <w:szCs w:val="20"/>
              </w:rPr>
              <w:t xml:space="preserve">Role</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A4A5A"/>
                <w:sz w:val="20"/>
                <w:szCs w:val="20"/>
              </w:rPr>
              <w:t xml:space="preserve">Intellectual Framework Lead — Interim Steering Committee</w:t>
            </w:r>
          </w:p>
        </w:tc>
      </w:tr>
      <w:tr>
        <w:tc>
          <w:tcPr>
            <w:tcW w:type="dxa" w:w="2800"/>
            <w:tcBorders>
              <w:top w:val="single" w:color="CCCCCC" w:sz="1"/>
              <w:left w:val="single" w:color="CCCCCC" w:sz="1"/>
              <w:bottom w:val="single" w:color="CCCCCC" w:sz="1"/>
              <w:right w:val="single" w:color="CCCCCC" w:sz="1"/>
            </w:tcBorders>
            <w:shd w:fill="F7F6F3" w:val="clear"/>
            <w:tcMar>
              <w:top w:type="dxa" w:w="60"/>
              <w:left w:type="dxa" w:w="120"/>
              <w:bottom w:type="dxa" w:w="60"/>
              <w:right w:type="dxa" w:w="120"/>
            </w:tcMar>
          </w:tcPr>
          <w:p>
            <w:r>
              <w:rPr>
                <w:rFonts w:ascii="Arial" w:cs="Arial" w:eastAsia="Arial" w:hAnsi="Arial"/>
                <w:b/>
                <w:bCs/>
                <w:color w:val="3A4A5A"/>
                <w:sz w:val="20"/>
                <w:szCs w:val="20"/>
              </w:rPr>
              <w:t xml:space="preserve">Status</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A4A5A"/>
                <w:sz w:val="20"/>
                <w:szCs w:val="20"/>
              </w:rPr>
              <w:t xml:space="preserve">Confirmed — Registry submitted — Session contribution submitted</w:t>
            </w:r>
          </w:p>
        </w:tc>
      </w:tr>
      <w:tr>
        <w:tc>
          <w:tcPr>
            <w:tcW w:type="dxa" w:w="2800"/>
            <w:tcBorders>
              <w:top w:val="single" w:color="CCCCCC" w:sz="1"/>
              <w:left w:val="single" w:color="CCCCCC" w:sz="1"/>
              <w:bottom w:val="single" w:color="CCCCCC" w:sz="1"/>
              <w:right w:val="single" w:color="CCCCCC" w:sz="1"/>
            </w:tcBorders>
            <w:shd w:fill="F7F6F3" w:val="clear"/>
            <w:tcMar>
              <w:top w:type="dxa" w:w="60"/>
              <w:left w:type="dxa" w:w="120"/>
              <w:bottom w:type="dxa" w:w="60"/>
              <w:right w:type="dxa" w:w="120"/>
            </w:tcMar>
          </w:tcPr>
          <w:p>
            <w:r>
              <w:rPr>
                <w:rFonts w:ascii="Arial" w:cs="Arial" w:eastAsia="Arial" w:hAnsi="Arial"/>
                <w:b/>
                <w:bCs/>
                <w:color w:val="3A4A5A"/>
                <w:sz w:val="20"/>
                <w:szCs w:val="20"/>
              </w:rPr>
              <w:t xml:space="preserve">Key Contribution</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i/>
                <w:iCs/>
                <w:color w:val="3A4A5A"/>
                <w:sz w:val="20"/>
                <w:szCs w:val="20"/>
              </w:rPr>
              <w:t xml:space="preserve">Developed the Governance Transition Chain (Evidence → Trust → Authority → Permission → Action → Consequence). Identified Trust → Authority as the least governed and most consequential transition. Accepted role with explicit mandate: neutral stewardship, not authority over others.</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0F6E56" w:val="clear"/>
            <w:tcMar>
              <w:top w:type="dxa" w:w="80"/>
              <w:left w:type="dxa" w:w="140"/>
              <w:bottom w:type="dxa" w:w="80"/>
              <w:right w:type="dxa" w:w="140"/>
            </w:tcMar>
          </w:tcPr>
          <w:p>
            <w:r>
              <w:rPr>
                <w:rFonts w:ascii="Arial" w:cs="Arial" w:eastAsia="Arial" w:hAnsi="Arial"/>
                <w:b/>
                <w:bCs/>
                <w:color w:val="FFFFFF"/>
                <w:sz w:val="22"/>
                <w:szCs w:val="22"/>
              </w:rPr>
              <w:t xml:space="preserve">Saad Muzafar  ·  Altivon Labs</w:t>
            </w:r>
          </w:p>
        </w:tc>
      </w:tr>
      <w:tr>
        <w:tc>
          <w:tcPr>
            <w:tcW w:type="dxa" w:w="2800"/>
            <w:tcBorders>
              <w:top w:val="single" w:color="CCCCCC" w:sz="1"/>
              <w:left w:val="single" w:color="CCCCCC" w:sz="1"/>
              <w:bottom w:val="single" w:color="CCCCCC" w:sz="1"/>
              <w:right w:val="single" w:color="CCCCCC" w:sz="1"/>
            </w:tcBorders>
            <w:shd w:fill="F7F6F3" w:val="clear"/>
            <w:tcMar>
              <w:top w:type="dxa" w:w="60"/>
              <w:left w:type="dxa" w:w="120"/>
              <w:bottom w:type="dxa" w:w="60"/>
              <w:right w:type="dxa" w:w="120"/>
            </w:tcMar>
          </w:tcPr>
          <w:p>
            <w:r>
              <w:rPr>
                <w:rFonts w:ascii="Arial" w:cs="Arial" w:eastAsia="Arial" w:hAnsi="Arial"/>
                <w:b/>
                <w:bCs/>
                <w:color w:val="3A4A5A"/>
                <w:sz w:val="20"/>
                <w:szCs w:val="20"/>
              </w:rPr>
              <w:t xml:space="preserve">Role</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A4A5A"/>
                <w:sz w:val="20"/>
                <w:szCs w:val="20"/>
              </w:rPr>
              <w:t xml:space="preserve">Session Architect Phase 1</w:t>
            </w:r>
          </w:p>
        </w:tc>
      </w:tr>
      <w:tr>
        <w:tc>
          <w:tcPr>
            <w:tcW w:type="dxa" w:w="2800"/>
            <w:tcBorders>
              <w:top w:val="single" w:color="CCCCCC" w:sz="1"/>
              <w:left w:val="single" w:color="CCCCCC" w:sz="1"/>
              <w:bottom w:val="single" w:color="CCCCCC" w:sz="1"/>
              <w:right w:val="single" w:color="CCCCCC" w:sz="1"/>
            </w:tcBorders>
            <w:shd w:fill="F7F6F3" w:val="clear"/>
            <w:tcMar>
              <w:top w:type="dxa" w:w="60"/>
              <w:left w:type="dxa" w:w="120"/>
              <w:bottom w:type="dxa" w:w="60"/>
              <w:right w:type="dxa" w:w="120"/>
            </w:tcMar>
          </w:tcPr>
          <w:p>
            <w:r>
              <w:rPr>
                <w:rFonts w:ascii="Arial" w:cs="Arial" w:eastAsia="Arial" w:hAnsi="Arial"/>
                <w:b/>
                <w:bCs/>
                <w:color w:val="3A4A5A"/>
                <w:sz w:val="20"/>
                <w:szCs w:val="20"/>
              </w:rPr>
              <w:t xml:space="preserve">Status</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A4A5A"/>
                <w:sz w:val="20"/>
                <w:szCs w:val="20"/>
              </w:rPr>
              <w:t xml:space="preserve">Confirmed — Registry submitted — Session contribution submitted</w:t>
            </w:r>
          </w:p>
        </w:tc>
      </w:tr>
      <w:tr>
        <w:tc>
          <w:tcPr>
            <w:tcW w:type="dxa" w:w="2800"/>
            <w:tcBorders>
              <w:top w:val="single" w:color="CCCCCC" w:sz="1"/>
              <w:left w:val="single" w:color="CCCCCC" w:sz="1"/>
              <w:bottom w:val="single" w:color="CCCCCC" w:sz="1"/>
              <w:right w:val="single" w:color="CCCCCC" w:sz="1"/>
            </w:tcBorders>
            <w:shd w:fill="F7F6F3" w:val="clear"/>
            <w:tcMar>
              <w:top w:type="dxa" w:w="60"/>
              <w:left w:type="dxa" w:w="120"/>
              <w:bottom w:type="dxa" w:w="60"/>
              <w:right w:type="dxa" w:w="120"/>
            </w:tcMar>
          </w:tcPr>
          <w:p>
            <w:r>
              <w:rPr>
                <w:rFonts w:ascii="Arial" w:cs="Arial" w:eastAsia="Arial" w:hAnsi="Arial"/>
                <w:b/>
                <w:bCs/>
                <w:color w:val="3A4A5A"/>
                <w:sz w:val="20"/>
                <w:szCs w:val="20"/>
              </w:rPr>
              <w:t xml:space="preserve">Key Contribution</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i/>
                <w:iCs/>
                <w:color w:val="3A4A5A"/>
                <w:sz w:val="20"/>
                <w:szCs w:val="20"/>
              </w:rPr>
              <w:t xml:space="preserve">Proposed the four-phase operating sequence. Designed Session 01 structure, six-point contribution format, and compilation principle. "AEGF does not claim authority over the field. It creates visibility for the people building within it." Set bounded scope before accepting any role.</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0F6E56" w:val="clear"/>
            <w:tcMar>
              <w:top w:type="dxa" w:w="80"/>
              <w:left w:type="dxa" w:w="140"/>
              <w:bottom w:type="dxa" w:w="80"/>
              <w:right w:type="dxa" w:w="140"/>
            </w:tcMar>
          </w:tcPr>
          <w:p>
            <w:r>
              <w:rPr>
                <w:rFonts w:ascii="Arial" w:cs="Arial" w:eastAsia="Arial" w:hAnsi="Arial"/>
                <w:b/>
                <w:bCs/>
                <w:color w:val="FFFFFF"/>
                <w:sz w:val="22"/>
                <w:szCs w:val="22"/>
              </w:rPr>
              <w:t xml:space="preserve">Moad Abu-Alian, PhD, PMP</w:t>
            </w:r>
          </w:p>
        </w:tc>
      </w:tr>
      <w:tr>
        <w:tc>
          <w:tcPr>
            <w:tcW w:type="dxa" w:w="2800"/>
            <w:tcBorders>
              <w:top w:val="single" w:color="CCCCCC" w:sz="1"/>
              <w:left w:val="single" w:color="CCCCCC" w:sz="1"/>
              <w:bottom w:val="single" w:color="CCCCCC" w:sz="1"/>
              <w:right w:val="single" w:color="CCCCCC" w:sz="1"/>
            </w:tcBorders>
            <w:shd w:fill="F7F6F3" w:val="clear"/>
            <w:tcMar>
              <w:top w:type="dxa" w:w="60"/>
              <w:left w:type="dxa" w:w="120"/>
              <w:bottom w:type="dxa" w:w="60"/>
              <w:right w:type="dxa" w:w="120"/>
            </w:tcMar>
          </w:tcPr>
          <w:p>
            <w:r>
              <w:rPr>
                <w:rFonts w:ascii="Arial" w:cs="Arial" w:eastAsia="Arial" w:hAnsi="Arial"/>
                <w:b/>
                <w:bCs/>
                <w:color w:val="3A4A5A"/>
                <w:sz w:val="20"/>
                <w:szCs w:val="20"/>
              </w:rPr>
              <w:t xml:space="preserve">Role</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A4A5A"/>
                <w:sz w:val="20"/>
                <w:szCs w:val="20"/>
              </w:rPr>
              <w:t xml:space="preserve">Founding Member — Advisory Contributor, Enterprise Implementation</w:t>
            </w:r>
          </w:p>
        </w:tc>
      </w:tr>
      <w:tr>
        <w:tc>
          <w:tcPr>
            <w:tcW w:type="dxa" w:w="2800"/>
            <w:tcBorders>
              <w:top w:val="single" w:color="CCCCCC" w:sz="1"/>
              <w:left w:val="single" w:color="CCCCCC" w:sz="1"/>
              <w:bottom w:val="single" w:color="CCCCCC" w:sz="1"/>
              <w:right w:val="single" w:color="CCCCCC" w:sz="1"/>
            </w:tcBorders>
            <w:shd w:fill="F7F6F3" w:val="clear"/>
            <w:tcMar>
              <w:top w:type="dxa" w:w="60"/>
              <w:left w:type="dxa" w:w="120"/>
              <w:bottom w:type="dxa" w:w="60"/>
              <w:right w:type="dxa" w:w="120"/>
            </w:tcMar>
          </w:tcPr>
          <w:p>
            <w:r>
              <w:rPr>
                <w:rFonts w:ascii="Arial" w:cs="Arial" w:eastAsia="Arial" w:hAnsi="Arial"/>
                <w:b/>
                <w:bCs/>
                <w:color w:val="3A4A5A"/>
                <w:sz w:val="20"/>
                <w:szCs w:val="20"/>
              </w:rPr>
              <w:t xml:space="preserve">Status</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A4A5A"/>
                <w:sz w:val="20"/>
                <w:szCs w:val="20"/>
              </w:rPr>
              <w:t xml:space="preserve">Confirmed — Registry submitted — Session contribution submitted</w:t>
            </w:r>
          </w:p>
        </w:tc>
      </w:tr>
      <w:tr>
        <w:tc>
          <w:tcPr>
            <w:tcW w:type="dxa" w:w="2800"/>
            <w:tcBorders>
              <w:top w:val="single" w:color="CCCCCC" w:sz="1"/>
              <w:left w:val="single" w:color="CCCCCC" w:sz="1"/>
              <w:bottom w:val="single" w:color="CCCCCC" w:sz="1"/>
              <w:right w:val="single" w:color="CCCCCC" w:sz="1"/>
            </w:tcBorders>
            <w:shd w:fill="F7F6F3" w:val="clear"/>
            <w:tcMar>
              <w:top w:type="dxa" w:w="60"/>
              <w:left w:type="dxa" w:w="120"/>
              <w:bottom w:type="dxa" w:w="60"/>
              <w:right w:type="dxa" w:w="120"/>
            </w:tcMar>
          </w:tcPr>
          <w:p>
            <w:r>
              <w:rPr>
                <w:rFonts w:ascii="Arial" w:cs="Arial" w:eastAsia="Arial" w:hAnsi="Arial"/>
                <w:b/>
                <w:bCs/>
                <w:color w:val="3A4A5A"/>
                <w:sz w:val="20"/>
                <w:szCs w:val="20"/>
              </w:rPr>
              <w:t xml:space="preserve">Key Contribution</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i/>
                <w:iCs/>
                <w:color w:val="3A4A5A"/>
                <w:sz w:val="20"/>
                <w:szCs w:val="20"/>
              </w:rPr>
              <w:t xml:space="preserve">Submitted complete Registry listing and session contribution covering Authority → Permission → Action at Azure AI enterprise scale. Declined formal Steering Committee seat due to existing commitments — accepted bounded advisory capacity.</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0F6E56" w:val="clear"/>
            <w:tcMar>
              <w:top w:type="dxa" w:w="80"/>
              <w:left w:type="dxa" w:w="140"/>
              <w:bottom w:type="dxa" w:w="80"/>
              <w:right w:type="dxa" w:w="140"/>
            </w:tcMar>
          </w:tcPr>
          <w:p>
            <w:r>
              <w:rPr>
                <w:rFonts w:ascii="Arial" w:cs="Arial" w:eastAsia="Arial" w:hAnsi="Arial"/>
                <w:b/>
                <w:bCs/>
                <w:color w:val="FFFFFF"/>
                <w:sz w:val="22"/>
                <w:szCs w:val="22"/>
              </w:rPr>
              <w:t xml:space="preserve">Pieush Vyas</w:t>
            </w:r>
          </w:p>
        </w:tc>
      </w:tr>
      <w:tr>
        <w:tc>
          <w:tcPr>
            <w:tcW w:type="dxa" w:w="2800"/>
            <w:tcBorders>
              <w:top w:val="single" w:color="CCCCCC" w:sz="1"/>
              <w:left w:val="single" w:color="CCCCCC" w:sz="1"/>
              <w:bottom w:val="single" w:color="CCCCCC" w:sz="1"/>
              <w:right w:val="single" w:color="CCCCCC" w:sz="1"/>
            </w:tcBorders>
            <w:shd w:fill="F7F6F3" w:val="clear"/>
            <w:tcMar>
              <w:top w:type="dxa" w:w="60"/>
              <w:left w:type="dxa" w:w="120"/>
              <w:bottom w:type="dxa" w:w="60"/>
              <w:right w:type="dxa" w:w="120"/>
            </w:tcMar>
          </w:tcPr>
          <w:p>
            <w:r>
              <w:rPr>
                <w:rFonts w:ascii="Arial" w:cs="Arial" w:eastAsia="Arial" w:hAnsi="Arial"/>
                <w:b/>
                <w:bCs/>
                <w:color w:val="3A4A5A"/>
                <w:sz w:val="20"/>
                <w:szCs w:val="20"/>
              </w:rPr>
              <w:t xml:space="preserve">Role</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A4A5A"/>
                <w:sz w:val="20"/>
                <w:szCs w:val="20"/>
              </w:rPr>
              <w:t xml:space="preserve">Founding Member</w:t>
            </w:r>
          </w:p>
        </w:tc>
      </w:tr>
      <w:tr>
        <w:tc>
          <w:tcPr>
            <w:tcW w:type="dxa" w:w="2800"/>
            <w:tcBorders>
              <w:top w:val="single" w:color="CCCCCC" w:sz="1"/>
              <w:left w:val="single" w:color="CCCCCC" w:sz="1"/>
              <w:bottom w:val="single" w:color="CCCCCC" w:sz="1"/>
              <w:right w:val="single" w:color="CCCCCC" w:sz="1"/>
            </w:tcBorders>
            <w:shd w:fill="F7F6F3" w:val="clear"/>
            <w:tcMar>
              <w:top w:type="dxa" w:w="60"/>
              <w:left w:type="dxa" w:w="120"/>
              <w:bottom w:type="dxa" w:w="60"/>
              <w:right w:type="dxa" w:w="120"/>
            </w:tcMar>
          </w:tcPr>
          <w:p>
            <w:r>
              <w:rPr>
                <w:rFonts w:ascii="Arial" w:cs="Arial" w:eastAsia="Arial" w:hAnsi="Arial"/>
                <w:b/>
                <w:bCs/>
                <w:color w:val="3A4A5A"/>
                <w:sz w:val="20"/>
                <w:szCs w:val="20"/>
              </w:rPr>
              <w:t xml:space="preserve">Status</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A4A5A"/>
                <w:sz w:val="20"/>
                <w:szCs w:val="20"/>
              </w:rPr>
              <w:t xml:space="preserve">Confirmed — Registry pending — Session contribution pending</w:t>
            </w:r>
          </w:p>
        </w:tc>
      </w:tr>
      <w:tr>
        <w:tc>
          <w:tcPr>
            <w:tcW w:type="dxa" w:w="2800"/>
            <w:tcBorders>
              <w:top w:val="single" w:color="CCCCCC" w:sz="1"/>
              <w:left w:val="single" w:color="CCCCCC" w:sz="1"/>
              <w:bottom w:val="single" w:color="CCCCCC" w:sz="1"/>
              <w:right w:val="single" w:color="CCCCCC" w:sz="1"/>
            </w:tcBorders>
            <w:shd w:fill="F7F6F3" w:val="clear"/>
            <w:tcMar>
              <w:top w:type="dxa" w:w="60"/>
              <w:left w:type="dxa" w:w="120"/>
              <w:bottom w:type="dxa" w:w="60"/>
              <w:right w:type="dxa" w:w="120"/>
            </w:tcMar>
          </w:tcPr>
          <w:p>
            <w:r>
              <w:rPr>
                <w:rFonts w:ascii="Arial" w:cs="Arial" w:eastAsia="Arial" w:hAnsi="Arial"/>
                <w:b/>
                <w:bCs/>
                <w:color w:val="3A4A5A"/>
                <w:sz w:val="20"/>
                <w:szCs w:val="20"/>
              </w:rPr>
              <w:t xml:space="preserve">Key Contribution</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i/>
                <w:iCs/>
                <w:color w:val="3A4A5A"/>
                <w:sz w:val="20"/>
                <w:szCs w:val="20"/>
              </w:rPr>
              <w:t xml:space="preserve">Confirmed participation. Registry listing and session contribution pending.</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0F6E56" w:val="clear"/>
            <w:tcMar>
              <w:top w:type="dxa" w:w="80"/>
              <w:left w:type="dxa" w:w="140"/>
              <w:bottom w:type="dxa" w:w="80"/>
              <w:right w:type="dxa" w:w="140"/>
            </w:tcMar>
          </w:tcPr>
          <w:p>
            <w:r>
              <w:rPr>
                <w:rFonts w:ascii="Arial" w:cs="Arial" w:eastAsia="Arial" w:hAnsi="Arial"/>
                <w:b/>
                <w:bCs/>
                <w:color w:val="FFFFFF"/>
                <w:sz w:val="22"/>
                <w:szCs w:val="22"/>
              </w:rPr>
              <w:t xml:space="preserve">Syeda Beenish Fatima  ·  MaqasidAI</w:t>
            </w:r>
          </w:p>
        </w:tc>
      </w:tr>
      <w:tr>
        <w:tc>
          <w:tcPr>
            <w:tcW w:type="dxa" w:w="2800"/>
            <w:tcBorders>
              <w:top w:val="single" w:color="CCCCCC" w:sz="1"/>
              <w:left w:val="single" w:color="CCCCCC" w:sz="1"/>
              <w:bottom w:val="single" w:color="CCCCCC" w:sz="1"/>
              <w:right w:val="single" w:color="CCCCCC" w:sz="1"/>
            </w:tcBorders>
            <w:shd w:fill="F7F6F3" w:val="clear"/>
            <w:tcMar>
              <w:top w:type="dxa" w:w="60"/>
              <w:left w:type="dxa" w:w="120"/>
              <w:bottom w:type="dxa" w:w="60"/>
              <w:right w:type="dxa" w:w="120"/>
            </w:tcMar>
          </w:tcPr>
          <w:p>
            <w:r>
              <w:rPr>
                <w:rFonts w:ascii="Arial" w:cs="Arial" w:eastAsia="Arial" w:hAnsi="Arial"/>
                <w:b/>
                <w:bCs/>
                <w:color w:val="3A4A5A"/>
                <w:sz w:val="20"/>
                <w:szCs w:val="20"/>
              </w:rPr>
              <w:t xml:space="preserve">Role</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A4A5A"/>
                <w:sz w:val="20"/>
                <w:szCs w:val="20"/>
              </w:rPr>
              <w:t xml:space="preserve">Values and Context Governance Lead — Interim Steering Committee</w:t>
            </w:r>
          </w:p>
        </w:tc>
      </w:tr>
      <w:tr>
        <w:tc>
          <w:tcPr>
            <w:tcW w:type="dxa" w:w="2800"/>
            <w:tcBorders>
              <w:top w:val="single" w:color="CCCCCC" w:sz="1"/>
              <w:left w:val="single" w:color="CCCCCC" w:sz="1"/>
              <w:bottom w:val="single" w:color="CCCCCC" w:sz="1"/>
              <w:right w:val="single" w:color="CCCCCC" w:sz="1"/>
            </w:tcBorders>
            <w:shd w:fill="F7F6F3" w:val="clear"/>
            <w:tcMar>
              <w:top w:type="dxa" w:w="60"/>
              <w:left w:type="dxa" w:w="120"/>
              <w:bottom w:type="dxa" w:w="60"/>
              <w:right w:type="dxa" w:w="120"/>
            </w:tcMar>
          </w:tcPr>
          <w:p>
            <w:r>
              <w:rPr>
                <w:rFonts w:ascii="Arial" w:cs="Arial" w:eastAsia="Arial" w:hAnsi="Arial"/>
                <w:b/>
                <w:bCs/>
                <w:color w:val="3A4A5A"/>
                <w:sz w:val="20"/>
                <w:szCs w:val="20"/>
              </w:rPr>
              <w:t xml:space="preserve">Status</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A4A5A"/>
                <w:sz w:val="20"/>
                <w:szCs w:val="20"/>
              </w:rPr>
              <w:t xml:space="preserve">Confirmed — Registry submitted — Session contribution submitted</w:t>
            </w:r>
          </w:p>
        </w:tc>
      </w:tr>
      <w:tr>
        <w:tc>
          <w:tcPr>
            <w:tcW w:type="dxa" w:w="2800"/>
            <w:tcBorders>
              <w:top w:val="single" w:color="CCCCCC" w:sz="1"/>
              <w:left w:val="single" w:color="CCCCCC" w:sz="1"/>
              <w:bottom w:val="single" w:color="CCCCCC" w:sz="1"/>
              <w:right w:val="single" w:color="CCCCCC" w:sz="1"/>
            </w:tcBorders>
            <w:shd w:fill="F7F6F3" w:val="clear"/>
            <w:tcMar>
              <w:top w:type="dxa" w:w="60"/>
              <w:left w:type="dxa" w:w="120"/>
              <w:bottom w:type="dxa" w:w="60"/>
              <w:right w:type="dxa" w:w="120"/>
            </w:tcMar>
          </w:tcPr>
          <w:p>
            <w:r>
              <w:rPr>
                <w:rFonts w:ascii="Arial" w:cs="Arial" w:eastAsia="Arial" w:hAnsi="Arial"/>
                <w:b/>
                <w:bCs/>
                <w:color w:val="3A4A5A"/>
                <w:sz w:val="20"/>
                <w:szCs w:val="20"/>
              </w:rPr>
              <w:t xml:space="preserve">Key Contribution</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i/>
                <w:iCs/>
                <w:color w:val="3A4A5A"/>
                <w:sz w:val="20"/>
                <w:szCs w:val="20"/>
              </w:rPr>
              <w:t xml:space="preserve">Introduced semantic admissibility as a distinct governance dimension. "A system can be technically authorised, policy-compliant at the execution layer, and still catastrophically wrong." Accepted role with three binding conditions protecting her independence and MaqasidAI's IP.</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0F6E56" w:val="clear"/>
            <w:tcMar>
              <w:top w:type="dxa" w:w="80"/>
              <w:left w:type="dxa" w:w="140"/>
              <w:bottom w:type="dxa" w:w="80"/>
              <w:right w:type="dxa" w:w="140"/>
            </w:tcMar>
          </w:tcPr>
          <w:p>
            <w:r>
              <w:rPr>
                <w:rFonts w:ascii="Arial" w:cs="Arial" w:eastAsia="Arial" w:hAnsi="Arial"/>
                <w:b/>
                <w:bCs/>
                <w:color w:val="FFFFFF"/>
                <w:sz w:val="22"/>
                <w:szCs w:val="22"/>
              </w:rPr>
              <w:t xml:space="preserve">Naimatullah  ·  Velos Systems</w:t>
            </w:r>
          </w:p>
        </w:tc>
      </w:tr>
      <w:tr>
        <w:tc>
          <w:tcPr>
            <w:tcW w:type="dxa" w:w="2800"/>
            <w:tcBorders>
              <w:top w:val="single" w:color="CCCCCC" w:sz="1"/>
              <w:left w:val="single" w:color="CCCCCC" w:sz="1"/>
              <w:bottom w:val="single" w:color="CCCCCC" w:sz="1"/>
              <w:right w:val="single" w:color="CCCCCC" w:sz="1"/>
            </w:tcBorders>
            <w:shd w:fill="F7F6F3" w:val="clear"/>
            <w:tcMar>
              <w:top w:type="dxa" w:w="60"/>
              <w:left w:type="dxa" w:w="120"/>
              <w:bottom w:type="dxa" w:w="60"/>
              <w:right w:type="dxa" w:w="120"/>
            </w:tcMar>
          </w:tcPr>
          <w:p>
            <w:r>
              <w:rPr>
                <w:rFonts w:ascii="Arial" w:cs="Arial" w:eastAsia="Arial" w:hAnsi="Arial"/>
                <w:b/>
                <w:bCs/>
                <w:color w:val="3A4A5A"/>
                <w:sz w:val="20"/>
                <w:szCs w:val="20"/>
              </w:rPr>
              <w:t xml:space="preserve">Role</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A4A5A"/>
                <w:sz w:val="20"/>
                <w:szCs w:val="20"/>
              </w:rPr>
              <w:t xml:space="preserve">Execution Infrastructure Lead — Designation Pending Acceptance</w:t>
            </w:r>
          </w:p>
        </w:tc>
      </w:tr>
      <w:tr>
        <w:tc>
          <w:tcPr>
            <w:tcW w:type="dxa" w:w="2800"/>
            <w:tcBorders>
              <w:top w:val="single" w:color="CCCCCC" w:sz="1"/>
              <w:left w:val="single" w:color="CCCCCC" w:sz="1"/>
              <w:bottom w:val="single" w:color="CCCCCC" w:sz="1"/>
              <w:right w:val="single" w:color="CCCCCC" w:sz="1"/>
            </w:tcBorders>
            <w:shd w:fill="F7F6F3" w:val="clear"/>
            <w:tcMar>
              <w:top w:type="dxa" w:w="60"/>
              <w:left w:type="dxa" w:w="120"/>
              <w:bottom w:type="dxa" w:w="60"/>
              <w:right w:type="dxa" w:w="120"/>
            </w:tcMar>
          </w:tcPr>
          <w:p>
            <w:r>
              <w:rPr>
                <w:rFonts w:ascii="Arial" w:cs="Arial" w:eastAsia="Arial" w:hAnsi="Arial"/>
                <w:b/>
                <w:bCs/>
                <w:color w:val="3A4A5A"/>
                <w:sz w:val="20"/>
                <w:szCs w:val="20"/>
              </w:rPr>
              <w:t xml:space="preserve">Status</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A4A5A"/>
                <w:sz w:val="20"/>
                <w:szCs w:val="20"/>
              </w:rPr>
              <w:t xml:space="preserve">Confirmed — Registry submitted — Session contribution submitted — Role offer sent</w:t>
            </w:r>
          </w:p>
        </w:tc>
      </w:tr>
      <w:tr>
        <w:tc>
          <w:tcPr>
            <w:tcW w:type="dxa" w:w="2800"/>
            <w:tcBorders>
              <w:top w:val="single" w:color="CCCCCC" w:sz="1"/>
              <w:left w:val="single" w:color="CCCCCC" w:sz="1"/>
              <w:bottom w:val="single" w:color="CCCCCC" w:sz="1"/>
              <w:right w:val="single" w:color="CCCCCC" w:sz="1"/>
            </w:tcBorders>
            <w:shd w:fill="F7F6F3" w:val="clear"/>
            <w:tcMar>
              <w:top w:type="dxa" w:w="60"/>
              <w:left w:type="dxa" w:w="120"/>
              <w:bottom w:type="dxa" w:w="60"/>
              <w:right w:type="dxa" w:w="120"/>
            </w:tcMar>
          </w:tcPr>
          <w:p>
            <w:r>
              <w:rPr>
                <w:rFonts w:ascii="Arial" w:cs="Arial" w:eastAsia="Arial" w:hAnsi="Arial"/>
                <w:b/>
                <w:bCs/>
                <w:color w:val="3A4A5A"/>
                <w:sz w:val="20"/>
                <w:szCs w:val="20"/>
              </w:rPr>
              <w:t xml:space="preserve">Key Contribution</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i/>
                <w:iCs/>
                <w:color w:val="3A4A5A"/>
                <w:sz w:val="20"/>
                <w:szCs w:val="20"/>
              </w:rPr>
              <w:t xml:space="preserve">Kernel-space eBPF execution boundary governance. "Post-hoc auditing is just a well-documented autopsy. True determinism requires down-stack interception." Operates at Permission → Action at the wire level.</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0F6E56" w:val="clear"/>
            <w:tcMar>
              <w:top w:type="dxa" w:w="80"/>
              <w:left w:type="dxa" w:w="140"/>
              <w:bottom w:type="dxa" w:w="80"/>
              <w:right w:type="dxa" w:w="140"/>
            </w:tcMar>
          </w:tcPr>
          <w:p>
            <w:r>
              <w:rPr>
                <w:rFonts w:ascii="Arial" w:cs="Arial" w:eastAsia="Arial" w:hAnsi="Arial"/>
                <w:b/>
                <w:bCs/>
                <w:color w:val="FFFFFF"/>
                <w:sz w:val="22"/>
                <w:szCs w:val="22"/>
              </w:rPr>
              <w:t xml:space="preserve">Tasneem Mahmoud</w:t>
            </w:r>
          </w:p>
        </w:tc>
      </w:tr>
      <w:tr>
        <w:tc>
          <w:tcPr>
            <w:tcW w:type="dxa" w:w="2800"/>
            <w:tcBorders>
              <w:top w:val="single" w:color="CCCCCC" w:sz="1"/>
              <w:left w:val="single" w:color="CCCCCC" w:sz="1"/>
              <w:bottom w:val="single" w:color="CCCCCC" w:sz="1"/>
              <w:right w:val="single" w:color="CCCCCC" w:sz="1"/>
            </w:tcBorders>
            <w:shd w:fill="F7F6F3" w:val="clear"/>
            <w:tcMar>
              <w:top w:type="dxa" w:w="60"/>
              <w:left w:type="dxa" w:w="120"/>
              <w:bottom w:type="dxa" w:w="60"/>
              <w:right w:type="dxa" w:w="120"/>
            </w:tcMar>
          </w:tcPr>
          <w:p>
            <w:r>
              <w:rPr>
                <w:rFonts w:ascii="Arial" w:cs="Arial" w:eastAsia="Arial" w:hAnsi="Arial"/>
                <w:b/>
                <w:bCs/>
                <w:color w:val="3A4A5A"/>
                <w:sz w:val="20"/>
                <w:szCs w:val="20"/>
              </w:rPr>
              <w:t xml:space="preserve">Role</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A4A5A"/>
                <w:sz w:val="20"/>
                <w:szCs w:val="20"/>
              </w:rPr>
              <w:t xml:space="preserve">Behavioural Governance Lead — Designation Sent</w:t>
            </w:r>
          </w:p>
        </w:tc>
      </w:tr>
      <w:tr>
        <w:tc>
          <w:tcPr>
            <w:tcW w:type="dxa" w:w="2800"/>
            <w:tcBorders>
              <w:top w:val="single" w:color="CCCCCC" w:sz="1"/>
              <w:left w:val="single" w:color="CCCCCC" w:sz="1"/>
              <w:bottom w:val="single" w:color="CCCCCC" w:sz="1"/>
              <w:right w:val="single" w:color="CCCCCC" w:sz="1"/>
            </w:tcBorders>
            <w:shd w:fill="F7F6F3" w:val="clear"/>
            <w:tcMar>
              <w:top w:type="dxa" w:w="60"/>
              <w:left w:type="dxa" w:w="120"/>
              <w:bottom w:type="dxa" w:w="60"/>
              <w:right w:type="dxa" w:w="120"/>
            </w:tcMar>
          </w:tcPr>
          <w:p>
            <w:r>
              <w:rPr>
                <w:rFonts w:ascii="Arial" w:cs="Arial" w:eastAsia="Arial" w:hAnsi="Arial"/>
                <w:b/>
                <w:bCs/>
                <w:color w:val="3A4A5A"/>
                <w:sz w:val="20"/>
                <w:szCs w:val="20"/>
              </w:rPr>
              <w:t xml:space="preserve">Status</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A4A5A"/>
                <w:sz w:val="20"/>
                <w:szCs w:val="20"/>
              </w:rPr>
              <w:t xml:space="preserve">Confirmed — Registry pending — Role offer sent</w:t>
            </w:r>
          </w:p>
        </w:tc>
      </w:tr>
      <w:tr>
        <w:tc>
          <w:tcPr>
            <w:tcW w:type="dxa" w:w="2800"/>
            <w:tcBorders>
              <w:top w:val="single" w:color="CCCCCC" w:sz="1"/>
              <w:left w:val="single" w:color="CCCCCC" w:sz="1"/>
              <w:bottom w:val="single" w:color="CCCCCC" w:sz="1"/>
              <w:right w:val="single" w:color="CCCCCC" w:sz="1"/>
            </w:tcBorders>
            <w:shd w:fill="F7F6F3" w:val="clear"/>
            <w:tcMar>
              <w:top w:type="dxa" w:w="60"/>
              <w:left w:type="dxa" w:w="120"/>
              <w:bottom w:type="dxa" w:w="60"/>
              <w:right w:type="dxa" w:w="120"/>
            </w:tcMar>
          </w:tcPr>
          <w:p>
            <w:r>
              <w:rPr>
                <w:rFonts w:ascii="Arial" w:cs="Arial" w:eastAsia="Arial" w:hAnsi="Arial"/>
                <w:b/>
                <w:bCs/>
                <w:color w:val="3A4A5A"/>
                <w:sz w:val="20"/>
                <w:szCs w:val="20"/>
              </w:rPr>
              <w:t xml:space="preserve">Key Contribution</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i/>
                <w:iCs/>
                <w:color w:val="3A4A5A"/>
                <w:sz w:val="20"/>
                <w:szCs w:val="20"/>
              </w:rPr>
              <w:t xml:space="preserve">"Governance challenges do not exist only within systems themselves, but also within the human environments that interact with them." Addresses the Trust → Authority transition from the behavioural and human judgment perspective.</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0F6E56" w:val="clear"/>
            <w:tcMar>
              <w:top w:type="dxa" w:w="80"/>
              <w:left w:type="dxa" w:w="140"/>
              <w:bottom w:type="dxa" w:w="80"/>
              <w:right w:type="dxa" w:w="140"/>
            </w:tcMar>
          </w:tcPr>
          <w:p>
            <w:r>
              <w:rPr>
                <w:rFonts w:ascii="Arial" w:cs="Arial" w:eastAsia="Arial" w:hAnsi="Arial"/>
                <w:b/>
                <w:bCs/>
                <w:color w:val="FFFFFF"/>
                <w:sz w:val="22"/>
                <w:szCs w:val="22"/>
              </w:rPr>
              <w:t xml:space="preserve">Shakeel A. Mian</w:t>
            </w:r>
          </w:p>
        </w:tc>
      </w:tr>
      <w:tr>
        <w:tc>
          <w:tcPr>
            <w:tcW w:type="dxa" w:w="2800"/>
            <w:tcBorders>
              <w:top w:val="single" w:color="CCCCCC" w:sz="1"/>
              <w:left w:val="single" w:color="CCCCCC" w:sz="1"/>
              <w:bottom w:val="single" w:color="CCCCCC" w:sz="1"/>
              <w:right w:val="single" w:color="CCCCCC" w:sz="1"/>
            </w:tcBorders>
            <w:shd w:fill="F7F6F3" w:val="clear"/>
            <w:tcMar>
              <w:top w:type="dxa" w:w="60"/>
              <w:left w:type="dxa" w:w="120"/>
              <w:bottom w:type="dxa" w:w="60"/>
              <w:right w:type="dxa" w:w="120"/>
            </w:tcMar>
          </w:tcPr>
          <w:p>
            <w:r>
              <w:rPr>
                <w:rFonts w:ascii="Arial" w:cs="Arial" w:eastAsia="Arial" w:hAnsi="Arial"/>
                <w:b/>
                <w:bCs/>
                <w:color w:val="3A4A5A"/>
                <w:sz w:val="20"/>
                <w:szCs w:val="20"/>
              </w:rPr>
              <w:t xml:space="preserve">Role</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A4A5A"/>
                <w:sz w:val="20"/>
                <w:szCs w:val="20"/>
              </w:rPr>
              <w:t xml:space="preserve">Regulatory and Legal Compliance Lead — Pending Confirmation</w:t>
            </w:r>
          </w:p>
        </w:tc>
      </w:tr>
      <w:tr>
        <w:tc>
          <w:tcPr>
            <w:tcW w:type="dxa" w:w="2800"/>
            <w:tcBorders>
              <w:top w:val="single" w:color="CCCCCC" w:sz="1"/>
              <w:left w:val="single" w:color="CCCCCC" w:sz="1"/>
              <w:bottom w:val="single" w:color="CCCCCC" w:sz="1"/>
              <w:right w:val="single" w:color="CCCCCC" w:sz="1"/>
            </w:tcBorders>
            <w:shd w:fill="F7F6F3" w:val="clear"/>
            <w:tcMar>
              <w:top w:type="dxa" w:w="60"/>
              <w:left w:type="dxa" w:w="120"/>
              <w:bottom w:type="dxa" w:w="60"/>
              <w:right w:type="dxa" w:w="120"/>
            </w:tcMar>
          </w:tcPr>
          <w:p>
            <w:r>
              <w:rPr>
                <w:rFonts w:ascii="Arial" w:cs="Arial" w:eastAsia="Arial" w:hAnsi="Arial"/>
                <w:b/>
                <w:bCs/>
                <w:color w:val="3A4A5A"/>
                <w:sz w:val="20"/>
                <w:szCs w:val="20"/>
              </w:rPr>
              <w:t xml:space="preserve">Status</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A4A5A"/>
                <w:sz w:val="20"/>
                <w:szCs w:val="20"/>
              </w:rPr>
              <w:t xml:space="preserve">Confirmation pending — Brief sent</w:t>
            </w:r>
          </w:p>
        </w:tc>
      </w:tr>
      <w:tr>
        <w:tc>
          <w:tcPr>
            <w:tcW w:type="dxa" w:w="2800"/>
            <w:tcBorders>
              <w:top w:val="single" w:color="CCCCCC" w:sz="1"/>
              <w:left w:val="single" w:color="CCCCCC" w:sz="1"/>
              <w:bottom w:val="single" w:color="CCCCCC" w:sz="1"/>
              <w:right w:val="single" w:color="CCCCCC" w:sz="1"/>
            </w:tcBorders>
            <w:shd w:fill="F7F6F3" w:val="clear"/>
            <w:tcMar>
              <w:top w:type="dxa" w:w="60"/>
              <w:left w:type="dxa" w:w="120"/>
              <w:bottom w:type="dxa" w:w="60"/>
              <w:right w:type="dxa" w:w="120"/>
            </w:tcMar>
          </w:tcPr>
          <w:p>
            <w:r>
              <w:rPr>
                <w:rFonts w:ascii="Arial" w:cs="Arial" w:eastAsia="Arial" w:hAnsi="Arial"/>
                <w:b/>
                <w:bCs/>
                <w:color w:val="3A4A5A"/>
                <w:sz w:val="20"/>
                <w:szCs w:val="20"/>
              </w:rPr>
              <w:t xml:space="preserve">Key Contribution</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i/>
                <w:iCs/>
                <w:color w:val="3A4A5A"/>
                <w:sz w:val="20"/>
                <w:szCs w:val="20"/>
              </w:rPr>
              <w:t xml:space="preserve">22 years of law practice. EU AI Act, GDPR, GCC and South Asia frameworks. Fills the regulatory and legal compliance perspective absent from the founding circle.</w:t>
            </w:r>
          </w:p>
        </w:tc>
      </w:tr>
    </w:tbl>
    <w:p>
      <w:pPr>
        <w:pBdr>
          <w:bottom w:val="single" w:color="1D9E75" w:sz="8" w:space="1"/>
        </w:pBdr>
        <w:spacing w:after="160" w:before="160"/>
      </w:pPr>
    </w:p>
    <w:p>
      <w:pPr>
        <w:pStyle w:val="Heading1"/>
        <w:spacing w:after="160" w:before="400"/>
      </w:pPr>
      <w:r>
        <w:rPr>
          <w:rFonts w:ascii="Arial" w:cs="Arial" w:eastAsia="Arial" w:hAnsi="Arial"/>
          <w:b/>
          <w:bCs/>
          <w:color w:val="0F6E56"/>
          <w:sz w:val="34"/>
          <w:szCs w:val="34"/>
        </w:rPr>
        <w:t xml:space="preserve">6.  Observer and Pipeline Record</w:t>
      </w:r>
    </w:p>
    <w:p>
      <w:pPr>
        <w:spacing w:after="80" w:before="60"/>
      </w:pPr>
      <w:r>
        <w:rPr>
          <w:rFonts w:ascii="Arial" w:cs="Arial" w:eastAsia="Arial" w:hAnsi="Arial"/>
          <w:color w:val="3A4A5A"/>
          <w:sz w:val="22"/>
          <w:szCs w:val="22"/>
        </w:rPr>
        <w:t xml:space="preserve">Members who have expressed interest but are not yet in the founding circle, and those who declined.</w:t>
      </w:r>
    </w:p>
    <w:p>
      <w:pPr>
        <w:spacing w:after="12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F6E56" w:val="clear"/>
            <w:tcMar>
              <w:top w:type="dxa" w:w="70"/>
              <w:left w:type="dxa" w:w="120"/>
              <w:bottom w:type="dxa" w:w="70"/>
              <w:right w:type="dxa" w:w="120"/>
            </w:tcMar>
          </w:tcPr>
          <w:p>
            <w:r>
              <w:rPr>
                <w:rFonts w:ascii="Arial" w:cs="Arial" w:eastAsia="Arial" w:hAnsi="Arial"/>
                <w:b/>
                <w:bCs/>
                <w:color w:val="FFFFFF"/>
                <w:sz w:val="20"/>
                <w:szCs w:val="20"/>
              </w:rPr>
              <w:t xml:space="preserve">Name</w:t>
            </w:r>
          </w:p>
        </w:tc>
        <w:tc>
          <w:tcPr>
            <w:tcW w:type="dxa" w:w="6560"/>
            <w:tcBorders>
              <w:top w:val="single" w:color="CCCCCC" w:sz="1"/>
              <w:left w:val="single" w:color="CCCCCC" w:sz="1"/>
              <w:bottom w:val="single" w:color="CCCCCC" w:sz="1"/>
              <w:right w:val="single" w:color="CCCCCC" w:sz="1"/>
            </w:tcBorders>
            <w:shd w:fill="0F6E56" w:val="clear"/>
            <w:tcMar>
              <w:top w:type="dxa" w:w="70"/>
              <w:left w:type="dxa" w:w="120"/>
              <w:bottom w:type="dxa" w:w="70"/>
              <w:right w:type="dxa" w:w="120"/>
            </w:tcMar>
          </w:tcPr>
          <w:p>
            <w:r>
              <w:rPr>
                <w:rFonts w:ascii="Arial" w:cs="Arial" w:eastAsia="Arial" w:hAnsi="Arial"/>
                <w:b/>
                <w:bCs/>
                <w:color w:val="FFFFFF"/>
                <w:sz w:val="20"/>
                <w:szCs w:val="20"/>
              </w:rPr>
              <w:t xml:space="preserve">Status and Notes</w:t>
            </w:r>
          </w:p>
        </w:tc>
      </w:tr>
      <w:tr>
        <w:tc>
          <w:tcPr>
            <w:tcW w:type="dxa" w:w="2800"/>
            <w:tcBorders>
              <w:top w:val="single" w:color="CCCCCC" w:sz="1"/>
              <w:left w:val="single" w:color="CCCCCC" w:sz="1"/>
              <w:bottom w:val="single" w:color="CCCCCC" w:sz="1"/>
              <w:right w:val="single" w:color="CCCCCC" w:sz="1"/>
            </w:tcBorders>
            <w:shd w:fill="F7F6F3" w:val="clear"/>
            <w:tcMar>
              <w:top w:type="dxa" w:w="70"/>
              <w:left w:type="dxa" w:w="120"/>
              <w:bottom w:type="dxa" w:w="70"/>
              <w:right w:type="dxa" w:w="120"/>
            </w:tcMar>
          </w:tcPr>
          <w:p>
            <w:r>
              <w:rPr>
                <w:rFonts w:ascii="Arial" w:cs="Arial" w:eastAsia="Arial" w:hAnsi="Arial"/>
                <w:b/>
                <w:bCs/>
                <w:color w:val="3A4A5A"/>
                <w:sz w:val="20"/>
                <w:szCs w:val="20"/>
              </w:rPr>
              <w:t xml:space="preserve">Dr Masayuki Otani</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A4A5A"/>
                <w:sz w:val="20"/>
                <w:szCs w:val="20"/>
              </w:rPr>
              <w:t xml:space="preserve">Observer — Following from a distance. Happy to offer occasional high-level observations. No Registry listing required.</w:t>
            </w:r>
          </w:p>
        </w:tc>
      </w:tr>
      <w:tr>
        <w:tc>
          <w:tcPr>
            <w:tcW w:type="dxa" w:w="2800"/>
            <w:tcBorders>
              <w:top w:val="single" w:color="CCCCCC" w:sz="1"/>
              <w:left w:val="single" w:color="CCCCCC" w:sz="1"/>
              <w:bottom w:val="single" w:color="CCCCCC" w:sz="1"/>
              <w:right w:val="single" w:color="CCCCCC" w:sz="1"/>
            </w:tcBorders>
            <w:shd w:fill="F7F6F3" w:val="clear"/>
            <w:tcMar>
              <w:top w:type="dxa" w:w="70"/>
              <w:left w:type="dxa" w:w="120"/>
              <w:bottom w:type="dxa" w:w="70"/>
              <w:right w:type="dxa" w:w="120"/>
            </w:tcMar>
          </w:tcPr>
          <w:p>
            <w:r>
              <w:rPr>
                <w:rFonts w:ascii="Arial" w:cs="Arial" w:eastAsia="Arial" w:hAnsi="Arial"/>
                <w:b/>
                <w:bCs/>
                <w:color w:val="3A4A5A"/>
                <w:sz w:val="20"/>
                <w:szCs w:val="20"/>
              </w:rPr>
              <w:t xml:space="preserve">Kazuki Toyota</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A4A5A"/>
                <w:sz w:val="20"/>
                <w:szCs w:val="20"/>
              </w:rPr>
              <w:t xml:space="preserve">Observer — Interested in evidence and verification perspective. No active commitment.</w:t>
            </w:r>
          </w:p>
        </w:tc>
      </w:tr>
      <w:tr>
        <w:tc>
          <w:tcPr>
            <w:tcW w:type="dxa" w:w="2800"/>
            <w:tcBorders>
              <w:top w:val="single" w:color="CCCCCC" w:sz="1"/>
              <w:left w:val="single" w:color="CCCCCC" w:sz="1"/>
              <w:bottom w:val="single" w:color="CCCCCC" w:sz="1"/>
              <w:right w:val="single" w:color="CCCCCC" w:sz="1"/>
            </w:tcBorders>
            <w:shd w:fill="F7F6F3" w:val="clear"/>
            <w:tcMar>
              <w:top w:type="dxa" w:w="70"/>
              <w:left w:type="dxa" w:w="120"/>
              <w:bottom w:type="dxa" w:w="70"/>
              <w:right w:type="dxa" w:w="120"/>
            </w:tcMar>
          </w:tcPr>
          <w:p>
            <w:r>
              <w:rPr>
                <w:rFonts w:ascii="Arial" w:cs="Arial" w:eastAsia="Arial" w:hAnsi="Arial"/>
                <w:b/>
                <w:bCs/>
                <w:color w:val="3A4A5A"/>
                <w:sz w:val="20"/>
                <w:szCs w:val="20"/>
              </w:rPr>
              <w:t xml:space="preserve">Tasneem Mahmoud</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A4A5A"/>
                <w:sz w:val="20"/>
                <w:szCs w:val="20"/>
              </w:rPr>
              <w:t xml:space="preserve">Confirmed Founding Member — Registry and role designation pending response.</w:t>
            </w:r>
          </w:p>
        </w:tc>
      </w:tr>
      <w:tr>
        <w:tc>
          <w:tcPr>
            <w:tcW w:type="dxa" w:w="2800"/>
            <w:tcBorders>
              <w:top w:val="single" w:color="CCCCCC" w:sz="1"/>
              <w:left w:val="single" w:color="CCCCCC" w:sz="1"/>
              <w:bottom w:val="single" w:color="CCCCCC" w:sz="1"/>
              <w:right w:val="single" w:color="CCCCCC" w:sz="1"/>
            </w:tcBorders>
            <w:shd w:fill="F7F6F3" w:val="clear"/>
            <w:tcMar>
              <w:top w:type="dxa" w:w="70"/>
              <w:left w:type="dxa" w:w="120"/>
              <w:bottom w:type="dxa" w:w="70"/>
              <w:right w:type="dxa" w:w="120"/>
            </w:tcMar>
          </w:tcPr>
          <w:p>
            <w:r>
              <w:rPr>
                <w:rFonts w:ascii="Arial" w:cs="Arial" w:eastAsia="Arial" w:hAnsi="Arial"/>
                <w:b/>
                <w:bCs/>
                <w:color w:val="3A4A5A"/>
                <w:sz w:val="20"/>
                <w:szCs w:val="20"/>
              </w:rPr>
              <w:t xml:space="preserve">Dr Maruf Hossain</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A4A5A"/>
                <w:sz w:val="20"/>
                <w:szCs w:val="20"/>
              </w:rPr>
              <w:t xml:space="preserve">Pipeline — Outreach sent. Eight-layer Runtime Governance Model directly relevant. Ex-IBM, Telstra, ANZ. Strong fit for Regulated Industry Governance Lead role if confirmed.</w:t>
            </w:r>
          </w:p>
        </w:tc>
      </w:tr>
      <w:tr>
        <w:tc>
          <w:tcPr>
            <w:tcW w:type="dxa" w:w="2800"/>
            <w:tcBorders>
              <w:top w:val="single" w:color="CCCCCC" w:sz="1"/>
              <w:left w:val="single" w:color="CCCCCC" w:sz="1"/>
              <w:bottom w:val="single" w:color="CCCCCC" w:sz="1"/>
              <w:right w:val="single" w:color="CCCCCC" w:sz="1"/>
            </w:tcBorders>
            <w:shd w:fill="F7F6F3" w:val="clear"/>
            <w:tcMar>
              <w:top w:type="dxa" w:w="70"/>
              <w:left w:type="dxa" w:w="120"/>
              <w:bottom w:type="dxa" w:w="70"/>
              <w:right w:type="dxa" w:w="120"/>
            </w:tcMar>
          </w:tcPr>
          <w:p>
            <w:r>
              <w:rPr>
                <w:rFonts w:ascii="Arial" w:cs="Arial" w:eastAsia="Arial" w:hAnsi="Arial"/>
                <w:b/>
                <w:bCs/>
                <w:color w:val="3A4A5A"/>
                <w:sz w:val="20"/>
                <w:szCs w:val="20"/>
              </w:rPr>
              <w:t xml:space="preserve">Jyothish Nair</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A4A5A"/>
                <w:sz w:val="20"/>
                <w:szCs w:val="20"/>
              </w:rPr>
              <w:t xml:space="preserve">Pipeline — Outreach sent. AI routing and escalation logic perspective.</w:t>
            </w:r>
          </w:p>
        </w:tc>
      </w:tr>
      <w:tr>
        <w:tc>
          <w:tcPr>
            <w:tcW w:type="dxa" w:w="2800"/>
            <w:tcBorders>
              <w:top w:val="single" w:color="CCCCCC" w:sz="1"/>
              <w:left w:val="single" w:color="CCCCCC" w:sz="1"/>
              <w:bottom w:val="single" w:color="CCCCCC" w:sz="1"/>
              <w:right w:val="single" w:color="CCCCCC" w:sz="1"/>
            </w:tcBorders>
            <w:shd w:fill="F7F6F3" w:val="clear"/>
            <w:tcMar>
              <w:top w:type="dxa" w:w="70"/>
              <w:left w:type="dxa" w:w="120"/>
              <w:bottom w:type="dxa" w:w="70"/>
              <w:right w:type="dxa" w:w="120"/>
            </w:tcMar>
          </w:tcPr>
          <w:p>
            <w:r>
              <w:rPr>
                <w:rFonts w:ascii="Arial" w:cs="Arial" w:eastAsia="Arial" w:hAnsi="Arial"/>
                <w:b/>
                <w:bCs/>
                <w:color w:val="3A4A5A"/>
                <w:sz w:val="20"/>
                <w:szCs w:val="20"/>
              </w:rPr>
              <w:t xml:space="preserve">Axel Bjoernklou</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A4A5A"/>
                <w:sz w:val="20"/>
                <w:szCs w:val="20"/>
              </w:rPr>
              <w:t xml:space="preserve">Pipeline — Light outreach sent. UAE enterprise deployment perspective. Contributor level rather than founding member.</w:t>
            </w:r>
          </w:p>
        </w:tc>
      </w:tr>
      <w:tr>
        <w:tc>
          <w:tcPr>
            <w:tcW w:type="dxa" w:w="2800"/>
            <w:tcBorders>
              <w:top w:val="single" w:color="CCCCCC" w:sz="1"/>
              <w:left w:val="single" w:color="CCCCCC" w:sz="1"/>
              <w:bottom w:val="single" w:color="CCCCCC" w:sz="1"/>
              <w:right w:val="single" w:color="CCCCCC" w:sz="1"/>
            </w:tcBorders>
            <w:shd w:fill="F7F6F3" w:val="clear"/>
            <w:tcMar>
              <w:top w:type="dxa" w:w="70"/>
              <w:left w:type="dxa" w:w="120"/>
              <w:bottom w:type="dxa" w:w="70"/>
              <w:right w:type="dxa" w:w="120"/>
            </w:tcMar>
          </w:tcPr>
          <w:p>
            <w:r>
              <w:rPr>
                <w:rFonts w:ascii="Arial" w:cs="Arial" w:eastAsia="Arial" w:hAnsi="Arial"/>
                <w:b/>
                <w:bCs/>
                <w:color w:val="3A4A5A"/>
                <w:sz w:val="20"/>
                <w:szCs w:val="20"/>
              </w:rPr>
              <w:t xml:space="preserve">Luis Fernando Martinez Chavez (High ArchyTech)</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A4A5A"/>
                <w:sz w:val="20"/>
                <w:szCs w:val="20"/>
              </w:rPr>
              <w:t xml:space="preserve">Declined — IP protection concern. Deterministic physical execution architecture. Door open for re-engagement after Session 01 record published.</w:t>
            </w:r>
          </w:p>
        </w:tc>
      </w:tr>
      <w:tr>
        <w:tc>
          <w:tcPr>
            <w:tcW w:type="dxa" w:w="2800"/>
            <w:tcBorders>
              <w:top w:val="single" w:color="CCCCCC" w:sz="1"/>
              <w:left w:val="single" w:color="CCCCCC" w:sz="1"/>
              <w:bottom w:val="single" w:color="CCCCCC" w:sz="1"/>
              <w:right w:val="single" w:color="CCCCCC" w:sz="1"/>
            </w:tcBorders>
            <w:shd w:fill="F7F6F3" w:val="clear"/>
            <w:tcMar>
              <w:top w:type="dxa" w:w="70"/>
              <w:left w:type="dxa" w:w="120"/>
              <w:bottom w:type="dxa" w:w="70"/>
              <w:right w:type="dxa" w:w="120"/>
            </w:tcMar>
          </w:tcPr>
          <w:p>
            <w:r>
              <w:rPr>
                <w:rFonts w:ascii="Arial" w:cs="Arial" w:eastAsia="Arial" w:hAnsi="Arial"/>
                <w:b/>
                <w:bCs/>
                <w:color w:val="3A4A5A"/>
                <w:sz w:val="20"/>
                <w:szCs w:val="20"/>
              </w:rPr>
              <w:t xml:space="preserve">Dr Masayuki Otani</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A4A5A"/>
                <w:sz w:val="20"/>
                <w:szCs w:val="20"/>
              </w:rPr>
              <w:t xml:space="preserve">Observer only — confirmed preference for light, distant involvement.</w:t>
            </w:r>
          </w:p>
        </w:tc>
      </w:tr>
    </w:tbl>
    <w:p>
      <w:pPr>
        <w:pBdr>
          <w:bottom w:val="single" w:color="1D9E75" w:sz="8" w:space="1"/>
        </w:pBdr>
        <w:spacing w:after="160" w:before="160"/>
      </w:pPr>
    </w:p>
    <w:p>
      <w:pPr>
        <w:pStyle w:val="Heading1"/>
        <w:spacing w:after="160" w:before="400"/>
      </w:pPr>
      <w:r>
        <w:rPr>
          <w:rFonts w:ascii="Arial" w:cs="Arial" w:eastAsia="Arial" w:hAnsi="Arial"/>
          <w:b/>
          <w:bCs/>
          <w:color w:val="0F6E56"/>
          <w:sz w:val="34"/>
          <w:szCs w:val="34"/>
        </w:rPr>
        <w:t xml:space="preserve">7.  Session 01 — Status and Architecture</w:t>
      </w:r>
    </w:p>
    <w:p>
      <w:pPr>
        <w:pStyle w:val="Heading2"/>
        <w:spacing w:after="100" w:before="280"/>
      </w:pPr>
      <w:r>
        <w:rPr>
          <w:rFonts w:ascii="Arial" w:cs="Arial" w:eastAsia="Arial" w:hAnsi="Arial"/>
          <w:b/>
          <w:bCs/>
          <w:color w:val="1D9E75"/>
          <w:sz w:val="26"/>
          <w:szCs w:val="26"/>
        </w:rPr>
        <w:t xml:space="preserve">7.1  The Question</w:t>
      </w:r>
    </w:p>
    <w:p>
      <w:pPr>
        <w:pBdr>
          <w:left w:val="single" w:color="0F6E56" w:sz="14" w:space="10"/>
        </w:pBdr>
        <w:spacing w:after="120" w:before="120"/>
        <w:ind w:left="560"/>
      </w:pPr>
      <w:r>
        <w:rPr>
          <w:rFonts w:ascii="Arial" w:cs="Arial" w:eastAsia="Arial" w:hAnsi="Arial"/>
          <w:b/>
          <w:bCs/>
          <w:i/>
          <w:iCs/>
          <w:color w:val="0F6E56"/>
          <w:sz w:val="22"/>
          <w:szCs w:val="22"/>
        </w:rPr>
        <w:t xml:space="preserve">"What must be governed before execution — rather than only audited afterward?"</w:t>
      </w:r>
    </w:p>
    <w:p>
      <w:pPr>
        <w:spacing w:after="120" w:before="80"/>
      </w:pPr>
    </w:p>
    <w:p>
      <w:pPr>
        <w:pStyle w:val="Heading2"/>
        <w:spacing w:after="100" w:before="280"/>
      </w:pPr>
      <w:r>
        <w:rPr>
          <w:rFonts w:ascii="Arial" w:cs="Arial" w:eastAsia="Arial" w:hAnsi="Arial"/>
          <w:b/>
          <w:bCs/>
          <w:color w:val="1D9E75"/>
          <w:sz w:val="26"/>
          <w:szCs w:val="26"/>
        </w:rPr>
        <w:t xml:space="preserve">7.2  Session Architecture</w:t>
      </w:r>
    </w:p>
    <w:p>
      <w:pPr>
        <w:spacing w:after="80" w:before="60"/>
      </w:pPr>
      <w:r>
        <w:rPr>
          <w:rFonts w:ascii="Arial" w:cs="Arial" w:eastAsia="Arial" w:hAnsi="Arial"/>
          <w:color w:val="3A4A5A"/>
          <w:sz w:val="22"/>
          <w:szCs w:val="22"/>
        </w:rPr>
        <w:t xml:space="preserve">Designed by Saad Muzafar, Session Architect Phase 1. Accepted by the full circle.</w:t>
      </w:r>
    </w:p>
    <w:p>
      <w:pPr>
        <w:spacing w:after="120" w:before="60"/>
      </w:pPr>
    </w:p>
    <w:p>
      <w:pPr>
        <w:spacing w:after="50" w:before="50"/>
        <w:ind w:left="360"/>
      </w:pPr>
      <w:r>
        <w:rPr>
          <w:rFonts w:ascii="Arial" w:cs="Arial" w:eastAsia="Arial" w:hAnsi="Arial"/>
          <w:b/>
          <w:bCs/>
          <w:color w:val="1D9E75"/>
          <w:sz w:val="22"/>
          <w:szCs w:val="22"/>
        </w:rPr>
        <w:t xml:space="preserve">→  </w:t>
      </w:r>
      <w:r>
        <w:rPr>
          <w:rFonts w:ascii="Arial" w:cs="Arial" w:eastAsia="Arial" w:hAnsi="Arial"/>
          <w:b/>
          <w:bCs/>
          <w:color w:val="3A4A5A"/>
          <w:sz w:val="22"/>
          <w:szCs w:val="22"/>
        </w:rPr>
        <w:t xml:space="preserve">Opening question</w:t>
      </w:r>
      <w:r>
        <w:rPr>
          <w:rFonts w:ascii="Arial" w:cs="Arial" w:eastAsia="Arial" w:hAnsi="Arial"/>
          <w:color w:val="3A4A5A"/>
          <w:sz w:val="22"/>
          <w:szCs w:val="22"/>
        </w:rPr>
        <w:t xml:space="preserve">  What must be governed before execution, rather than only audited afterward?</w:t>
      </w:r>
    </w:p>
    <w:p>
      <w:pPr>
        <w:spacing w:after="50" w:before="50"/>
        <w:ind w:left="360"/>
      </w:pPr>
      <w:r>
        <w:rPr>
          <w:rFonts w:ascii="Arial" w:cs="Arial" w:eastAsia="Arial" w:hAnsi="Arial"/>
          <w:b/>
          <w:bCs/>
          <w:color w:val="1D9E75"/>
          <w:sz w:val="22"/>
          <w:szCs w:val="22"/>
        </w:rPr>
        <w:t xml:space="preserve">→  </w:t>
      </w:r>
      <w:r>
        <w:rPr>
          <w:rFonts w:ascii="Arial" w:cs="Arial" w:eastAsia="Arial" w:hAnsi="Arial"/>
          <w:b/>
          <w:bCs/>
          <w:color w:val="3A4A5A"/>
          <w:sz w:val="22"/>
          <w:szCs w:val="22"/>
        </w:rPr>
        <w:t xml:space="preserve">Contribution format</w:t>
      </w:r>
      <w:r>
        <w:rPr>
          <w:rFonts w:ascii="Arial" w:cs="Arial" w:eastAsia="Arial" w:hAnsi="Arial"/>
          <w:color w:val="3A4A5A"/>
          <w:sz w:val="22"/>
          <w:szCs w:val="22"/>
        </w:rPr>
        <w:t xml:space="preserve">  Six structured points per member</w:t>
      </w:r>
    </w:p>
    <w:p>
      <w:pPr>
        <w:spacing w:after="50" w:before="50"/>
        <w:ind w:left="360"/>
      </w:pPr>
      <w:r>
        <w:rPr>
          <w:rFonts w:ascii="Arial" w:cs="Arial" w:eastAsia="Arial" w:hAnsi="Arial"/>
          <w:b/>
          <w:bCs/>
          <w:color w:val="1D9E75"/>
          <w:sz w:val="22"/>
          <w:szCs w:val="22"/>
        </w:rPr>
        <w:t xml:space="preserve">→  </w:t>
      </w:r>
      <w:r>
        <w:rPr>
          <w:rFonts w:ascii="Arial" w:cs="Arial" w:eastAsia="Arial" w:hAnsi="Arial"/>
          <w:b/>
          <w:bCs/>
          <w:color w:val="3A4A5A"/>
          <w:sz w:val="22"/>
          <w:szCs w:val="22"/>
        </w:rPr>
        <w:t xml:space="preserve">Compilation principle</w:t>
      </w:r>
      <w:r>
        <w:rPr>
          <w:rFonts w:ascii="Arial" w:cs="Arial" w:eastAsia="Arial" w:hAnsi="Arial"/>
          <w:color w:val="3A4A5A"/>
          <w:sz w:val="22"/>
          <w:szCs w:val="22"/>
        </w:rPr>
        <w:t xml:space="preserve">  Each contribution attributed, unmerged, in the member's own framing</w:t>
      </w:r>
    </w:p>
    <w:p>
      <w:pPr>
        <w:spacing w:after="50" w:before="50"/>
        <w:ind w:left="360"/>
      </w:pPr>
      <w:r>
        <w:rPr>
          <w:rFonts w:ascii="Arial" w:cs="Arial" w:eastAsia="Arial" w:hAnsi="Arial"/>
          <w:b/>
          <w:bCs/>
          <w:color w:val="1D9E75"/>
          <w:sz w:val="22"/>
          <w:szCs w:val="22"/>
        </w:rPr>
        <w:t xml:space="preserve">→  </w:t>
      </w:r>
      <w:r>
        <w:rPr>
          <w:rFonts w:ascii="Arial" w:cs="Arial" w:eastAsia="Arial" w:hAnsi="Arial"/>
          <w:b/>
          <w:bCs/>
          <w:color w:val="3A4A5A"/>
          <w:sz w:val="22"/>
          <w:szCs w:val="22"/>
        </w:rPr>
        <w:t xml:space="preserve">Output</w:t>
      </w:r>
      <w:r>
        <w:rPr>
          <w:rFonts w:ascii="Arial" w:cs="Arial" w:eastAsia="Arial" w:hAnsi="Arial"/>
          <w:color w:val="3A4A5A"/>
          <w:sz w:val="22"/>
          <w:szCs w:val="22"/>
        </w:rPr>
        <w:t xml:space="preserve">  Permanent session record with observed themes listed separately from individual contributions</w:t>
      </w:r>
    </w:p>
    <w:p>
      <w:pPr>
        <w:spacing w:after="50" w:before="50"/>
        <w:ind w:left="360"/>
      </w:pPr>
      <w:r>
        <w:rPr>
          <w:rFonts w:ascii="Arial" w:cs="Arial" w:eastAsia="Arial" w:hAnsi="Arial"/>
          <w:b/>
          <w:bCs/>
          <w:color w:val="1D9E75"/>
          <w:sz w:val="22"/>
          <w:szCs w:val="22"/>
        </w:rPr>
        <w:t xml:space="preserve">→  </w:t>
      </w:r>
      <w:r>
        <w:rPr>
          <w:rFonts w:ascii="Arial" w:cs="Arial" w:eastAsia="Arial" w:hAnsi="Arial"/>
          <w:b/>
          <w:bCs/>
          <w:color w:val="3A4A5A"/>
          <w:sz w:val="22"/>
          <w:szCs w:val="22"/>
        </w:rPr>
        <w:t xml:space="preserve">No consensus produced</w:t>
      </w:r>
      <w:r>
        <w:rPr>
          <w:rFonts w:ascii="Arial" w:cs="Arial" w:eastAsia="Arial" w:hAnsi="Arial"/>
          <w:color w:val="3A4A5A"/>
          <w:sz w:val="22"/>
          <w:szCs w:val="22"/>
        </w:rPr>
        <w:t xml:space="preserve">  No recommendations at this stage — Phase 1 is visibility and mapping</w:t>
      </w:r>
    </w:p>
    <w:p>
      <w:pPr>
        <w:spacing w:after="120" w:before="80"/>
      </w:pPr>
    </w:p>
    <w:p>
      <w:pPr>
        <w:pStyle w:val="Heading2"/>
        <w:spacing w:after="100" w:before="280"/>
      </w:pPr>
      <w:r>
        <w:rPr>
          <w:rFonts w:ascii="Arial" w:cs="Arial" w:eastAsia="Arial" w:hAnsi="Arial"/>
          <w:b/>
          <w:bCs/>
          <w:color w:val="1D9E75"/>
          <w:sz w:val="26"/>
          <w:szCs w:val="26"/>
        </w:rPr>
        <w:t xml:space="preserve">7.3  The Six-Point Contribution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0F6E56" w:val="clear"/>
            <w:tcMar>
              <w:top w:type="dxa" w:w="70"/>
              <w:left w:type="dxa" w:w="120"/>
              <w:bottom w:type="dxa" w:w="70"/>
              <w:right w:type="dxa" w:w="120"/>
            </w:tcMar>
          </w:tcPr>
          <w:p>
            <w:r>
              <w:rPr>
                <w:rFonts w:ascii="Arial" w:cs="Arial" w:eastAsia="Arial" w:hAnsi="Arial"/>
                <w:b/>
                <w:bCs/>
                <w:color w:val="FFFFFF"/>
                <w:sz w:val="20"/>
                <w:szCs w:val="20"/>
              </w:rPr>
              <w:t xml:space="preserve">Point</w:t>
            </w:r>
          </w:p>
        </w:tc>
        <w:tc>
          <w:tcPr>
            <w:tcW w:type="dxa" w:w="8560"/>
            <w:tcBorders>
              <w:top w:val="single" w:color="CCCCCC" w:sz="1"/>
              <w:left w:val="single" w:color="CCCCCC" w:sz="1"/>
              <w:bottom w:val="single" w:color="CCCCCC" w:sz="1"/>
              <w:right w:val="single" w:color="CCCCCC" w:sz="1"/>
            </w:tcBorders>
            <w:shd w:fill="0F6E56" w:val="clear"/>
            <w:tcMar>
              <w:top w:type="dxa" w:w="70"/>
              <w:left w:type="dxa" w:w="120"/>
              <w:bottom w:type="dxa" w:w="70"/>
              <w:right w:type="dxa" w:w="120"/>
            </w:tcMar>
          </w:tcPr>
          <w:p>
            <w:r>
              <w:rPr>
                <w:rFonts w:ascii="Arial" w:cs="Arial" w:eastAsia="Arial" w:hAnsi="Arial"/>
                <w:b/>
                <w:bCs/>
                <w:color w:val="FFFFFF"/>
                <w:sz w:val="20"/>
                <w:szCs w:val="20"/>
              </w:rPr>
              <w:t xml:space="preserve">Question</w:t>
            </w:r>
          </w:p>
        </w:tc>
      </w:tr>
      <w:tr>
        <w:tc>
          <w:tcPr>
            <w:tcW w:type="dxa" w:w="800"/>
            <w:tcBorders>
              <w:top w:val="single" w:color="CCCCCC" w:sz="1"/>
              <w:left w:val="single" w:color="CCCCCC" w:sz="1"/>
              <w:bottom w:val="single" w:color="CCCCCC" w:sz="1"/>
              <w:right w:val="single" w:color="CCCCCC" w:sz="1"/>
            </w:tcBorders>
            <w:shd w:fill="F7F6F3" w:val="clear"/>
            <w:tcMar>
              <w:top w:type="dxa" w:w="70"/>
              <w:left w:type="dxa" w:w="120"/>
              <w:bottom w:type="dxa" w:w="70"/>
              <w:right w:type="dxa" w:w="120"/>
            </w:tcMar>
          </w:tcPr>
          <w:p>
            <w:r>
              <w:rPr>
                <w:rFonts w:ascii="Arial" w:cs="Arial" w:eastAsia="Arial" w:hAnsi="Arial"/>
                <w:b/>
                <w:bCs/>
                <w:color w:val="3A4A5A"/>
                <w:sz w:val="20"/>
                <w:szCs w:val="20"/>
              </w:rPr>
              <w:t xml:space="preserve">1</w:t>
            </w:r>
          </w:p>
        </w:tc>
        <w:tc>
          <w:tcPr>
            <w:tcW w:type="dxa" w:w="8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A4A5A"/>
                <w:sz w:val="20"/>
                <w:szCs w:val="20"/>
              </w:rPr>
              <w:t xml:space="preserve">Your core answer — in your own words, what must be governed before execution?</w:t>
            </w:r>
          </w:p>
        </w:tc>
      </w:tr>
      <w:tr>
        <w:tc>
          <w:tcPr>
            <w:tcW w:type="dxa" w:w="800"/>
            <w:tcBorders>
              <w:top w:val="single" w:color="CCCCCC" w:sz="1"/>
              <w:left w:val="single" w:color="CCCCCC" w:sz="1"/>
              <w:bottom w:val="single" w:color="CCCCCC" w:sz="1"/>
              <w:right w:val="single" w:color="CCCCCC" w:sz="1"/>
            </w:tcBorders>
            <w:shd w:fill="F7F6F3" w:val="clear"/>
            <w:tcMar>
              <w:top w:type="dxa" w:w="70"/>
              <w:left w:type="dxa" w:w="120"/>
              <w:bottom w:type="dxa" w:w="70"/>
              <w:right w:type="dxa" w:w="120"/>
            </w:tcMar>
          </w:tcPr>
          <w:p>
            <w:r>
              <w:rPr>
                <w:rFonts w:ascii="Arial" w:cs="Arial" w:eastAsia="Arial" w:hAnsi="Arial"/>
                <w:b/>
                <w:bCs/>
                <w:color w:val="3A4A5A"/>
                <w:sz w:val="20"/>
                <w:szCs w:val="20"/>
              </w:rPr>
              <w:t xml:space="preserve">2</w:t>
            </w:r>
          </w:p>
        </w:tc>
        <w:tc>
          <w:tcPr>
            <w:tcW w:type="dxa" w:w="8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A4A5A"/>
                <w:sz w:val="20"/>
                <w:szCs w:val="20"/>
              </w:rPr>
              <w:t xml:space="preserve">The governance problem your work addresses — what breaks without it?</w:t>
            </w:r>
          </w:p>
        </w:tc>
      </w:tr>
      <w:tr>
        <w:tc>
          <w:tcPr>
            <w:tcW w:type="dxa" w:w="800"/>
            <w:tcBorders>
              <w:top w:val="single" w:color="CCCCCC" w:sz="1"/>
              <w:left w:val="single" w:color="CCCCCC" w:sz="1"/>
              <w:bottom w:val="single" w:color="CCCCCC" w:sz="1"/>
              <w:right w:val="single" w:color="CCCCCC" w:sz="1"/>
            </w:tcBorders>
            <w:shd w:fill="F7F6F3" w:val="clear"/>
            <w:tcMar>
              <w:top w:type="dxa" w:w="70"/>
              <w:left w:type="dxa" w:w="120"/>
              <w:bottom w:type="dxa" w:w="70"/>
              <w:right w:type="dxa" w:w="120"/>
            </w:tcMar>
          </w:tcPr>
          <w:p>
            <w:r>
              <w:rPr>
                <w:rFonts w:ascii="Arial" w:cs="Arial" w:eastAsia="Arial" w:hAnsi="Arial"/>
                <w:b/>
                <w:bCs/>
                <w:color w:val="3A4A5A"/>
                <w:sz w:val="20"/>
                <w:szCs w:val="20"/>
              </w:rPr>
              <w:t xml:space="preserve">3</w:t>
            </w:r>
          </w:p>
        </w:tc>
        <w:tc>
          <w:tcPr>
            <w:tcW w:type="dxa" w:w="8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A4A5A"/>
                <w:sz w:val="20"/>
                <w:szCs w:val="20"/>
              </w:rPr>
              <w:t xml:space="preserve">Where your work sits in the transition chain — Evidence → Trust → Authority → Permission → Action → Consequence</w:t>
            </w:r>
          </w:p>
        </w:tc>
      </w:tr>
      <w:tr>
        <w:tc>
          <w:tcPr>
            <w:tcW w:type="dxa" w:w="800"/>
            <w:tcBorders>
              <w:top w:val="single" w:color="CCCCCC" w:sz="1"/>
              <w:left w:val="single" w:color="CCCCCC" w:sz="1"/>
              <w:bottom w:val="single" w:color="CCCCCC" w:sz="1"/>
              <w:right w:val="single" w:color="CCCCCC" w:sz="1"/>
            </w:tcBorders>
            <w:shd w:fill="F7F6F3" w:val="clear"/>
            <w:tcMar>
              <w:top w:type="dxa" w:w="70"/>
              <w:left w:type="dxa" w:w="120"/>
              <w:bottom w:type="dxa" w:w="70"/>
              <w:right w:type="dxa" w:w="120"/>
            </w:tcMar>
          </w:tcPr>
          <w:p>
            <w:r>
              <w:rPr>
                <w:rFonts w:ascii="Arial" w:cs="Arial" w:eastAsia="Arial" w:hAnsi="Arial"/>
                <w:b/>
                <w:bCs/>
                <w:color w:val="3A4A5A"/>
                <w:sz w:val="20"/>
                <w:szCs w:val="20"/>
              </w:rPr>
              <w:t xml:space="preserve">4</w:t>
            </w:r>
          </w:p>
        </w:tc>
        <w:tc>
          <w:tcPr>
            <w:tcW w:type="dxa" w:w="8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A4A5A"/>
                <w:sz w:val="20"/>
                <w:szCs w:val="20"/>
              </w:rPr>
              <w:t xml:space="preserve">What must happen before execution — specifically and practically</w:t>
            </w:r>
          </w:p>
        </w:tc>
      </w:tr>
      <w:tr>
        <w:tc>
          <w:tcPr>
            <w:tcW w:type="dxa" w:w="800"/>
            <w:tcBorders>
              <w:top w:val="single" w:color="CCCCCC" w:sz="1"/>
              <w:left w:val="single" w:color="CCCCCC" w:sz="1"/>
              <w:bottom w:val="single" w:color="CCCCCC" w:sz="1"/>
              <w:right w:val="single" w:color="CCCCCC" w:sz="1"/>
            </w:tcBorders>
            <w:shd w:fill="F7F6F3" w:val="clear"/>
            <w:tcMar>
              <w:top w:type="dxa" w:w="70"/>
              <w:left w:type="dxa" w:w="120"/>
              <w:bottom w:type="dxa" w:w="70"/>
              <w:right w:type="dxa" w:w="120"/>
            </w:tcMar>
          </w:tcPr>
          <w:p>
            <w:r>
              <w:rPr>
                <w:rFonts w:ascii="Arial" w:cs="Arial" w:eastAsia="Arial" w:hAnsi="Arial"/>
                <w:b/>
                <w:bCs/>
                <w:color w:val="3A4A5A"/>
                <w:sz w:val="20"/>
                <w:szCs w:val="20"/>
              </w:rPr>
              <w:t xml:space="preserve">5</w:t>
            </w:r>
          </w:p>
        </w:tc>
        <w:tc>
          <w:tcPr>
            <w:tcW w:type="dxa" w:w="8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A4A5A"/>
                <w:sz w:val="20"/>
                <w:szCs w:val="20"/>
              </w:rPr>
              <w:t xml:space="preserve">What should remain auditable afterward</w:t>
            </w:r>
          </w:p>
        </w:tc>
      </w:tr>
      <w:tr>
        <w:tc>
          <w:tcPr>
            <w:tcW w:type="dxa" w:w="800"/>
            <w:tcBorders>
              <w:top w:val="single" w:color="CCCCCC" w:sz="1"/>
              <w:left w:val="single" w:color="CCCCCC" w:sz="1"/>
              <w:bottom w:val="single" w:color="CCCCCC" w:sz="1"/>
              <w:right w:val="single" w:color="CCCCCC" w:sz="1"/>
            </w:tcBorders>
            <w:shd w:fill="F7F6F3" w:val="clear"/>
            <w:tcMar>
              <w:top w:type="dxa" w:w="70"/>
              <w:left w:type="dxa" w:w="120"/>
              <w:bottom w:type="dxa" w:w="70"/>
              <w:right w:type="dxa" w:w="120"/>
            </w:tcMar>
          </w:tcPr>
          <w:p>
            <w:r>
              <w:rPr>
                <w:rFonts w:ascii="Arial" w:cs="Arial" w:eastAsia="Arial" w:hAnsi="Arial"/>
                <w:b/>
                <w:bCs/>
                <w:color w:val="3A4A5A"/>
                <w:sz w:val="20"/>
                <w:szCs w:val="20"/>
              </w:rPr>
              <w:t xml:space="preserve">6</w:t>
            </w:r>
          </w:p>
        </w:tc>
        <w:tc>
          <w:tcPr>
            <w:tcW w:type="dxa" w:w="8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A4A5A"/>
                <w:sz w:val="20"/>
                <w:szCs w:val="20"/>
              </w:rPr>
              <w:t xml:space="preserve">Any open question your work has not yet resolved — honesty about gaps is as valuable as answers</w:t>
            </w:r>
          </w:p>
        </w:tc>
      </w:tr>
    </w:tbl>
    <w:p>
      <w:pPr>
        <w:spacing w:after="120" w:before="80"/>
      </w:pPr>
    </w:p>
    <w:p>
      <w:pPr>
        <w:pStyle w:val="Heading2"/>
        <w:spacing w:after="100" w:before="280"/>
      </w:pPr>
      <w:r>
        <w:rPr>
          <w:rFonts w:ascii="Arial" w:cs="Arial" w:eastAsia="Arial" w:hAnsi="Arial"/>
          <w:b/>
          <w:bCs/>
          <w:color w:val="1D9E75"/>
          <w:sz w:val="26"/>
          <w:szCs w:val="26"/>
        </w:rPr>
        <w:t xml:space="preserve">7.4  Pre-Submitted Contributions</w:t>
      </w:r>
    </w:p>
    <w:p>
      <w:pPr>
        <w:spacing w:after="80" w:before="60"/>
      </w:pPr>
      <w:r>
        <w:rPr>
          <w:rFonts w:ascii="Arial" w:cs="Arial" w:eastAsia="Arial" w:hAnsi="Arial"/>
          <w:color w:val="3A4A5A"/>
          <w:sz w:val="22"/>
          <w:szCs w:val="22"/>
        </w:rPr>
        <w:t xml:space="preserve">The following members submitted session contributions before Session 01 formally opened:</w:t>
      </w:r>
    </w:p>
    <w:p>
      <w:pPr>
        <w:spacing w:after="1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0F6E56" w:val="clear"/>
            <w:tcMar>
              <w:top w:type="dxa" w:w="70"/>
              <w:left w:type="dxa" w:w="120"/>
              <w:bottom w:type="dxa" w:w="70"/>
              <w:right w:type="dxa" w:w="120"/>
            </w:tcMar>
          </w:tcPr>
          <w:p>
            <w:r>
              <w:rPr>
                <w:rFonts w:ascii="Arial" w:cs="Arial" w:eastAsia="Arial" w:hAnsi="Arial"/>
                <w:b/>
                <w:bCs/>
                <w:color w:val="FFFFFF"/>
                <w:sz w:val="20"/>
                <w:szCs w:val="20"/>
              </w:rPr>
              <w:t xml:space="preserve">Member</w:t>
            </w:r>
          </w:p>
        </w:tc>
        <w:tc>
          <w:tcPr>
            <w:tcW w:type="dxa" w:w="6960"/>
            <w:tcBorders>
              <w:top w:val="single" w:color="CCCCCC" w:sz="1"/>
              <w:left w:val="single" w:color="CCCCCC" w:sz="1"/>
              <w:bottom w:val="single" w:color="CCCCCC" w:sz="1"/>
              <w:right w:val="single" w:color="CCCCCC" w:sz="1"/>
            </w:tcBorders>
            <w:shd w:fill="0F6E56" w:val="clear"/>
            <w:tcMar>
              <w:top w:type="dxa" w:w="70"/>
              <w:left w:type="dxa" w:w="120"/>
              <w:bottom w:type="dxa" w:w="70"/>
              <w:right w:type="dxa" w:w="120"/>
            </w:tcMar>
          </w:tcPr>
          <w:p>
            <w:r>
              <w:rPr>
                <w:rFonts w:ascii="Arial" w:cs="Arial" w:eastAsia="Arial" w:hAnsi="Arial"/>
                <w:b/>
                <w:bCs/>
                <w:color w:val="FFFFFF"/>
                <w:sz w:val="20"/>
                <w:szCs w:val="20"/>
              </w:rPr>
              <w:t xml:space="preserve">Key Contribution Statement</w:t>
            </w:r>
          </w:p>
        </w:tc>
      </w:tr>
      <w:tr>
        <w:tc>
          <w:tcPr>
            <w:tcW w:type="dxa" w:w="2400"/>
            <w:tcBorders>
              <w:top w:val="single" w:color="CCCCCC" w:sz="1"/>
              <w:left w:val="single" w:color="CCCCCC" w:sz="1"/>
              <w:bottom w:val="single" w:color="CCCCCC" w:sz="1"/>
              <w:right w:val="single" w:color="CCCCCC" w:sz="1"/>
            </w:tcBorders>
            <w:shd w:fill="F7F6F3" w:val="clear"/>
            <w:tcMar>
              <w:top w:type="dxa" w:w="70"/>
              <w:left w:type="dxa" w:w="120"/>
              <w:bottom w:type="dxa" w:w="70"/>
              <w:right w:type="dxa" w:w="120"/>
            </w:tcMar>
          </w:tcPr>
          <w:p>
            <w:r>
              <w:rPr>
                <w:rFonts w:ascii="Arial" w:cs="Arial" w:eastAsia="Arial" w:hAnsi="Arial"/>
                <w:b/>
                <w:bCs/>
                <w:color w:val="3A4A5A"/>
                <w:sz w:val="20"/>
                <w:szCs w:val="20"/>
              </w:rPr>
              <w:t xml:space="preserve">Dani Danwin (TrustLayers)</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A4A5A"/>
                <w:sz w:val="20"/>
                <w:szCs w:val="20"/>
              </w:rPr>
              <w:t xml:space="preserve">"Compliance is not a post-event check, but a structural impossibility of failure." Blueprint governs operational vector. Analyzer blocks unauthorised execution at the microsecond of violation.</w:t>
            </w:r>
          </w:p>
        </w:tc>
      </w:tr>
      <w:tr>
        <w:tc>
          <w:tcPr>
            <w:tcW w:type="dxa" w:w="2400"/>
            <w:tcBorders>
              <w:top w:val="single" w:color="CCCCCC" w:sz="1"/>
              <w:left w:val="single" w:color="CCCCCC" w:sz="1"/>
              <w:bottom w:val="single" w:color="CCCCCC" w:sz="1"/>
              <w:right w:val="single" w:color="CCCCCC" w:sz="1"/>
            </w:tcBorders>
            <w:shd w:fill="F7F6F3" w:val="clear"/>
            <w:tcMar>
              <w:top w:type="dxa" w:w="70"/>
              <w:left w:type="dxa" w:w="120"/>
              <w:bottom w:type="dxa" w:w="70"/>
              <w:right w:type="dxa" w:w="120"/>
            </w:tcMar>
          </w:tcPr>
          <w:p>
            <w:r>
              <w:rPr>
                <w:rFonts w:ascii="Arial" w:cs="Arial" w:eastAsia="Arial" w:hAnsi="Arial"/>
                <w:b/>
                <w:bCs/>
                <w:color w:val="3A4A5A"/>
                <w:sz w:val="20"/>
                <w:szCs w:val="20"/>
              </w:rPr>
              <w:t xml:space="preserve">Harold Nunes (OMNIX QUANTUM)</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A4A5A"/>
                <w:sz w:val="20"/>
                <w:szCs w:val="20"/>
              </w:rPr>
              <w:t xml:space="preserve">"Configuration integrity, authority binding, and cryptographic sealing before Turn 0." 8 months of formalisation behind the answer.</w:t>
            </w:r>
          </w:p>
        </w:tc>
      </w:tr>
      <w:tr>
        <w:tc>
          <w:tcPr>
            <w:tcW w:type="dxa" w:w="2400"/>
            <w:tcBorders>
              <w:top w:val="single" w:color="CCCCCC" w:sz="1"/>
              <w:left w:val="single" w:color="CCCCCC" w:sz="1"/>
              <w:bottom w:val="single" w:color="CCCCCC" w:sz="1"/>
              <w:right w:val="single" w:color="CCCCCC" w:sz="1"/>
            </w:tcBorders>
            <w:shd w:fill="F7F6F3" w:val="clear"/>
            <w:tcMar>
              <w:top w:type="dxa" w:w="70"/>
              <w:left w:type="dxa" w:w="120"/>
              <w:bottom w:type="dxa" w:w="70"/>
              <w:right w:type="dxa" w:w="120"/>
            </w:tcMar>
          </w:tcPr>
          <w:p>
            <w:r>
              <w:rPr>
                <w:rFonts w:ascii="Arial" w:cs="Arial" w:eastAsia="Arial" w:hAnsi="Arial"/>
                <w:b/>
                <w:bCs/>
                <w:color w:val="3A4A5A"/>
                <w:sz w:val="20"/>
                <w:szCs w:val="20"/>
              </w:rPr>
              <w:t xml:space="preserve">Tim Zlomke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A4A5A"/>
                <w:sz w:val="20"/>
                <w:szCs w:val="20"/>
              </w:rPr>
              <w:t xml:space="preserve">"Many governance failures are not failures of execution but failures of authority formation. Execution simply reveals them." Trust → Authority is the least governed and most consequential transition.</w:t>
            </w:r>
          </w:p>
        </w:tc>
      </w:tr>
      <w:tr>
        <w:tc>
          <w:tcPr>
            <w:tcW w:type="dxa" w:w="2400"/>
            <w:tcBorders>
              <w:top w:val="single" w:color="CCCCCC" w:sz="1"/>
              <w:left w:val="single" w:color="CCCCCC" w:sz="1"/>
              <w:bottom w:val="single" w:color="CCCCCC" w:sz="1"/>
              <w:right w:val="single" w:color="CCCCCC" w:sz="1"/>
            </w:tcBorders>
            <w:shd w:fill="F7F6F3" w:val="clear"/>
            <w:tcMar>
              <w:top w:type="dxa" w:w="70"/>
              <w:left w:type="dxa" w:w="120"/>
              <w:bottom w:type="dxa" w:w="70"/>
              <w:right w:type="dxa" w:w="120"/>
            </w:tcMar>
          </w:tcPr>
          <w:p>
            <w:r>
              <w:rPr>
                <w:rFonts w:ascii="Arial" w:cs="Arial" w:eastAsia="Arial" w:hAnsi="Arial"/>
                <w:b/>
                <w:bCs/>
                <w:color w:val="3A4A5A"/>
                <w:sz w:val="20"/>
                <w:szCs w:val="20"/>
              </w:rPr>
              <w:t xml:space="preserve">Saad Muzafar (Altivon Labs)</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A4A5A"/>
                <w:sz w:val="20"/>
                <w:szCs w:val="20"/>
              </w:rPr>
              <w:t xml:space="preserve">"The moment where an AI system moves from recommendation into action — because that is where responsibility, authority, and consequence meet." Six-point pre-execution governance taxonomy.</w:t>
            </w:r>
          </w:p>
        </w:tc>
      </w:tr>
      <w:tr>
        <w:tc>
          <w:tcPr>
            <w:tcW w:type="dxa" w:w="2400"/>
            <w:tcBorders>
              <w:top w:val="single" w:color="CCCCCC" w:sz="1"/>
              <w:left w:val="single" w:color="CCCCCC" w:sz="1"/>
              <w:bottom w:val="single" w:color="CCCCCC" w:sz="1"/>
              <w:right w:val="single" w:color="CCCCCC" w:sz="1"/>
            </w:tcBorders>
            <w:shd w:fill="F7F6F3" w:val="clear"/>
            <w:tcMar>
              <w:top w:type="dxa" w:w="70"/>
              <w:left w:type="dxa" w:w="120"/>
              <w:bottom w:type="dxa" w:w="70"/>
              <w:right w:type="dxa" w:w="120"/>
            </w:tcMar>
          </w:tcPr>
          <w:p>
            <w:r>
              <w:rPr>
                <w:rFonts w:ascii="Arial" w:cs="Arial" w:eastAsia="Arial" w:hAnsi="Arial"/>
                <w:b/>
                <w:bCs/>
                <w:color w:val="3A4A5A"/>
                <w:sz w:val="20"/>
                <w:szCs w:val="20"/>
              </w:rPr>
              <w:t xml:space="preserve">Moad Abu-Alian</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A4A5A"/>
                <w:sz w:val="20"/>
                <w:szCs w:val="20"/>
              </w:rPr>
              <w:t xml:space="preserve">Automated Policy Decision Points must evaluate proposed AI actions against dynamic IT governance guardrails before triggering any execution API. Open question: ultra-low latency in multi-agent enterprise orchestrations without centralised bottlenecks.</w:t>
            </w:r>
          </w:p>
        </w:tc>
      </w:tr>
      <w:tr>
        <w:tc>
          <w:tcPr>
            <w:tcW w:type="dxa" w:w="2400"/>
            <w:tcBorders>
              <w:top w:val="single" w:color="CCCCCC" w:sz="1"/>
              <w:left w:val="single" w:color="CCCCCC" w:sz="1"/>
              <w:bottom w:val="single" w:color="CCCCCC" w:sz="1"/>
              <w:right w:val="single" w:color="CCCCCC" w:sz="1"/>
            </w:tcBorders>
            <w:shd w:fill="F7F6F3" w:val="clear"/>
            <w:tcMar>
              <w:top w:type="dxa" w:w="70"/>
              <w:left w:type="dxa" w:w="120"/>
              <w:bottom w:type="dxa" w:w="70"/>
              <w:right w:type="dxa" w:w="120"/>
            </w:tcMar>
          </w:tcPr>
          <w:p>
            <w:r>
              <w:rPr>
                <w:rFonts w:ascii="Arial" w:cs="Arial" w:eastAsia="Arial" w:hAnsi="Arial"/>
                <w:b/>
                <w:bCs/>
                <w:color w:val="3A4A5A"/>
                <w:sz w:val="20"/>
                <w:szCs w:val="20"/>
              </w:rPr>
              <w:t xml:space="preserve">Syeda Beenish Fatima (MaqasidAI)</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A4A5A"/>
                <w:sz w:val="20"/>
                <w:szCs w:val="20"/>
              </w:rPr>
              <w:t xml:space="preserve">"Semantic admissibility must be governed before execution. That harm forms at the moment of delivery. By the time it is audited, it has already been relied upon."</w:t>
            </w:r>
          </w:p>
        </w:tc>
      </w:tr>
      <w:tr>
        <w:tc>
          <w:tcPr>
            <w:tcW w:type="dxa" w:w="2400"/>
            <w:tcBorders>
              <w:top w:val="single" w:color="CCCCCC" w:sz="1"/>
              <w:left w:val="single" w:color="CCCCCC" w:sz="1"/>
              <w:bottom w:val="single" w:color="CCCCCC" w:sz="1"/>
              <w:right w:val="single" w:color="CCCCCC" w:sz="1"/>
            </w:tcBorders>
            <w:shd w:fill="F7F6F3" w:val="clear"/>
            <w:tcMar>
              <w:top w:type="dxa" w:w="70"/>
              <w:left w:type="dxa" w:w="120"/>
              <w:bottom w:type="dxa" w:w="70"/>
              <w:right w:type="dxa" w:w="120"/>
            </w:tcMar>
          </w:tcPr>
          <w:p>
            <w:r>
              <w:rPr>
                <w:rFonts w:ascii="Arial" w:cs="Arial" w:eastAsia="Arial" w:hAnsi="Arial"/>
                <w:b/>
                <w:bCs/>
                <w:color w:val="3A4A5A"/>
                <w:sz w:val="20"/>
                <w:szCs w:val="20"/>
              </w:rPr>
              <w:t xml:space="preserve">Naimatullah (Velos Systems)</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A4A5A"/>
                <w:sz w:val="20"/>
                <w:szCs w:val="20"/>
              </w:rPr>
              <w:t xml:space="preserve">"Post-hoc auditing is just a well-documented autopsy. True determinism requires down-stack interception." TCP_RST at T=0. Forensic Trace Vector at moment of kernel severance.</w:t>
            </w:r>
          </w:p>
        </w:tc>
      </w:tr>
    </w:tbl>
    <w:p>
      <w:pPr>
        <w:spacing w:after="120" w:before="80"/>
      </w:pPr>
    </w:p>
    <w:p>
      <w:pPr>
        <w:pStyle w:val="Heading2"/>
        <w:spacing w:after="100" w:before="280"/>
      </w:pPr>
      <w:r>
        <w:rPr>
          <w:rFonts w:ascii="Arial" w:cs="Arial" w:eastAsia="Arial" w:hAnsi="Arial"/>
          <w:b/>
          <w:bCs/>
          <w:color w:val="1D9E75"/>
          <w:sz w:val="26"/>
          <w:szCs w:val="26"/>
        </w:rPr>
        <w:t xml:space="preserve">7.5  Session Infrastructure</w:t>
      </w:r>
    </w:p>
    <w:p>
      <w:pPr>
        <w:spacing w:after="80" w:before="60"/>
      </w:pPr>
      <w:r>
        <w:rPr>
          <w:rFonts w:ascii="Arial" w:cs="Arial" w:eastAsia="Arial" w:hAnsi="Arial"/>
          <w:color w:val="3A4A5A"/>
          <w:sz w:val="22"/>
          <w:szCs w:val="22"/>
        </w:rPr>
        <w:t xml:space="preserve">The Slack workspace for AEGF async communication has been assigned to Saad Muzafar as Session Architect to set up. Workspace name: AI Execution Governance Forum. Channels: general, session-01, registry, steering-committee, introductions.</w:t>
      </w:r>
    </w:p>
    <w:p>
      <w:pPr>
        <w:spacing w:after="120" w:before="60"/>
      </w:pPr>
    </w:p>
    <w:p>
      <w:pPr>
        <w:spacing w:after="80" w:before="60"/>
      </w:pPr>
      <w:r>
        <w:rPr>
          <w:rFonts w:ascii="Arial" w:cs="Arial" w:eastAsia="Arial" w:hAnsi="Arial"/>
          <w:color w:val="3A4A5A"/>
          <w:sz w:val="22"/>
          <w:szCs w:val="22"/>
        </w:rPr>
        <w:t xml:space="preserve">The session opening post and Steering Committee announcement are drafted and ready. Both will be sent to the full founding circle once the Slack workspace is live.</w:t>
      </w:r>
    </w:p>
    <w:p>
      <w:pPr>
        <w:spacing w:after="120" w:before="60"/>
      </w:pPr>
    </w:p>
    <w:p>
      <w:pPr>
        <w:spacing w:after="80" w:before="60"/>
      </w:pPr>
      <w:r>
        <w:rPr>
          <w:rFonts w:ascii="Arial" w:cs="Arial" w:eastAsia="Arial" w:hAnsi="Arial"/>
          <w:color w:val="3A4A5A"/>
          <w:sz w:val="22"/>
          <w:szCs w:val="22"/>
        </w:rPr>
        <w:t xml:space="preserve">The domain aegforum.org is to be registered before the forum goes public. Cost under $15. This remains an outstanding action for the Convener.</w:t>
      </w:r>
    </w:p>
    <w:p>
      <w:pPr>
        <w:pBdr>
          <w:bottom w:val="single" w:color="1D9E75" w:sz="8" w:space="1"/>
        </w:pBdr>
        <w:spacing w:after="160" w:before="160"/>
      </w:pPr>
    </w:p>
    <w:p>
      <w:pPr>
        <w:pStyle w:val="Heading1"/>
        <w:spacing w:after="160" w:before="400"/>
      </w:pPr>
      <w:r>
        <w:rPr>
          <w:rFonts w:ascii="Arial" w:cs="Arial" w:eastAsia="Arial" w:hAnsi="Arial"/>
          <w:b/>
          <w:bCs/>
          <w:color w:val="0F6E56"/>
          <w:sz w:val="34"/>
          <w:szCs w:val="34"/>
        </w:rPr>
        <w:t xml:space="preserve">8.  Key Governance Decisions on Record</w:t>
      </w:r>
    </w:p>
    <w:p>
      <w:pPr>
        <w:spacing w:after="80" w:before="60"/>
      </w:pPr>
      <w:r>
        <w:rPr>
          <w:rFonts w:ascii="Arial" w:cs="Arial" w:eastAsia="Arial" w:hAnsi="Arial"/>
          <w:color w:val="3A4A5A"/>
          <w:sz w:val="22"/>
          <w:szCs w:val="22"/>
        </w:rPr>
        <w:t xml:space="preserve">Every significant governance decision made during the founding phase, with attribution.</w:t>
      </w:r>
    </w:p>
    <w:p>
      <w:pPr>
        <w:spacing w:after="12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0F6E56" w:val="clear"/>
            <w:tcMar>
              <w:top w:type="dxa" w:w="70"/>
              <w:left w:type="dxa" w:w="120"/>
              <w:bottom w:type="dxa" w:w="70"/>
              <w:right w:type="dxa" w:w="120"/>
            </w:tcMar>
          </w:tcPr>
          <w:p>
            <w:r>
              <w:rPr>
                <w:rFonts w:ascii="Arial" w:cs="Arial" w:eastAsia="Arial" w:hAnsi="Arial"/>
                <w:b/>
                <w:bCs/>
                <w:color w:val="FFFFFF"/>
                <w:sz w:val="20"/>
                <w:szCs w:val="20"/>
              </w:rPr>
              <w:t xml:space="preserve">Decision</w:t>
            </w:r>
          </w:p>
        </w:tc>
        <w:tc>
          <w:tcPr>
            <w:tcW w:type="dxa" w:w="5760"/>
            <w:tcBorders>
              <w:top w:val="single" w:color="CCCCCC" w:sz="1"/>
              <w:left w:val="single" w:color="CCCCCC" w:sz="1"/>
              <w:bottom w:val="single" w:color="CCCCCC" w:sz="1"/>
              <w:right w:val="single" w:color="CCCCCC" w:sz="1"/>
            </w:tcBorders>
            <w:shd w:fill="0F6E56" w:val="clear"/>
            <w:tcMar>
              <w:top w:type="dxa" w:w="70"/>
              <w:left w:type="dxa" w:w="120"/>
              <w:bottom w:type="dxa" w:w="70"/>
              <w:right w:type="dxa" w:w="120"/>
            </w:tcMar>
          </w:tcPr>
          <w:p>
            <w:r>
              <w:rPr>
                <w:rFonts w:ascii="Arial" w:cs="Arial" w:eastAsia="Arial" w:hAnsi="Arial"/>
                <w:b/>
                <w:bCs/>
                <w:color w:val="FFFFFF"/>
                <w:sz w:val="20"/>
                <w:szCs w:val="20"/>
              </w:rPr>
              <w:t xml:space="preserve">Decided By — Basis</w:t>
            </w:r>
          </w:p>
        </w:tc>
      </w:tr>
      <w:tr>
        <w:tc>
          <w:tcPr>
            <w:tcW w:type="dxa" w:w="3600"/>
            <w:tcBorders>
              <w:top w:val="single" w:color="CCCCCC" w:sz="1"/>
              <w:left w:val="single" w:color="CCCCCC" w:sz="1"/>
              <w:bottom w:val="single" w:color="CCCCCC" w:sz="1"/>
              <w:right w:val="single" w:color="CCCCCC" w:sz="1"/>
            </w:tcBorders>
            <w:shd w:fill="F7F6F3" w:val="clear"/>
            <w:tcMar>
              <w:top w:type="dxa" w:w="70"/>
              <w:left w:type="dxa" w:w="120"/>
              <w:bottom w:type="dxa" w:w="70"/>
              <w:right w:type="dxa" w:w="120"/>
            </w:tcMar>
          </w:tcPr>
          <w:p>
            <w:r>
              <w:rPr>
                <w:rFonts w:ascii="Arial" w:cs="Arial" w:eastAsia="Arial" w:hAnsi="Arial"/>
                <w:b/>
                <w:bCs/>
                <w:color w:val="3A4A5A"/>
                <w:sz w:val="20"/>
                <w:szCs w:val="20"/>
              </w:rPr>
              <w:t xml:space="preserve">Async-first session format</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A4A5A"/>
                <w:sz w:val="20"/>
                <w:szCs w:val="20"/>
              </w:rPr>
              <w:t xml:space="preserve">Raheem Larry Babatunde — Global spread of circle across Lagos, Europe, South Asia, Gulf. Harold's participation through translation confirmed the necessity.</w:t>
            </w:r>
          </w:p>
        </w:tc>
      </w:tr>
      <w:tr>
        <w:tc>
          <w:tcPr>
            <w:tcW w:type="dxa" w:w="3600"/>
            <w:tcBorders>
              <w:top w:val="single" w:color="CCCCCC" w:sz="1"/>
              <w:left w:val="single" w:color="CCCCCC" w:sz="1"/>
              <w:bottom w:val="single" w:color="CCCCCC" w:sz="1"/>
              <w:right w:val="single" w:color="CCCCCC" w:sz="1"/>
            </w:tcBorders>
            <w:shd w:fill="F7F6F3" w:val="clear"/>
            <w:tcMar>
              <w:top w:type="dxa" w:w="70"/>
              <w:left w:type="dxa" w:w="120"/>
              <w:bottom w:type="dxa" w:w="70"/>
              <w:right w:type="dxa" w:w="120"/>
            </w:tcMar>
          </w:tcPr>
          <w:p>
            <w:r>
              <w:rPr>
                <w:rFonts w:ascii="Arial" w:cs="Arial" w:eastAsia="Arial" w:hAnsi="Arial"/>
                <w:b/>
                <w:bCs/>
                <w:color w:val="3A4A5A"/>
                <w:sz w:val="20"/>
                <w:szCs w:val="20"/>
              </w:rPr>
              <w:t xml:space="preserve">No collective authority language</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A4A5A"/>
                <w:sz w:val="20"/>
                <w:szCs w:val="20"/>
              </w:rPr>
              <w:t xml:space="preserve">Frank Schouten and Saad Muzafar independently — Representative language risks making AEGF appear to speak for the field before earning that right.</w:t>
            </w:r>
          </w:p>
        </w:tc>
      </w:tr>
      <w:tr>
        <w:tc>
          <w:tcPr>
            <w:tcW w:type="dxa" w:w="3600"/>
            <w:tcBorders>
              <w:top w:val="single" w:color="CCCCCC" w:sz="1"/>
              <w:left w:val="single" w:color="CCCCCC" w:sz="1"/>
              <w:bottom w:val="single" w:color="CCCCCC" w:sz="1"/>
              <w:right w:val="single" w:color="CCCCCC" w:sz="1"/>
            </w:tcBorders>
            <w:shd w:fill="F7F6F3" w:val="clear"/>
            <w:tcMar>
              <w:top w:type="dxa" w:w="70"/>
              <w:left w:type="dxa" w:w="120"/>
              <w:bottom w:type="dxa" w:w="70"/>
              <w:right w:type="dxa" w:w="120"/>
            </w:tcMar>
          </w:tcPr>
          <w:p>
            <w:r>
              <w:rPr>
                <w:rFonts w:ascii="Arial" w:cs="Arial" w:eastAsia="Arial" w:hAnsi="Arial"/>
                <w:b/>
                <w:bCs/>
                <w:color w:val="3A4A5A"/>
                <w:sz w:val="20"/>
                <w:szCs w:val="20"/>
              </w:rPr>
              <w:t xml:space="preserve">Four-phase sequencing</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A4A5A"/>
                <w:sz w:val="20"/>
                <w:szCs w:val="20"/>
              </w:rPr>
              <w:t xml:space="preserve">Saad Muzafar — Visibility precedes pattern documentation which precedes dialogue which precedes influence. Trust must be earned before authority is exercised.</w:t>
            </w:r>
          </w:p>
        </w:tc>
      </w:tr>
      <w:tr>
        <w:tc>
          <w:tcPr>
            <w:tcW w:type="dxa" w:w="3600"/>
            <w:tcBorders>
              <w:top w:val="single" w:color="CCCCCC" w:sz="1"/>
              <w:left w:val="single" w:color="CCCCCC" w:sz="1"/>
              <w:bottom w:val="single" w:color="CCCCCC" w:sz="1"/>
              <w:right w:val="single" w:color="CCCCCC" w:sz="1"/>
            </w:tcBorders>
            <w:shd w:fill="F7F6F3" w:val="clear"/>
            <w:tcMar>
              <w:top w:type="dxa" w:w="70"/>
              <w:left w:type="dxa" w:w="120"/>
              <w:bottom w:type="dxa" w:w="70"/>
              <w:right w:type="dxa" w:w="120"/>
            </w:tcMar>
          </w:tcPr>
          <w:p>
            <w:r>
              <w:rPr>
                <w:rFonts w:ascii="Arial" w:cs="Arial" w:eastAsia="Arial" w:hAnsi="Arial"/>
                <w:b/>
                <w:bCs/>
                <w:color w:val="3A4A5A"/>
                <w:sz w:val="20"/>
                <w:szCs w:val="20"/>
              </w:rPr>
              <w:t xml:space="preserve">75% supermajority rule</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A4A5A"/>
                <w:sz w:val="20"/>
                <w:szCs w:val="20"/>
              </w:rPr>
              <w:t xml:space="preserve">Frank Schouten — Neutrality must be structural, not personal. No individual should hold veto authority over others.</w:t>
            </w:r>
          </w:p>
        </w:tc>
      </w:tr>
      <w:tr>
        <w:tc>
          <w:tcPr>
            <w:tcW w:type="dxa" w:w="3600"/>
            <w:tcBorders>
              <w:top w:val="single" w:color="CCCCCC" w:sz="1"/>
              <w:left w:val="single" w:color="CCCCCC" w:sz="1"/>
              <w:bottom w:val="single" w:color="CCCCCC" w:sz="1"/>
              <w:right w:val="single" w:color="CCCCCC" w:sz="1"/>
            </w:tcBorders>
            <w:shd w:fill="F7F6F3" w:val="clear"/>
            <w:tcMar>
              <w:top w:type="dxa" w:w="70"/>
              <w:left w:type="dxa" w:w="120"/>
              <w:bottom w:type="dxa" w:w="70"/>
              <w:right w:type="dxa" w:w="120"/>
            </w:tcMar>
          </w:tcPr>
          <w:p>
            <w:r>
              <w:rPr>
                <w:rFonts w:ascii="Arial" w:cs="Arial" w:eastAsia="Arial" w:hAnsi="Arial"/>
                <w:b/>
                <w:bCs/>
                <w:color w:val="3A4A5A"/>
                <w:sz w:val="20"/>
                <w:szCs w:val="20"/>
              </w:rPr>
              <w:t xml:space="preserve">No Guardian of Neutrality role</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A4A5A"/>
                <w:sz w:val="20"/>
                <w:szCs w:val="20"/>
              </w:rPr>
              <w:t xml:space="preserve">Frank Schouten declined — Personal authority is fragile. Structural rule is more durable and more honest.</w:t>
            </w:r>
          </w:p>
        </w:tc>
      </w:tr>
      <w:tr>
        <w:tc>
          <w:tcPr>
            <w:tcW w:type="dxa" w:w="3600"/>
            <w:tcBorders>
              <w:top w:val="single" w:color="CCCCCC" w:sz="1"/>
              <w:left w:val="single" w:color="CCCCCC" w:sz="1"/>
              <w:bottom w:val="single" w:color="CCCCCC" w:sz="1"/>
              <w:right w:val="single" w:color="CCCCCC" w:sz="1"/>
            </w:tcBorders>
            <w:shd w:fill="F7F6F3" w:val="clear"/>
            <w:tcMar>
              <w:top w:type="dxa" w:w="70"/>
              <w:left w:type="dxa" w:w="120"/>
              <w:bottom w:type="dxa" w:w="70"/>
              <w:right w:type="dxa" w:w="120"/>
            </w:tcMar>
          </w:tcPr>
          <w:p>
            <w:r>
              <w:rPr>
                <w:rFonts w:ascii="Arial" w:cs="Arial" w:eastAsia="Arial" w:hAnsi="Arial"/>
                <w:b/>
                <w:bCs/>
                <w:color w:val="3A4A5A"/>
                <w:sz w:val="20"/>
                <w:szCs w:val="20"/>
              </w:rPr>
              <w:t xml:space="preserve">Governance Transition Chain as shared vocabulary</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A4A5A"/>
                <w:sz w:val="20"/>
                <w:szCs w:val="20"/>
              </w:rPr>
              <w:t xml:space="preserve">Tim Zlomke — Adopted by full circle as orientation tool, not constraint.</w:t>
            </w:r>
          </w:p>
        </w:tc>
      </w:tr>
      <w:tr>
        <w:tc>
          <w:tcPr>
            <w:tcW w:type="dxa" w:w="3600"/>
            <w:tcBorders>
              <w:top w:val="single" w:color="CCCCCC" w:sz="1"/>
              <w:left w:val="single" w:color="CCCCCC" w:sz="1"/>
              <w:bottom w:val="single" w:color="CCCCCC" w:sz="1"/>
              <w:right w:val="single" w:color="CCCCCC" w:sz="1"/>
            </w:tcBorders>
            <w:shd w:fill="F7F6F3" w:val="clear"/>
            <w:tcMar>
              <w:top w:type="dxa" w:w="70"/>
              <w:left w:type="dxa" w:w="120"/>
              <w:bottom w:type="dxa" w:w="70"/>
              <w:right w:type="dxa" w:w="120"/>
            </w:tcMar>
          </w:tcPr>
          <w:p>
            <w:r>
              <w:rPr>
                <w:rFonts w:ascii="Arial" w:cs="Arial" w:eastAsia="Arial" w:hAnsi="Arial"/>
                <w:b/>
                <w:bCs/>
                <w:color w:val="3A4A5A"/>
                <w:sz w:val="20"/>
                <w:szCs w:val="20"/>
              </w:rPr>
              <w:t xml:space="preserve">Attribution in member's own words</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A4A5A"/>
                <w:sz w:val="20"/>
                <w:szCs w:val="20"/>
              </w:rPr>
              <w:t xml:space="preserve">Established in V0.2, confirmed by all — No AEGF editing of member contributions. Syeda Beenish Fatima extended this to require her sign-off before any output carries her name.</w:t>
            </w:r>
          </w:p>
        </w:tc>
      </w:tr>
      <w:tr>
        <w:tc>
          <w:tcPr>
            <w:tcW w:type="dxa" w:w="3600"/>
            <w:tcBorders>
              <w:top w:val="single" w:color="CCCCCC" w:sz="1"/>
              <w:left w:val="single" w:color="CCCCCC" w:sz="1"/>
              <w:bottom w:val="single" w:color="CCCCCC" w:sz="1"/>
              <w:right w:val="single" w:color="CCCCCC" w:sz="1"/>
            </w:tcBorders>
            <w:shd w:fill="F7F6F3" w:val="clear"/>
            <w:tcMar>
              <w:top w:type="dxa" w:w="70"/>
              <w:left w:type="dxa" w:w="120"/>
              <w:bottom w:type="dxa" w:w="70"/>
              <w:right w:type="dxa" w:w="120"/>
            </w:tcMar>
          </w:tcPr>
          <w:p>
            <w:r>
              <w:rPr>
                <w:rFonts w:ascii="Arial" w:cs="Arial" w:eastAsia="Arial" w:hAnsi="Arial"/>
                <w:b/>
                <w:bCs/>
                <w:color w:val="3A4A5A"/>
                <w:sz w:val="20"/>
                <w:szCs w:val="20"/>
              </w:rPr>
              <w:t xml:space="preserve">Observer pathway without Registry listing</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A4A5A"/>
                <w:sz w:val="20"/>
                <w:szCs w:val="20"/>
              </w:rPr>
              <w:t xml:space="preserve">Frank Schouten observation — Affected publics and observers should not be required to submit a listing to follow the forum.</w:t>
            </w:r>
          </w:p>
        </w:tc>
      </w:tr>
      <w:tr>
        <w:tc>
          <w:tcPr>
            <w:tcW w:type="dxa" w:w="3600"/>
            <w:tcBorders>
              <w:top w:val="single" w:color="CCCCCC" w:sz="1"/>
              <w:left w:val="single" w:color="CCCCCC" w:sz="1"/>
              <w:bottom w:val="single" w:color="CCCCCC" w:sz="1"/>
              <w:right w:val="single" w:color="CCCCCC" w:sz="1"/>
            </w:tcBorders>
            <w:shd w:fill="F7F6F3" w:val="clear"/>
            <w:tcMar>
              <w:top w:type="dxa" w:w="70"/>
              <w:left w:type="dxa" w:w="120"/>
              <w:bottom w:type="dxa" w:w="70"/>
              <w:right w:type="dxa" w:w="120"/>
            </w:tcMar>
          </w:tcPr>
          <w:p>
            <w:r>
              <w:rPr>
                <w:rFonts w:ascii="Arial" w:cs="Arial" w:eastAsia="Arial" w:hAnsi="Arial"/>
                <w:b/>
                <w:bCs/>
                <w:color w:val="3A4A5A"/>
                <w:sz w:val="20"/>
                <w:szCs w:val="20"/>
              </w:rPr>
              <w:t xml:space="preserve">Commercial rule</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A4A5A"/>
                <w:sz w:val="20"/>
                <w:szCs w:val="20"/>
              </w:rPr>
              <w:t xml:space="preserve">Raheem Larry Babatunde — No free API access to any expert, partner, or collaborator. Revenue or nothing.</w:t>
            </w:r>
          </w:p>
        </w:tc>
      </w:tr>
      <w:tr>
        <w:tc>
          <w:tcPr>
            <w:tcW w:type="dxa" w:w="3600"/>
            <w:tcBorders>
              <w:top w:val="single" w:color="CCCCCC" w:sz="1"/>
              <w:left w:val="single" w:color="CCCCCC" w:sz="1"/>
              <w:bottom w:val="single" w:color="CCCCCC" w:sz="1"/>
              <w:right w:val="single" w:color="CCCCCC" w:sz="1"/>
            </w:tcBorders>
            <w:shd w:fill="F7F6F3" w:val="clear"/>
            <w:tcMar>
              <w:top w:type="dxa" w:w="70"/>
              <w:left w:type="dxa" w:w="120"/>
              <w:bottom w:type="dxa" w:w="70"/>
              <w:right w:type="dxa" w:w="120"/>
            </w:tcMar>
          </w:tcPr>
          <w:p>
            <w:r>
              <w:rPr>
                <w:rFonts w:ascii="Arial" w:cs="Arial" w:eastAsia="Arial" w:hAnsi="Arial"/>
                <w:b/>
                <w:bCs/>
                <w:color w:val="3A4A5A"/>
                <w:sz w:val="20"/>
                <w:szCs w:val="20"/>
              </w:rPr>
              <w:t xml:space="preserve">VeriSigil independence</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A4A5A"/>
                <w:sz w:val="20"/>
                <w:szCs w:val="20"/>
              </w:rPr>
              <w:t xml:space="preserve">Raheem Larry Babatunde — AEGF operates completely independently of VeriSigil AI in identity, infrastructure, and communications.</w:t>
            </w:r>
          </w:p>
        </w:tc>
      </w:tr>
    </w:tbl>
    <w:p>
      <w:pPr>
        <w:pBdr>
          <w:bottom w:val="single" w:color="1D9E75" w:sz="8" w:space="1"/>
        </w:pBdr>
        <w:spacing w:after="160" w:before="160"/>
      </w:pPr>
    </w:p>
    <w:p>
      <w:pPr>
        <w:pStyle w:val="Heading1"/>
        <w:spacing w:after="160" w:before="400"/>
      </w:pPr>
      <w:r>
        <w:rPr>
          <w:rFonts w:ascii="Arial" w:cs="Arial" w:eastAsia="Arial" w:hAnsi="Arial"/>
          <w:b/>
          <w:bCs/>
          <w:color w:val="0F6E56"/>
          <w:sz w:val="34"/>
          <w:szCs w:val="34"/>
        </w:rPr>
        <w:t xml:space="preserve">9.  Immediate Next Actions</w:t>
      </w:r>
    </w:p>
    <w:p>
      <w:pPr>
        <w:spacing w:after="80" w:before="60"/>
      </w:pPr>
      <w:r>
        <w:rPr>
          <w:rFonts w:ascii="Arial" w:cs="Arial" w:eastAsia="Arial" w:hAnsi="Arial"/>
          <w:color w:val="3A4A5A"/>
          <w:sz w:val="22"/>
          <w:szCs w:val="22"/>
        </w:rPr>
        <w:t xml:space="preserve">Outstanding actions required before the forum formally opens.</w:t>
      </w:r>
    </w:p>
    <w:p>
      <w:pPr>
        <w:spacing w:after="12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0F6E56" w:val="clear"/>
            <w:tcMar>
              <w:top w:type="dxa" w:w="70"/>
              <w:left w:type="dxa" w:w="120"/>
              <w:bottom w:type="dxa" w:w="70"/>
              <w:right w:type="dxa" w:w="120"/>
            </w:tcMar>
          </w:tcPr>
          <w:p>
            <w:r>
              <w:rPr>
                <w:rFonts w:ascii="Arial" w:cs="Arial" w:eastAsia="Arial" w:hAnsi="Arial"/>
                <w:b/>
                <w:bCs/>
                <w:color w:val="FFFFFF"/>
                <w:sz w:val="20"/>
                <w:szCs w:val="20"/>
              </w:rPr>
              <w:t xml:space="preserve">Action</w:t>
            </w:r>
          </w:p>
        </w:tc>
        <w:tc>
          <w:tcPr>
            <w:tcW w:type="dxa" w:w="5760"/>
            <w:tcBorders>
              <w:top w:val="single" w:color="CCCCCC" w:sz="1"/>
              <w:left w:val="single" w:color="CCCCCC" w:sz="1"/>
              <w:bottom w:val="single" w:color="CCCCCC" w:sz="1"/>
              <w:right w:val="single" w:color="CCCCCC" w:sz="1"/>
            </w:tcBorders>
            <w:shd w:fill="0F6E56" w:val="clear"/>
            <w:tcMar>
              <w:top w:type="dxa" w:w="70"/>
              <w:left w:type="dxa" w:w="120"/>
              <w:bottom w:type="dxa" w:w="70"/>
              <w:right w:type="dxa" w:w="120"/>
            </w:tcMar>
          </w:tcPr>
          <w:p>
            <w:r>
              <w:rPr>
                <w:rFonts w:ascii="Arial" w:cs="Arial" w:eastAsia="Arial" w:hAnsi="Arial"/>
                <w:b/>
                <w:bCs/>
                <w:color w:val="FFFFFF"/>
                <w:sz w:val="20"/>
                <w:szCs w:val="20"/>
              </w:rPr>
              <w:t xml:space="preserve">Owner — Status</w:t>
            </w:r>
          </w:p>
        </w:tc>
      </w:tr>
      <w:tr>
        <w:tc>
          <w:tcPr>
            <w:tcW w:type="dxa" w:w="3600"/>
            <w:tcBorders>
              <w:top w:val="single" w:color="CCCCCC" w:sz="1"/>
              <w:left w:val="single" w:color="CCCCCC" w:sz="1"/>
              <w:bottom w:val="single" w:color="CCCCCC" w:sz="1"/>
              <w:right w:val="single" w:color="CCCCCC" w:sz="1"/>
            </w:tcBorders>
            <w:shd w:fill="F7F6F3" w:val="clear"/>
            <w:tcMar>
              <w:top w:type="dxa" w:w="70"/>
              <w:left w:type="dxa" w:w="120"/>
              <w:bottom w:type="dxa" w:w="70"/>
              <w:right w:type="dxa" w:w="120"/>
            </w:tcMar>
          </w:tcPr>
          <w:p>
            <w:r>
              <w:rPr>
                <w:rFonts w:ascii="Arial" w:cs="Arial" w:eastAsia="Arial" w:hAnsi="Arial"/>
                <w:b/>
                <w:bCs/>
                <w:color w:val="3A4A5A"/>
                <w:sz w:val="20"/>
                <w:szCs w:val="20"/>
              </w:rPr>
              <w:t xml:space="preserve">Slack workspace setup</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A4A5A"/>
                <w:sz w:val="20"/>
                <w:szCs w:val="20"/>
              </w:rPr>
              <w:t xml:space="preserve">Saad Muzafar — Requested, awaiting response</w:t>
            </w:r>
          </w:p>
        </w:tc>
      </w:tr>
      <w:tr>
        <w:tc>
          <w:tcPr>
            <w:tcW w:type="dxa" w:w="3600"/>
            <w:tcBorders>
              <w:top w:val="single" w:color="CCCCCC" w:sz="1"/>
              <w:left w:val="single" w:color="CCCCCC" w:sz="1"/>
              <w:bottom w:val="single" w:color="CCCCCC" w:sz="1"/>
              <w:right w:val="single" w:color="CCCCCC" w:sz="1"/>
            </w:tcBorders>
            <w:shd w:fill="F7F6F3" w:val="clear"/>
            <w:tcMar>
              <w:top w:type="dxa" w:w="70"/>
              <w:left w:type="dxa" w:w="120"/>
              <w:bottom w:type="dxa" w:w="70"/>
              <w:right w:type="dxa" w:w="120"/>
            </w:tcMar>
          </w:tcPr>
          <w:p>
            <w:r>
              <w:rPr>
                <w:rFonts w:ascii="Arial" w:cs="Arial" w:eastAsia="Arial" w:hAnsi="Arial"/>
                <w:b/>
                <w:bCs/>
                <w:color w:val="3A4A5A"/>
                <w:sz w:val="20"/>
                <w:szCs w:val="20"/>
              </w:rPr>
              <w:t xml:space="preserve">Register aegforum.org</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A4A5A"/>
                <w:sz w:val="20"/>
                <w:szCs w:val="20"/>
              </w:rPr>
              <w:t xml:space="preserve">Raheem Larry Babatunde — Pending. Under £15. Namecheap or Porkbun.</w:t>
            </w:r>
          </w:p>
        </w:tc>
      </w:tr>
      <w:tr>
        <w:tc>
          <w:tcPr>
            <w:tcW w:type="dxa" w:w="3600"/>
            <w:tcBorders>
              <w:top w:val="single" w:color="CCCCCC" w:sz="1"/>
              <w:left w:val="single" w:color="CCCCCC" w:sz="1"/>
              <w:bottom w:val="single" w:color="CCCCCC" w:sz="1"/>
              <w:right w:val="single" w:color="CCCCCC" w:sz="1"/>
            </w:tcBorders>
            <w:shd w:fill="F7F6F3" w:val="clear"/>
            <w:tcMar>
              <w:top w:type="dxa" w:w="70"/>
              <w:left w:type="dxa" w:w="120"/>
              <w:bottom w:type="dxa" w:w="70"/>
              <w:right w:type="dxa" w:w="120"/>
            </w:tcMar>
          </w:tcPr>
          <w:p>
            <w:r>
              <w:rPr>
                <w:rFonts w:ascii="Arial" w:cs="Arial" w:eastAsia="Arial" w:hAnsi="Arial"/>
                <w:b/>
                <w:bCs/>
                <w:color w:val="3A4A5A"/>
                <w:sz w:val="20"/>
                <w:szCs w:val="20"/>
              </w:rPr>
              <w:t xml:space="preserve">Send Steering Committee announcement</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A4A5A"/>
                <w:sz w:val="20"/>
                <w:szCs w:val="20"/>
              </w:rPr>
              <w:t xml:space="preserve">Raheem Larry Babatunde — Drafted, ready to send once Slack is live</w:t>
            </w:r>
          </w:p>
        </w:tc>
      </w:tr>
      <w:tr>
        <w:tc>
          <w:tcPr>
            <w:tcW w:type="dxa" w:w="3600"/>
            <w:tcBorders>
              <w:top w:val="single" w:color="CCCCCC" w:sz="1"/>
              <w:left w:val="single" w:color="CCCCCC" w:sz="1"/>
              <w:bottom w:val="single" w:color="CCCCCC" w:sz="1"/>
              <w:right w:val="single" w:color="CCCCCC" w:sz="1"/>
            </w:tcBorders>
            <w:shd w:fill="F7F6F3" w:val="clear"/>
            <w:tcMar>
              <w:top w:type="dxa" w:w="70"/>
              <w:left w:type="dxa" w:w="120"/>
              <w:bottom w:type="dxa" w:w="70"/>
              <w:right w:type="dxa" w:w="120"/>
            </w:tcMar>
          </w:tcPr>
          <w:p>
            <w:r>
              <w:rPr>
                <w:rFonts w:ascii="Arial" w:cs="Arial" w:eastAsia="Arial" w:hAnsi="Arial"/>
                <w:b/>
                <w:bCs/>
                <w:color w:val="3A4A5A"/>
                <w:sz w:val="20"/>
                <w:szCs w:val="20"/>
              </w:rPr>
              <w:t xml:space="preserve">Send Session 01 opening post</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A4A5A"/>
                <w:sz w:val="20"/>
                <w:szCs w:val="20"/>
              </w:rPr>
              <w:t xml:space="preserve">Raheem Larry Babatunde — Drafted, ready to send immediately after Steering Committee announcement</w:t>
            </w:r>
          </w:p>
        </w:tc>
      </w:tr>
      <w:tr>
        <w:tc>
          <w:tcPr>
            <w:tcW w:type="dxa" w:w="3600"/>
            <w:tcBorders>
              <w:top w:val="single" w:color="CCCCCC" w:sz="1"/>
              <w:left w:val="single" w:color="CCCCCC" w:sz="1"/>
              <w:bottom w:val="single" w:color="CCCCCC" w:sz="1"/>
              <w:right w:val="single" w:color="CCCCCC" w:sz="1"/>
            </w:tcBorders>
            <w:shd w:fill="F7F6F3" w:val="clear"/>
            <w:tcMar>
              <w:top w:type="dxa" w:w="70"/>
              <w:left w:type="dxa" w:w="120"/>
              <w:bottom w:type="dxa" w:w="70"/>
              <w:right w:type="dxa" w:w="120"/>
            </w:tcMar>
          </w:tcPr>
          <w:p>
            <w:r>
              <w:rPr>
                <w:rFonts w:ascii="Arial" w:cs="Arial" w:eastAsia="Arial" w:hAnsi="Arial"/>
                <w:b/>
                <w:bCs/>
                <w:color w:val="3A4A5A"/>
                <w:sz w:val="20"/>
                <w:szCs w:val="20"/>
              </w:rPr>
              <w:t xml:space="preserve">Frank Schouten Registry listing</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A4A5A"/>
                <w:sz w:val="20"/>
                <w:szCs w:val="20"/>
              </w:rPr>
              <w:t xml:space="preserve">Frank Schouten — Pending submission</w:t>
            </w:r>
          </w:p>
        </w:tc>
      </w:tr>
      <w:tr>
        <w:tc>
          <w:tcPr>
            <w:tcW w:type="dxa" w:w="3600"/>
            <w:tcBorders>
              <w:top w:val="single" w:color="CCCCCC" w:sz="1"/>
              <w:left w:val="single" w:color="CCCCCC" w:sz="1"/>
              <w:bottom w:val="single" w:color="CCCCCC" w:sz="1"/>
              <w:right w:val="single" w:color="CCCCCC" w:sz="1"/>
            </w:tcBorders>
            <w:shd w:fill="F7F6F3" w:val="clear"/>
            <w:tcMar>
              <w:top w:type="dxa" w:w="70"/>
              <w:left w:type="dxa" w:w="120"/>
              <w:bottom w:type="dxa" w:w="70"/>
              <w:right w:type="dxa" w:w="120"/>
            </w:tcMar>
          </w:tcPr>
          <w:p>
            <w:r>
              <w:rPr>
                <w:rFonts w:ascii="Arial" w:cs="Arial" w:eastAsia="Arial" w:hAnsi="Arial"/>
                <w:b/>
                <w:bCs/>
                <w:color w:val="3A4A5A"/>
                <w:sz w:val="20"/>
                <w:szCs w:val="20"/>
              </w:rPr>
              <w:t xml:space="preserve">Tasneem Mahmoud Registry listing</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A4A5A"/>
                <w:sz w:val="20"/>
                <w:szCs w:val="20"/>
              </w:rPr>
              <w:t xml:space="preserve">Tasneem Mahmoud — Pending submission</w:t>
            </w:r>
          </w:p>
        </w:tc>
      </w:tr>
      <w:tr>
        <w:tc>
          <w:tcPr>
            <w:tcW w:type="dxa" w:w="3600"/>
            <w:tcBorders>
              <w:top w:val="single" w:color="CCCCCC" w:sz="1"/>
              <w:left w:val="single" w:color="CCCCCC" w:sz="1"/>
              <w:bottom w:val="single" w:color="CCCCCC" w:sz="1"/>
              <w:right w:val="single" w:color="CCCCCC" w:sz="1"/>
            </w:tcBorders>
            <w:shd w:fill="F7F6F3" w:val="clear"/>
            <w:tcMar>
              <w:top w:type="dxa" w:w="70"/>
              <w:left w:type="dxa" w:w="120"/>
              <w:bottom w:type="dxa" w:w="70"/>
              <w:right w:type="dxa" w:w="120"/>
            </w:tcMar>
          </w:tcPr>
          <w:p>
            <w:r>
              <w:rPr>
                <w:rFonts w:ascii="Arial" w:cs="Arial" w:eastAsia="Arial" w:hAnsi="Arial"/>
                <w:b/>
                <w:bCs/>
                <w:color w:val="3A4A5A"/>
                <w:sz w:val="20"/>
                <w:szCs w:val="20"/>
              </w:rPr>
              <w:t xml:space="preserve">Pieush Vyas Registry listing and session contribution</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A4A5A"/>
                <w:sz w:val="20"/>
                <w:szCs w:val="20"/>
              </w:rPr>
              <w:t xml:space="preserve">Pieush Vyas — Pending</w:t>
            </w:r>
          </w:p>
        </w:tc>
      </w:tr>
      <w:tr>
        <w:tc>
          <w:tcPr>
            <w:tcW w:type="dxa" w:w="3600"/>
            <w:tcBorders>
              <w:top w:val="single" w:color="CCCCCC" w:sz="1"/>
              <w:left w:val="single" w:color="CCCCCC" w:sz="1"/>
              <w:bottom w:val="single" w:color="CCCCCC" w:sz="1"/>
              <w:right w:val="single" w:color="CCCCCC" w:sz="1"/>
            </w:tcBorders>
            <w:shd w:fill="F7F6F3" w:val="clear"/>
            <w:tcMar>
              <w:top w:type="dxa" w:w="70"/>
              <w:left w:type="dxa" w:w="120"/>
              <w:bottom w:type="dxa" w:w="70"/>
              <w:right w:type="dxa" w:w="120"/>
            </w:tcMar>
          </w:tcPr>
          <w:p>
            <w:r>
              <w:rPr>
                <w:rFonts w:ascii="Arial" w:cs="Arial" w:eastAsia="Arial" w:hAnsi="Arial"/>
                <w:b/>
                <w:bCs/>
                <w:color w:val="3A4A5A"/>
                <w:sz w:val="20"/>
                <w:szCs w:val="20"/>
              </w:rPr>
              <w:t xml:space="preserve">Naimatullah role acceptance</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A4A5A"/>
                <w:sz w:val="20"/>
                <w:szCs w:val="20"/>
              </w:rPr>
              <w:t xml:space="preserve">Naimatullah — Designation sent, awaiting response</w:t>
            </w:r>
          </w:p>
        </w:tc>
      </w:tr>
      <w:tr>
        <w:tc>
          <w:tcPr>
            <w:tcW w:type="dxa" w:w="3600"/>
            <w:tcBorders>
              <w:top w:val="single" w:color="CCCCCC" w:sz="1"/>
              <w:left w:val="single" w:color="CCCCCC" w:sz="1"/>
              <w:bottom w:val="single" w:color="CCCCCC" w:sz="1"/>
              <w:right w:val="single" w:color="CCCCCC" w:sz="1"/>
            </w:tcBorders>
            <w:shd w:fill="F7F6F3" w:val="clear"/>
            <w:tcMar>
              <w:top w:type="dxa" w:w="70"/>
              <w:left w:type="dxa" w:w="120"/>
              <w:bottom w:type="dxa" w:w="70"/>
              <w:right w:type="dxa" w:w="120"/>
            </w:tcMar>
          </w:tcPr>
          <w:p>
            <w:r>
              <w:rPr>
                <w:rFonts w:ascii="Arial" w:cs="Arial" w:eastAsia="Arial" w:hAnsi="Arial"/>
                <w:b/>
                <w:bCs/>
                <w:color w:val="3A4A5A"/>
                <w:sz w:val="20"/>
                <w:szCs w:val="20"/>
              </w:rPr>
              <w:t xml:space="preserve">Tasneem role acceptance</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A4A5A"/>
                <w:sz w:val="20"/>
                <w:szCs w:val="20"/>
              </w:rPr>
              <w:t xml:space="preserve">Tasneem Mahmoud — Designation sent, awaiting response</w:t>
            </w:r>
          </w:p>
        </w:tc>
      </w:tr>
      <w:tr>
        <w:tc>
          <w:tcPr>
            <w:tcW w:type="dxa" w:w="3600"/>
            <w:tcBorders>
              <w:top w:val="single" w:color="CCCCCC" w:sz="1"/>
              <w:left w:val="single" w:color="CCCCCC" w:sz="1"/>
              <w:bottom w:val="single" w:color="CCCCCC" w:sz="1"/>
              <w:right w:val="single" w:color="CCCCCC" w:sz="1"/>
            </w:tcBorders>
            <w:shd w:fill="F7F6F3" w:val="clear"/>
            <w:tcMar>
              <w:top w:type="dxa" w:w="70"/>
              <w:left w:type="dxa" w:w="120"/>
              <w:bottom w:type="dxa" w:w="70"/>
              <w:right w:type="dxa" w:w="120"/>
            </w:tcMar>
          </w:tcPr>
          <w:p>
            <w:r>
              <w:rPr>
                <w:rFonts w:ascii="Arial" w:cs="Arial" w:eastAsia="Arial" w:hAnsi="Arial"/>
                <w:b/>
                <w:bCs/>
                <w:color w:val="3A4A5A"/>
                <w:sz w:val="20"/>
                <w:szCs w:val="20"/>
              </w:rPr>
              <w:t xml:space="preserve">Shakeel A. Mian confirmation</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A4A5A"/>
                <w:sz w:val="20"/>
                <w:szCs w:val="20"/>
              </w:rPr>
              <w:t xml:space="preserve">Shakeel A. Mian — Brief received, confirmation pending</w:t>
            </w:r>
          </w:p>
        </w:tc>
      </w:tr>
      <w:tr>
        <w:tc>
          <w:tcPr>
            <w:tcW w:type="dxa" w:w="3600"/>
            <w:tcBorders>
              <w:top w:val="single" w:color="CCCCCC" w:sz="1"/>
              <w:left w:val="single" w:color="CCCCCC" w:sz="1"/>
              <w:bottom w:val="single" w:color="CCCCCC" w:sz="1"/>
              <w:right w:val="single" w:color="CCCCCC" w:sz="1"/>
            </w:tcBorders>
            <w:shd w:fill="F7F6F3" w:val="clear"/>
            <w:tcMar>
              <w:top w:type="dxa" w:w="70"/>
              <w:left w:type="dxa" w:w="120"/>
              <w:bottom w:type="dxa" w:w="70"/>
              <w:right w:type="dxa" w:w="120"/>
            </w:tcMar>
          </w:tcPr>
          <w:p>
            <w:r>
              <w:rPr>
                <w:rFonts w:ascii="Arial" w:cs="Arial" w:eastAsia="Arial" w:hAnsi="Arial"/>
                <w:b/>
                <w:bCs/>
                <w:color w:val="3A4A5A"/>
                <w:sz w:val="20"/>
                <w:szCs w:val="20"/>
              </w:rPr>
              <w:t xml:space="preserve">Dr Maruf Hossain response</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A4A5A"/>
                <w:sz w:val="20"/>
                <w:szCs w:val="20"/>
              </w:rPr>
              <w:t xml:space="preserve">Dr Maruf Hossain — Outreach sent, response pending</w:t>
            </w:r>
          </w:p>
        </w:tc>
      </w:tr>
    </w:tbl>
    <w:p>
      <w:pPr>
        <w:pBdr>
          <w:bottom w:val="single" w:color="1D9E75" w:sz="8" w:space="1"/>
        </w:pBdr>
        <w:spacing w:after="160" w:before="160"/>
      </w:pPr>
    </w:p>
    <w:p>
      <w:pPr>
        <w:spacing w:after="120" w:before="200"/>
      </w:pPr>
    </w:p>
    <w:p>
      <w:pPr>
        <w:pBdr>
          <w:left w:val="single" w:color="0F6E56" w:sz="14" w:space="10"/>
        </w:pBdr>
        <w:spacing w:after="120" w:before="120"/>
        <w:ind w:left="560"/>
      </w:pPr>
      <w:r>
        <w:rPr>
          <w:rFonts w:ascii="Arial" w:cs="Arial" w:eastAsia="Arial" w:hAnsi="Arial"/>
          <w:b/>
          <w:bCs/>
          <w:i/>
          <w:iCs/>
          <w:color w:val="0F6E56"/>
          <w:sz w:val="22"/>
          <w:szCs w:val="22"/>
        </w:rPr>
        <w:t xml:space="preserve">AEGF does not claim authority over the field. It creates visibility for the people building within it.</w:t>
      </w:r>
    </w:p>
    <w:p>
      <w:pPr>
        <w:spacing w:after="120" w:before="120"/>
      </w:pPr>
    </w:p>
    <w:p>
      <w:pPr>
        <w:spacing w:after="40" w:before="80"/>
        <w:jc w:val="center"/>
      </w:pPr>
      <w:r>
        <w:rPr>
          <w:rFonts w:ascii="Arial" w:cs="Arial" w:eastAsia="Arial" w:hAnsi="Arial"/>
          <w:b/>
          <w:bCs/>
          <w:color w:val="3A4A5A"/>
          <w:sz w:val="22"/>
          <w:szCs w:val="22"/>
        </w:rPr>
        <w:t xml:space="preserve">Raheem Larry Babatunde</w:t>
      </w:r>
    </w:p>
    <w:p>
      <w:pPr>
        <w:spacing w:after="40" w:before="0"/>
        <w:jc w:val="center"/>
      </w:pPr>
      <w:r>
        <w:rPr>
          <w:rFonts w:ascii="Arial" w:cs="Arial" w:eastAsia="Arial" w:hAnsi="Arial"/>
          <w:color w:val="1D9E75"/>
          <w:sz w:val="20"/>
          <w:szCs w:val="20"/>
        </w:rPr>
        <w:t xml:space="preserve">Convener, AI Execution Governance Forum</w:t>
      </w:r>
    </w:p>
    <w:p>
      <w:pPr>
        <w:spacing w:after="0" w:before="0"/>
        <w:jc w:val="center"/>
      </w:pPr>
      <w:r>
        <w:rPr>
          <w:rFonts w:ascii="Arial" w:cs="Arial" w:eastAsia="Arial" w:hAnsi="Arial"/>
          <w:i/>
          <w:iCs/>
          <w:color w:val="3A4A5A"/>
          <w:sz w:val="18"/>
          <w:szCs w:val="18"/>
        </w:rPr>
        <w:t xml:space="preserve">June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F6E56"/>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1D9E7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2026-06-10T15:42:34.162Z</dcterms:created>
  <dcterms:modified xsi:type="dcterms:W3CDTF">2026-06-10T15:42:34.177Z</dcterms:modified>
</cp:coreProperties>
</file>

<file path=docProps/custom.xml><?xml version="1.0" encoding="utf-8"?>
<Properties xmlns="http://schemas.openxmlformats.org/officeDocument/2006/custom-properties" xmlns:vt="http://schemas.openxmlformats.org/officeDocument/2006/docPropsVTypes"/>
</file>