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DA080F">
      <w:pPr>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3048000</wp:posOffset>
            </wp:positionH>
            <wp:positionV relativeFrom="paragraph">
              <wp:posOffset>-1460500</wp:posOffset>
            </wp:positionV>
            <wp:extent cx="3249930" cy="1950085"/>
            <wp:effectExtent l="0" t="0" r="0" b="0"/>
            <wp:wrapNone/>
            <wp:docPr id="2" name="图片 2" descr="AEON-Logo-500x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EON-Logo-500x300"/>
                    <pic:cNvPicPr>
                      <a:picLocks noChangeAspect="1"/>
                    </pic:cNvPicPr>
                  </pic:nvPicPr>
                  <pic:blipFill>
                    <a:blip r:embed="rId6"/>
                    <a:stretch>
                      <a:fillRect/>
                    </a:stretch>
                  </pic:blipFill>
                  <pic:spPr>
                    <a:xfrm>
                      <a:off x="0" y="0"/>
                      <a:ext cx="3249930" cy="1950085"/>
                    </a:xfrm>
                    <a:prstGeom prst="rect">
                      <a:avLst/>
                    </a:prstGeom>
                  </pic:spPr>
                </pic:pic>
              </a:graphicData>
            </a:graphic>
          </wp:anchor>
        </w:drawing>
      </w:r>
    </w:p>
    <w:p w14:paraId="0673FD79"/>
    <w:p w14:paraId="2ACFAC27"/>
    <w:p w14:paraId="7C0C198C"/>
    <w:p w14:paraId="773D17B4"/>
    <w:p w14:paraId="7DC33A5D"/>
    <w:p w14:paraId="45A30A3B">
      <w:pPr>
        <w:jc w:val="center"/>
        <w:rPr>
          <w:b/>
          <w:sz w:val="28"/>
          <w:szCs w:val="28"/>
        </w:rPr>
      </w:pPr>
      <w:r>
        <w:rPr>
          <w:b/>
          <w:sz w:val="28"/>
          <w:szCs w:val="28"/>
        </w:rPr>
        <w:t>Business development team's initial data collection and risk assessment form of new merchants and business clients</w:t>
      </w:r>
    </w:p>
    <w:p w14:paraId="1ACC4A6F">
      <w:pPr>
        <w:jc w:val="center"/>
        <w:rPr>
          <w:b/>
          <w:sz w:val="28"/>
          <w:szCs w:val="28"/>
        </w:rPr>
      </w:pPr>
    </w:p>
    <w:p w14:paraId="2A50455D">
      <w:pPr>
        <w:jc w:val="center"/>
        <w:rPr>
          <w:sz w:val="24"/>
          <w:szCs w:val="24"/>
        </w:rPr>
      </w:pPr>
      <w:r>
        <w:rPr>
          <w:sz w:val="24"/>
          <w:szCs w:val="24"/>
        </w:rPr>
        <w:t>2024-00-00</w:t>
      </w:r>
    </w:p>
    <w:p w14:paraId="62BE940A">
      <w:pPr>
        <w:jc w:val="center"/>
        <w:rPr>
          <w:sz w:val="24"/>
          <w:szCs w:val="24"/>
        </w:rPr>
      </w:pPr>
    </w:p>
    <w:tbl>
      <w:tblPr>
        <w:tblStyle w:val="10"/>
        <w:tblpPr w:leftFromText="180" w:rightFromText="180" w:vertAnchor="page" w:horzAnchor="page" w:tblpX="1501" w:tblpY="1418"/>
        <w:tblOverlap w:val="never"/>
        <w:tblW w:w="14670" w:type="dxa"/>
        <w:tblInd w:w="0" w:type="dxa"/>
        <w:tblBorders>
          <w:top w:val="none" w:color="auto" w:sz="0" w:space="0"/>
          <w:left w:val="none" w:color="auto" w:sz="0" w:space="0"/>
          <w:bottom w:val="none" w:color="auto" w:sz="0" w:space="0"/>
          <w:right w:val="none" w:color="auto" w:sz="0" w:space="0"/>
          <w:insideH w:val="single" w:color="AAAAAA" w:sz="8" w:space="0"/>
          <w:insideV w:val="single" w:color="AAAAAA" w:sz="8" w:space="0"/>
        </w:tblBorders>
        <w:tblLayout w:type="fixed"/>
        <w:tblCellMar>
          <w:top w:w="0" w:type="dxa"/>
          <w:left w:w="10" w:type="dxa"/>
          <w:bottom w:w="0" w:type="dxa"/>
          <w:right w:w="10" w:type="dxa"/>
        </w:tblCellMar>
      </w:tblPr>
      <w:tblGrid>
        <w:gridCol w:w="2967"/>
        <w:gridCol w:w="5975"/>
        <w:gridCol w:w="5728"/>
      </w:tblGrid>
      <w:tr w14:paraId="33661E51">
        <w:trPr>
          <w:trHeight w:val="475"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57BF6A2F">
            <w:pPr>
              <w:pStyle w:val="14"/>
              <w:spacing w:before="0" w:line="240" w:lineRule="auto"/>
              <w:jc w:val="center"/>
            </w:pPr>
            <w:r>
              <w:rPr>
                <w:rFonts w:ascii="Arial" w:hAnsi="Arial"/>
                <w:sz w:val="22"/>
                <w:szCs w:val="22"/>
              </w:rPr>
              <w:t>Merchant Type</w:t>
            </w:r>
          </w:p>
        </w:tc>
        <w:tc>
          <w:tcPr>
            <w:tcW w:w="11703" w:type="dxa"/>
            <w:gridSpan w:val="2"/>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6559718D">
            <w:pPr>
              <w:pStyle w:val="14"/>
              <w:spacing w:before="0" w:line="240" w:lineRule="auto"/>
              <w:jc w:val="center"/>
            </w:pPr>
            <w:r>
              <w:rPr>
                <w:rFonts w:ascii="Arial" w:hAnsi="Arial"/>
                <w:sz w:val="22"/>
                <w:szCs w:val="22"/>
                <w:lang w:val="en-US"/>
              </w:rPr>
              <w:t>Crypto payment</w:t>
            </w:r>
          </w:p>
        </w:tc>
      </w:tr>
      <w:tr w14:paraId="4630F022">
        <w:trPr>
          <w:trHeight w:val="475"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6FA5D912">
            <w:pPr>
              <w:pStyle w:val="14"/>
              <w:spacing w:before="0" w:line="240" w:lineRule="auto"/>
              <w:jc w:val="center"/>
            </w:pPr>
            <w:r>
              <w:rPr>
                <w:rFonts w:ascii="Arial" w:hAnsi="Arial"/>
                <w:color w:val="00A2FF"/>
                <w:sz w:val="22"/>
                <w:szCs w:val="22"/>
                <w:lang w:val="en-US"/>
              </w:rPr>
              <w:t>Merchant name (mandatory):</w:t>
            </w:r>
          </w:p>
        </w:tc>
        <w:tc>
          <w:tcPr>
            <w:tcW w:w="11703" w:type="dxa"/>
            <w:gridSpan w:val="2"/>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48858AF7"/>
        </w:tc>
      </w:tr>
      <w:tr w14:paraId="52B9BFAE">
        <w:trPr>
          <w:trHeight w:val="493"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5E79305A">
            <w:pPr>
              <w:pStyle w:val="14"/>
              <w:spacing w:before="0" w:line="240" w:lineRule="auto"/>
              <w:jc w:val="center"/>
            </w:pPr>
            <w:r>
              <w:rPr>
                <w:rFonts w:ascii="Arial" w:hAnsi="Arial"/>
                <w:sz w:val="22"/>
                <w:szCs w:val="22"/>
                <w:lang w:val="en-US"/>
              </w:rPr>
              <w:t>Entity name (in case merchant name and entity name is different):</w:t>
            </w:r>
          </w:p>
        </w:tc>
        <w:tc>
          <w:tcPr>
            <w:tcW w:w="11703" w:type="dxa"/>
            <w:gridSpan w:val="2"/>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6A40CB07">
            <w:pPr>
              <w:rPr>
                <w:lang w:val="fr-FR"/>
              </w:rPr>
            </w:pPr>
          </w:p>
        </w:tc>
      </w:tr>
      <w:tr w14:paraId="6A69FDAF">
        <w:trPr>
          <w:trHeight w:val="475"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3AFB64E1">
            <w:pPr>
              <w:pStyle w:val="14"/>
              <w:spacing w:before="0" w:line="240" w:lineRule="auto"/>
              <w:jc w:val="center"/>
            </w:pPr>
            <w:r>
              <w:rPr>
                <w:rFonts w:ascii="Arial" w:hAnsi="Arial"/>
                <w:sz w:val="22"/>
                <w:szCs w:val="22"/>
                <w:lang w:val="en-US"/>
              </w:rPr>
              <w:t>Country of incorporation (mandatory):</w:t>
            </w:r>
          </w:p>
        </w:tc>
        <w:tc>
          <w:tcPr>
            <w:tcW w:w="11703" w:type="dxa"/>
            <w:gridSpan w:val="2"/>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5959F071"/>
        </w:tc>
      </w:tr>
      <w:tr w14:paraId="5BB1451B">
        <w:trPr>
          <w:trHeight w:val="475"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7F360C38">
            <w:pPr>
              <w:pStyle w:val="14"/>
              <w:spacing w:before="0" w:line="240" w:lineRule="auto"/>
              <w:jc w:val="center"/>
            </w:pPr>
            <w:r>
              <w:rPr>
                <w:rFonts w:ascii="Arial" w:hAnsi="Arial"/>
                <w:sz w:val="22"/>
                <w:szCs w:val="22"/>
                <w:lang w:val="en-US"/>
              </w:rPr>
              <w:t>Merchant website or App name(mandatory):</w:t>
            </w:r>
          </w:p>
        </w:tc>
        <w:tc>
          <w:tcPr>
            <w:tcW w:w="11703" w:type="dxa"/>
            <w:gridSpan w:val="2"/>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577FC4E4"/>
        </w:tc>
      </w:tr>
      <w:tr w14:paraId="7155F099">
        <w:trPr>
          <w:trHeight w:val="475"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3AB4F453">
            <w:pPr>
              <w:pStyle w:val="14"/>
              <w:spacing w:before="0" w:line="240" w:lineRule="auto"/>
              <w:jc w:val="center"/>
            </w:pPr>
            <w:r>
              <w:rPr>
                <w:rFonts w:ascii="Arial" w:hAnsi="Arial"/>
                <w:sz w:val="22"/>
                <w:szCs w:val="22"/>
                <w:lang w:val="en-US"/>
              </w:rPr>
              <w:t>Merchant contact mail(mandatory):</w:t>
            </w:r>
          </w:p>
        </w:tc>
        <w:tc>
          <w:tcPr>
            <w:tcW w:w="11703" w:type="dxa"/>
            <w:gridSpan w:val="2"/>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4B0DF3FC"/>
        </w:tc>
      </w:tr>
      <w:tr w14:paraId="227AFA75">
        <w:trPr>
          <w:trHeight w:val="375"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08FC068F">
            <w:pPr>
              <w:pStyle w:val="14"/>
              <w:spacing w:before="0" w:line="240" w:lineRule="auto"/>
              <w:jc w:val="center"/>
            </w:pPr>
            <w:r>
              <w:rPr>
                <w:rFonts w:ascii="Arial" w:hAnsi="Arial"/>
                <w:sz w:val="22"/>
                <w:szCs w:val="22"/>
                <w:lang w:val="en-US"/>
              </w:rPr>
              <w:t xml:space="preserve">Business model/ product description (mandatory): </w:t>
            </w:r>
          </w:p>
        </w:tc>
        <w:tc>
          <w:tcPr>
            <w:tcW w:w="11703" w:type="dxa"/>
            <w:gridSpan w:val="2"/>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479461DB"/>
        </w:tc>
      </w:tr>
      <w:tr w14:paraId="770CF675">
        <w:trPr>
          <w:trHeight w:val="493" w:hRule="atLeast"/>
        </w:trPr>
        <w:tc>
          <w:tcPr>
            <w:tcW w:w="2967" w:type="dxa"/>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62E7238F">
            <w:pPr>
              <w:pStyle w:val="14"/>
              <w:spacing w:before="0" w:line="240" w:lineRule="auto"/>
              <w:jc w:val="center"/>
            </w:pPr>
            <w:r>
              <w:rPr>
                <w:rFonts w:ascii="Arial" w:hAnsi="Arial"/>
                <w:sz w:val="22"/>
                <w:szCs w:val="22"/>
                <w:lang w:val="en-US"/>
              </w:rPr>
              <w:t>Business development team member email (</w:t>
            </w:r>
            <w:r>
              <w:rPr>
                <w:rFonts w:hint="eastAsia" w:ascii="Arial" w:hAnsi="Arial"/>
                <w:sz w:val="22"/>
                <w:szCs w:val="22"/>
                <w:lang w:val="en-US" w:eastAsia="zh-CN"/>
              </w:rPr>
              <w:t>AEON</w:t>
            </w:r>
            <w:r>
              <w:rPr>
                <w:rFonts w:ascii="Arial" w:hAnsi="Arial"/>
                <w:sz w:val="22"/>
                <w:szCs w:val="22"/>
                <w:lang w:val="en-US"/>
              </w:rPr>
              <w:t>):</w:t>
            </w:r>
          </w:p>
        </w:tc>
        <w:tc>
          <w:tcPr>
            <w:tcW w:w="11703" w:type="dxa"/>
            <w:gridSpan w:val="2"/>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584C029C"/>
        </w:tc>
      </w:tr>
      <w:tr w14:paraId="0F68FFE4">
        <w:trPr>
          <w:trHeight w:val="375" w:hRule="atLeast"/>
        </w:trPr>
        <w:tc>
          <w:tcPr>
            <w:tcW w:w="14670" w:type="dxa"/>
            <w:gridSpan w:val="3"/>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4757D3E6"/>
        </w:tc>
      </w:tr>
      <w:tr w14:paraId="3EEBDD0E">
        <w:trPr>
          <w:trHeight w:val="370" w:hRule="atLeast"/>
        </w:trPr>
        <w:tc>
          <w:tcPr>
            <w:tcW w:w="2967" w:type="dxa"/>
            <w:vMerge w:val="restart"/>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4A2D7F6E">
            <w:pPr>
              <w:pStyle w:val="14"/>
              <w:spacing w:before="0" w:line="240" w:lineRule="auto"/>
              <w:jc w:val="center"/>
            </w:pPr>
            <w:r>
              <w:rPr>
                <w:rFonts w:ascii="Arial" w:hAnsi="Arial"/>
                <w:sz w:val="22"/>
                <w:szCs w:val="22"/>
                <w:lang w:val="en-US"/>
              </w:rPr>
              <w:t>Settlement data</w:t>
            </w:r>
          </w:p>
        </w:tc>
        <w:tc>
          <w:tcPr>
            <w:tcW w:w="5975" w:type="dxa"/>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4E7E823E">
            <w:pPr>
              <w:pStyle w:val="14"/>
              <w:spacing w:before="0" w:line="240" w:lineRule="auto"/>
              <w:jc w:val="center"/>
            </w:pPr>
            <w:r>
              <w:rPr>
                <w:rFonts w:ascii="Arial" w:hAnsi="Arial"/>
                <w:color w:val="00A2FF"/>
                <w:sz w:val="22"/>
                <w:szCs w:val="22"/>
                <w:lang w:val="en-US"/>
              </w:rPr>
              <w:t>Settlement type(mandatory):</w:t>
            </w:r>
          </w:p>
        </w:tc>
        <w:tc>
          <w:tcPr>
            <w:tcW w:w="5728" w:type="dxa"/>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665751D9">
            <w:pPr>
              <w:pStyle w:val="14"/>
              <w:spacing w:before="0" w:line="240" w:lineRule="auto"/>
            </w:pPr>
            <w:r>
              <w:rPr>
                <w:rFonts w:ascii="Arial" w:hAnsi="Arial"/>
                <w:sz w:val="22"/>
                <w:szCs w:val="22"/>
                <w:lang w:val="en-US"/>
              </w:rPr>
              <w:t>USDT-TRX/ Fiat (either one)</w:t>
            </w:r>
          </w:p>
        </w:tc>
      </w:tr>
      <w:tr w14:paraId="4B0DD799">
        <w:trPr>
          <w:trHeight w:val="370" w:hRule="atLeast"/>
        </w:trPr>
        <w:tc>
          <w:tcPr>
            <w:tcW w:w="2967" w:type="dxa"/>
            <w:vMerge w:val="continue"/>
            <w:tcBorders>
              <w:top w:val="single" w:color="000000" w:sz="8" w:space="0"/>
              <w:left w:val="single" w:color="000000" w:sz="8" w:space="0"/>
              <w:bottom w:val="single" w:color="000000" w:sz="8" w:space="0"/>
              <w:right w:val="single" w:color="000000" w:sz="8" w:space="0"/>
            </w:tcBorders>
            <w:shd w:val="clear" w:color="auto" w:fill="FFFFFF"/>
          </w:tcPr>
          <w:p w14:paraId="798C3926"/>
        </w:tc>
        <w:tc>
          <w:tcPr>
            <w:tcW w:w="5975" w:type="dxa"/>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1379698F">
            <w:pPr>
              <w:pStyle w:val="14"/>
              <w:spacing w:before="0" w:line="240" w:lineRule="auto"/>
              <w:jc w:val="center"/>
            </w:pPr>
            <w:r>
              <w:rPr>
                <w:rFonts w:ascii="Arial" w:hAnsi="Arial"/>
                <w:color w:val="00A2FF"/>
                <w:sz w:val="22"/>
                <w:szCs w:val="22"/>
                <w:lang w:val="en-US"/>
              </w:rPr>
              <w:t>Settlement crypto address (mandatory):</w:t>
            </w:r>
          </w:p>
        </w:tc>
        <w:tc>
          <w:tcPr>
            <w:tcW w:w="5728" w:type="dxa"/>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33D34514">
            <w:pPr>
              <w:pStyle w:val="14"/>
              <w:spacing w:before="0" w:line="240" w:lineRule="auto"/>
            </w:pPr>
            <w:r>
              <w:rPr>
                <w:rFonts w:ascii="Arial" w:hAnsi="Arial"/>
                <w:sz w:val="22"/>
                <w:szCs w:val="22"/>
                <w:lang w:val="en-US"/>
              </w:rPr>
              <w:t>In case merchant select USDT-TRX</w:t>
            </w:r>
          </w:p>
        </w:tc>
      </w:tr>
      <w:tr w14:paraId="73917F99">
        <w:trPr>
          <w:trHeight w:val="370" w:hRule="atLeast"/>
        </w:trPr>
        <w:tc>
          <w:tcPr>
            <w:tcW w:w="2967" w:type="dxa"/>
            <w:vMerge w:val="continue"/>
            <w:tcBorders>
              <w:top w:val="single" w:color="000000" w:sz="8" w:space="0"/>
              <w:left w:val="single" w:color="000000" w:sz="8" w:space="0"/>
              <w:bottom w:val="single" w:color="000000" w:sz="8" w:space="0"/>
              <w:right w:val="single" w:color="000000" w:sz="8" w:space="0"/>
            </w:tcBorders>
            <w:shd w:val="clear" w:color="auto" w:fill="FFFFFF"/>
          </w:tcPr>
          <w:p w14:paraId="6D14DF6C"/>
        </w:tc>
        <w:tc>
          <w:tcPr>
            <w:tcW w:w="5975" w:type="dxa"/>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54CC2014">
            <w:pPr>
              <w:pStyle w:val="14"/>
              <w:spacing w:before="0" w:line="240" w:lineRule="auto"/>
              <w:jc w:val="center"/>
            </w:pPr>
            <w:r>
              <w:rPr>
                <w:rFonts w:ascii="Arial" w:hAnsi="Arial"/>
                <w:color w:val="00A2FF"/>
                <w:sz w:val="22"/>
                <w:szCs w:val="22"/>
                <w:lang w:val="en-US"/>
              </w:rPr>
              <w:t>Bank account data (mandatory):</w:t>
            </w:r>
          </w:p>
        </w:tc>
        <w:tc>
          <w:tcPr>
            <w:tcW w:w="5728" w:type="dxa"/>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35F7840C">
            <w:pPr>
              <w:pStyle w:val="14"/>
              <w:spacing w:before="0" w:line="240" w:lineRule="auto"/>
            </w:pPr>
            <w:r>
              <w:rPr>
                <w:rFonts w:ascii="Arial" w:hAnsi="Arial"/>
                <w:sz w:val="22"/>
                <w:szCs w:val="22"/>
                <w:lang w:val="en-US"/>
              </w:rPr>
              <w:t xml:space="preserve">In case merchant select fiat </w:t>
            </w:r>
          </w:p>
        </w:tc>
      </w:tr>
      <w:tr w14:paraId="7459793B">
        <w:trPr>
          <w:trHeight w:val="375" w:hRule="atLeast"/>
        </w:trPr>
        <w:tc>
          <w:tcPr>
            <w:tcW w:w="2967" w:type="dxa"/>
            <w:vMerge w:val="continue"/>
            <w:tcBorders>
              <w:top w:val="single" w:color="000000" w:sz="8" w:space="0"/>
              <w:left w:val="single" w:color="000000" w:sz="8" w:space="0"/>
              <w:bottom w:val="single" w:color="000000" w:sz="8" w:space="0"/>
              <w:right w:val="single" w:color="000000" w:sz="8" w:space="0"/>
            </w:tcBorders>
            <w:shd w:val="clear" w:color="auto" w:fill="FFFFFF"/>
          </w:tcPr>
          <w:p w14:paraId="2FD8F61C"/>
        </w:tc>
        <w:tc>
          <w:tcPr>
            <w:tcW w:w="5975" w:type="dxa"/>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31666ECF">
            <w:pPr>
              <w:pStyle w:val="14"/>
              <w:spacing w:before="0" w:line="240" w:lineRule="auto"/>
              <w:jc w:val="center"/>
            </w:pPr>
            <w:r>
              <w:rPr>
                <w:rFonts w:ascii="Arial" w:hAnsi="Arial"/>
                <w:sz w:val="22"/>
                <w:szCs w:val="22"/>
                <w:lang w:val="en-US"/>
              </w:rPr>
              <w:t>Name of bank</w:t>
            </w:r>
          </w:p>
        </w:tc>
        <w:tc>
          <w:tcPr>
            <w:tcW w:w="5728" w:type="dxa"/>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41B5BE7C"/>
        </w:tc>
      </w:tr>
      <w:tr w14:paraId="71B4DC6C">
        <w:trPr>
          <w:trHeight w:val="375" w:hRule="atLeast"/>
        </w:trPr>
        <w:tc>
          <w:tcPr>
            <w:tcW w:w="2967" w:type="dxa"/>
            <w:vMerge w:val="continue"/>
            <w:tcBorders>
              <w:top w:val="single" w:color="000000" w:sz="8" w:space="0"/>
              <w:left w:val="single" w:color="000000" w:sz="8" w:space="0"/>
              <w:bottom w:val="single" w:color="000000" w:sz="8" w:space="0"/>
              <w:right w:val="single" w:color="000000" w:sz="8" w:space="0"/>
            </w:tcBorders>
            <w:shd w:val="clear" w:color="auto" w:fill="FFFFFF"/>
          </w:tcPr>
          <w:p w14:paraId="278CB2A3"/>
        </w:tc>
        <w:tc>
          <w:tcPr>
            <w:tcW w:w="5975" w:type="dxa"/>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5BADE7C3">
            <w:pPr>
              <w:pStyle w:val="14"/>
              <w:spacing w:before="0" w:line="240" w:lineRule="auto"/>
              <w:jc w:val="center"/>
            </w:pPr>
            <w:r>
              <w:rPr>
                <w:rFonts w:ascii="Arial" w:hAnsi="Arial"/>
                <w:sz w:val="22"/>
                <w:szCs w:val="22"/>
                <w:lang w:val="en-US"/>
              </w:rPr>
              <w:t>Bank address</w:t>
            </w:r>
          </w:p>
        </w:tc>
        <w:tc>
          <w:tcPr>
            <w:tcW w:w="5728" w:type="dxa"/>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39A107CB"/>
        </w:tc>
      </w:tr>
      <w:tr w14:paraId="39E3DF76">
        <w:trPr>
          <w:trHeight w:val="375" w:hRule="atLeast"/>
        </w:trPr>
        <w:tc>
          <w:tcPr>
            <w:tcW w:w="2967" w:type="dxa"/>
            <w:vMerge w:val="continue"/>
            <w:tcBorders>
              <w:top w:val="single" w:color="000000" w:sz="8" w:space="0"/>
              <w:left w:val="single" w:color="000000" w:sz="8" w:space="0"/>
              <w:bottom w:val="single" w:color="000000" w:sz="8" w:space="0"/>
              <w:right w:val="single" w:color="000000" w:sz="8" w:space="0"/>
            </w:tcBorders>
            <w:shd w:val="clear" w:color="auto" w:fill="FFFFFF"/>
          </w:tcPr>
          <w:p w14:paraId="427907BB"/>
        </w:tc>
        <w:tc>
          <w:tcPr>
            <w:tcW w:w="5975" w:type="dxa"/>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382A6B5F">
            <w:pPr>
              <w:pStyle w:val="14"/>
              <w:spacing w:before="0" w:line="240" w:lineRule="auto"/>
              <w:jc w:val="center"/>
            </w:pPr>
            <w:r>
              <w:rPr>
                <w:rFonts w:ascii="Arial" w:hAnsi="Arial"/>
                <w:sz w:val="22"/>
                <w:szCs w:val="22"/>
                <w:lang w:val="en-US"/>
              </w:rPr>
              <w:t>Bank code</w:t>
            </w:r>
          </w:p>
        </w:tc>
        <w:tc>
          <w:tcPr>
            <w:tcW w:w="5728" w:type="dxa"/>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4E65FE91"/>
        </w:tc>
      </w:tr>
      <w:tr w14:paraId="383F36B0">
        <w:trPr>
          <w:trHeight w:val="375" w:hRule="atLeast"/>
        </w:trPr>
        <w:tc>
          <w:tcPr>
            <w:tcW w:w="2967" w:type="dxa"/>
            <w:vMerge w:val="continue"/>
            <w:tcBorders>
              <w:top w:val="single" w:color="000000" w:sz="8" w:space="0"/>
              <w:left w:val="single" w:color="000000" w:sz="8" w:space="0"/>
              <w:bottom w:val="single" w:color="000000" w:sz="8" w:space="0"/>
              <w:right w:val="single" w:color="000000" w:sz="8" w:space="0"/>
            </w:tcBorders>
            <w:shd w:val="clear" w:color="auto" w:fill="FFFFFF"/>
          </w:tcPr>
          <w:p w14:paraId="76008316"/>
        </w:tc>
        <w:tc>
          <w:tcPr>
            <w:tcW w:w="5975" w:type="dxa"/>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0CB1DF4D">
            <w:pPr>
              <w:pStyle w:val="14"/>
              <w:spacing w:before="0" w:line="240" w:lineRule="auto"/>
              <w:jc w:val="center"/>
            </w:pPr>
            <w:r>
              <w:rPr>
                <w:rFonts w:ascii="Arial" w:hAnsi="Arial"/>
                <w:sz w:val="22"/>
                <w:szCs w:val="22"/>
                <w:lang w:val="en-US"/>
              </w:rPr>
              <w:t>Bank account No</w:t>
            </w:r>
          </w:p>
        </w:tc>
        <w:tc>
          <w:tcPr>
            <w:tcW w:w="5728" w:type="dxa"/>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1ED04DA3"/>
        </w:tc>
      </w:tr>
      <w:tr w14:paraId="1AF41301">
        <w:trPr>
          <w:trHeight w:val="375" w:hRule="atLeast"/>
        </w:trPr>
        <w:tc>
          <w:tcPr>
            <w:tcW w:w="2967" w:type="dxa"/>
            <w:vMerge w:val="continue"/>
            <w:tcBorders>
              <w:top w:val="single" w:color="000000" w:sz="8" w:space="0"/>
              <w:left w:val="single" w:color="000000" w:sz="8" w:space="0"/>
              <w:bottom w:val="single" w:color="000000" w:sz="8" w:space="0"/>
              <w:right w:val="single" w:color="000000" w:sz="8" w:space="0"/>
            </w:tcBorders>
            <w:shd w:val="clear" w:color="auto" w:fill="FFFFFF"/>
          </w:tcPr>
          <w:p w14:paraId="6C21DAEC"/>
        </w:tc>
        <w:tc>
          <w:tcPr>
            <w:tcW w:w="5975" w:type="dxa"/>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69D87988">
            <w:pPr>
              <w:pStyle w:val="14"/>
              <w:spacing w:before="0" w:line="240" w:lineRule="auto"/>
              <w:jc w:val="center"/>
            </w:pPr>
            <w:r>
              <w:rPr>
                <w:rFonts w:ascii="Arial" w:hAnsi="Arial"/>
                <w:sz w:val="22"/>
                <w:szCs w:val="22"/>
                <w:lang w:val="en-US"/>
              </w:rPr>
              <w:t>Bank account name:</w:t>
            </w:r>
          </w:p>
        </w:tc>
        <w:tc>
          <w:tcPr>
            <w:tcW w:w="5728" w:type="dxa"/>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30BB4287"/>
        </w:tc>
      </w:tr>
      <w:tr w14:paraId="3D5FA880">
        <w:trPr>
          <w:trHeight w:val="375" w:hRule="atLeast"/>
        </w:trPr>
        <w:tc>
          <w:tcPr>
            <w:tcW w:w="2967" w:type="dxa"/>
            <w:vMerge w:val="continue"/>
            <w:tcBorders>
              <w:top w:val="single" w:color="000000" w:sz="8" w:space="0"/>
              <w:left w:val="single" w:color="000000" w:sz="8" w:space="0"/>
              <w:bottom w:val="single" w:color="000000" w:sz="8" w:space="0"/>
              <w:right w:val="single" w:color="000000" w:sz="8" w:space="0"/>
            </w:tcBorders>
            <w:shd w:val="clear" w:color="auto" w:fill="FFFFFF"/>
          </w:tcPr>
          <w:p w14:paraId="2089DEAA"/>
        </w:tc>
        <w:tc>
          <w:tcPr>
            <w:tcW w:w="5975" w:type="dxa"/>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642FD64E">
            <w:pPr>
              <w:pStyle w:val="14"/>
              <w:spacing w:before="0" w:line="240" w:lineRule="auto"/>
              <w:jc w:val="center"/>
            </w:pPr>
            <w:r>
              <w:rPr>
                <w:rFonts w:ascii="Arial" w:hAnsi="Arial"/>
                <w:sz w:val="22"/>
                <w:szCs w:val="22"/>
                <w:lang w:val="en-US"/>
              </w:rPr>
              <w:t>Settlement currency</w:t>
            </w:r>
          </w:p>
        </w:tc>
        <w:tc>
          <w:tcPr>
            <w:tcW w:w="5728" w:type="dxa"/>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1A3D512B"/>
        </w:tc>
      </w:tr>
      <w:tr w14:paraId="149E2F71">
        <w:trPr>
          <w:trHeight w:val="375" w:hRule="atLeast"/>
        </w:trPr>
        <w:tc>
          <w:tcPr>
            <w:tcW w:w="2967" w:type="dxa"/>
            <w:vMerge w:val="continue"/>
            <w:tcBorders>
              <w:top w:val="single" w:color="000000" w:sz="8" w:space="0"/>
              <w:left w:val="single" w:color="000000" w:sz="8" w:space="0"/>
              <w:bottom w:val="single" w:color="000000" w:sz="8" w:space="0"/>
              <w:right w:val="single" w:color="000000" w:sz="8" w:space="0"/>
            </w:tcBorders>
            <w:shd w:val="clear" w:color="auto" w:fill="FFFFFF"/>
          </w:tcPr>
          <w:p w14:paraId="19D01417"/>
        </w:tc>
        <w:tc>
          <w:tcPr>
            <w:tcW w:w="5975" w:type="dxa"/>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5E9F64CF">
            <w:pPr>
              <w:pStyle w:val="14"/>
              <w:spacing w:before="0" w:line="240" w:lineRule="auto"/>
              <w:jc w:val="center"/>
            </w:pPr>
            <w:r>
              <w:rPr>
                <w:rFonts w:ascii="Arial" w:hAnsi="Arial"/>
                <w:sz w:val="22"/>
                <w:szCs w:val="22"/>
                <w:lang w:val="en-US"/>
              </w:rPr>
              <w:t>Country</w:t>
            </w:r>
          </w:p>
        </w:tc>
        <w:tc>
          <w:tcPr>
            <w:tcW w:w="5728" w:type="dxa"/>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23EB4AB8"/>
        </w:tc>
      </w:tr>
      <w:tr w14:paraId="709C23B2">
        <w:trPr>
          <w:trHeight w:val="375" w:hRule="atLeast"/>
        </w:trPr>
        <w:tc>
          <w:tcPr>
            <w:tcW w:w="2967" w:type="dxa"/>
            <w:vMerge w:val="continue"/>
            <w:tcBorders>
              <w:top w:val="single" w:color="000000" w:sz="8" w:space="0"/>
              <w:left w:val="single" w:color="000000" w:sz="8" w:space="0"/>
              <w:bottom w:val="single" w:color="000000" w:sz="8" w:space="0"/>
              <w:right w:val="single" w:color="000000" w:sz="8" w:space="0"/>
            </w:tcBorders>
            <w:shd w:val="clear" w:color="auto" w:fill="FFFFFF"/>
          </w:tcPr>
          <w:p w14:paraId="138EB72E"/>
        </w:tc>
        <w:tc>
          <w:tcPr>
            <w:tcW w:w="5975" w:type="dxa"/>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65160ADE">
            <w:pPr>
              <w:pStyle w:val="14"/>
              <w:spacing w:before="0" w:line="240" w:lineRule="auto"/>
              <w:jc w:val="center"/>
            </w:pPr>
            <w:r>
              <w:rPr>
                <w:rFonts w:ascii="Arial" w:hAnsi="Arial"/>
                <w:sz w:val="22"/>
                <w:szCs w:val="22"/>
                <w:lang w:val="en-US"/>
              </w:rPr>
              <w:t>SWIFT Address/Code</w:t>
            </w:r>
          </w:p>
        </w:tc>
        <w:tc>
          <w:tcPr>
            <w:tcW w:w="5728" w:type="dxa"/>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19ABD878"/>
        </w:tc>
      </w:tr>
      <w:tr w14:paraId="42C900AE">
        <w:trPr>
          <w:trHeight w:val="375" w:hRule="atLeast"/>
        </w:trPr>
        <w:tc>
          <w:tcPr>
            <w:tcW w:w="2967" w:type="dxa"/>
            <w:vMerge w:val="continue"/>
            <w:tcBorders>
              <w:top w:val="single" w:color="000000" w:sz="8" w:space="0"/>
              <w:left w:val="single" w:color="000000" w:sz="8" w:space="0"/>
              <w:bottom w:val="single" w:color="000000" w:sz="8" w:space="0"/>
              <w:right w:val="single" w:color="000000" w:sz="8" w:space="0"/>
            </w:tcBorders>
            <w:shd w:val="clear" w:color="auto" w:fill="FFFFFF"/>
          </w:tcPr>
          <w:p w14:paraId="31125508"/>
        </w:tc>
        <w:tc>
          <w:tcPr>
            <w:tcW w:w="5975" w:type="dxa"/>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2754E701">
            <w:pPr>
              <w:pStyle w:val="14"/>
              <w:spacing w:before="0" w:line="240" w:lineRule="auto"/>
              <w:jc w:val="center"/>
            </w:pPr>
            <w:r>
              <w:rPr>
                <w:rFonts w:ascii="Arial" w:hAnsi="Arial"/>
                <w:sz w:val="22"/>
                <w:szCs w:val="22"/>
                <w:lang w:val="en-US"/>
              </w:rPr>
              <w:t>Settlement period</w:t>
            </w:r>
          </w:p>
        </w:tc>
        <w:tc>
          <w:tcPr>
            <w:tcW w:w="5728" w:type="dxa"/>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7F2ED5B2">
            <w:pPr>
              <w:pStyle w:val="14"/>
              <w:spacing w:before="0" w:line="240" w:lineRule="auto"/>
            </w:pPr>
            <w:r>
              <w:rPr>
                <w:rFonts w:ascii="Arial" w:hAnsi="Arial"/>
                <w:sz w:val="22"/>
                <w:szCs w:val="22"/>
              </w:rPr>
              <w:t>D+1</w:t>
            </w:r>
          </w:p>
        </w:tc>
      </w:tr>
      <w:tr w14:paraId="3D06902D">
        <w:trPr>
          <w:trHeight w:val="1090" w:hRule="atLeast"/>
        </w:trPr>
        <w:tc>
          <w:tcPr>
            <w:tcW w:w="2967" w:type="dxa"/>
            <w:vMerge w:val="restart"/>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342BE628">
            <w:pPr>
              <w:pStyle w:val="15"/>
              <w:jc w:val="center"/>
            </w:pPr>
            <w:r>
              <w:rPr>
                <w:rFonts w:ascii="Helvetica Neue" w:hAnsi="Helvetica Neue"/>
                <w:sz w:val="22"/>
                <w:szCs w:val="22"/>
              </w:rPr>
              <w:t>Payment data</w:t>
            </w:r>
          </w:p>
        </w:tc>
        <w:tc>
          <w:tcPr>
            <w:tcW w:w="5975" w:type="dxa"/>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1329694C">
            <w:pPr>
              <w:pStyle w:val="14"/>
              <w:spacing w:before="0" w:line="240" w:lineRule="auto"/>
              <w:jc w:val="center"/>
            </w:pPr>
            <w:r>
              <w:rPr>
                <w:rFonts w:ascii="Arial" w:hAnsi="Arial"/>
                <w:color w:val="00A2FF"/>
                <w:sz w:val="22"/>
                <w:szCs w:val="22"/>
                <w:lang w:val="en-US"/>
              </w:rPr>
              <w:t>Payment token</w:t>
            </w:r>
          </w:p>
        </w:tc>
        <w:tc>
          <w:tcPr>
            <w:tcW w:w="5728" w:type="dxa"/>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36B93724">
            <w:pPr>
              <w:pStyle w:val="14"/>
              <w:spacing w:before="0" w:line="240" w:lineRule="auto"/>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de-DE"/>
              </w:rPr>
              <w:t>USDT (TRX, BSC, ECH, SOL)</w:t>
            </w:r>
          </w:p>
          <w:p w14:paraId="7A853232">
            <w:pPr>
              <w:pStyle w:val="14"/>
              <w:spacing w:before="0" w:line="240" w:lineRule="auto"/>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de-DE"/>
              </w:rPr>
              <w:t>USDC (TRX, BSC, ECH, SOL)</w:t>
            </w:r>
          </w:p>
          <w:p w14:paraId="62E3AB5D">
            <w:pPr>
              <w:pStyle w:val="14"/>
              <w:spacing w:before="0" w:line="240" w:lineRule="auto"/>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de-DE"/>
              </w:rPr>
              <w:t>ETH (ETH, BSC)</w:t>
            </w:r>
          </w:p>
          <w:p w14:paraId="5331EAB9">
            <w:pPr>
              <w:pStyle w:val="14"/>
              <w:spacing w:before="0" w:line="240" w:lineRule="auto"/>
            </w:pPr>
            <w:r>
              <w:rPr>
                <w:rFonts w:ascii="Arial" w:hAnsi="Arial"/>
                <w:sz w:val="22"/>
                <w:szCs w:val="22"/>
                <w:lang w:val="en-US"/>
              </w:rPr>
              <w:t xml:space="preserve">() </w:t>
            </w:r>
            <w:r>
              <w:rPr>
                <w:rFonts w:ascii="Arial" w:hAnsi="Arial"/>
                <w:sz w:val="22"/>
                <w:szCs w:val="22"/>
              </w:rPr>
              <w:t>BTC (BTC)</w:t>
            </w:r>
          </w:p>
        </w:tc>
      </w:tr>
      <w:tr w14:paraId="467E3363">
        <w:trPr>
          <w:trHeight w:val="1090" w:hRule="atLeast"/>
        </w:trPr>
        <w:tc>
          <w:tcPr>
            <w:tcW w:w="2967" w:type="dxa"/>
            <w:vMerge w:val="continue"/>
            <w:tcBorders>
              <w:top w:val="single" w:color="000000" w:sz="8" w:space="0"/>
              <w:left w:val="single" w:color="000000" w:sz="8" w:space="0"/>
              <w:bottom w:val="single" w:color="000000" w:sz="8" w:space="0"/>
              <w:right w:val="single" w:color="000000" w:sz="8" w:space="0"/>
            </w:tcBorders>
            <w:shd w:val="clear" w:color="auto" w:fill="FFFFFF"/>
          </w:tcPr>
          <w:p w14:paraId="3FD5E770"/>
        </w:tc>
        <w:tc>
          <w:tcPr>
            <w:tcW w:w="5975" w:type="dxa"/>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0C1C8C68">
            <w:pPr>
              <w:pStyle w:val="14"/>
              <w:spacing w:before="0" w:line="240" w:lineRule="auto"/>
              <w:jc w:val="center"/>
            </w:pPr>
            <w:r>
              <w:rPr>
                <w:rFonts w:ascii="Arial" w:hAnsi="Arial"/>
                <w:color w:val="00A2FF"/>
                <w:sz w:val="22"/>
                <w:szCs w:val="22"/>
                <w:lang w:val="en-US"/>
              </w:rPr>
              <w:t>Payment methods</w:t>
            </w:r>
          </w:p>
        </w:tc>
        <w:tc>
          <w:tcPr>
            <w:tcW w:w="5728" w:type="dxa"/>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3E4327A8">
            <w:pPr>
              <w:pStyle w:val="14"/>
              <w:spacing w:before="0" w:line="240" w:lineRule="auto"/>
              <w:rPr>
                <w:rFonts w:ascii="Arial" w:hAnsi="Arial" w:eastAsia="Arial" w:cs="Arial"/>
                <w:sz w:val="22"/>
                <w:szCs w:val="22"/>
              </w:rPr>
            </w:pPr>
            <w:r>
              <w:rPr>
                <w:rFonts w:ascii="Arial" w:hAnsi="Arial"/>
                <w:sz w:val="22"/>
                <w:szCs w:val="22"/>
                <w:lang w:val="en-US"/>
              </w:rPr>
              <w:t>() Binance</w:t>
            </w:r>
          </w:p>
          <w:p w14:paraId="31552283">
            <w:pPr>
              <w:pStyle w:val="14"/>
              <w:spacing w:before="0" w:line="240" w:lineRule="auto"/>
              <w:rPr>
                <w:rFonts w:ascii="Arial" w:hAnsi="Arial" w:eastAsia="Arial" w:cs="Arial"/>
                <w:sz w:val="22"/>
                <w:szCs w:val="22"/>
              </w:rPr>
            </w:pPr>
            <w:r>
              <w:rPr>
                <w:rFonts w:ascii="Arial" w:hAnsi="Arial"/>
                <w:sz w:val="22"/>
                <w:szCs w:val="22"/>
                <w:lang w:val="en-US"/>
              </w:rPr>
              <w:t>() Crypto on chain</w:t>
            </w:r>
          </w:p>
          <w:p w14:paraId="2A19C432">
            <w:pPr>
              <w:pStyle w:val="14"/>
              <w:spacing w:before="0" w:line="240" w:lineRule="auto"/>
              <w:rPr>
                <w:rFonts w:ascii="Arial" w:hAnsi="Arial" w:eastAsia="Arial" w:cs="Arial"/>
                <w:sz w:val="22"/>
                <w:szCs w:val="22"/>
              </w:rPr>
            </w:pPr>
            <w:r>
              <w:rPr>
                <w:rFonts w:ascii="Arial" w:hAnsi="Arial"/>
                <w:sz w:val="22"/>
                <w:szCs w:val="22"/>
                <w:lang w:val="en-US"/>
              </w:rPr>
              <w:t>() Exchange</w:t>
            </w:r>
          </w:p>
          <w:p w14:paraId="39888C61">
            <w:pPr>
              <w:pStyle w:val="14"/>
              <w:spacing w:before="0" w:line="240" w:lineRule="auto"/>
            </w:pPr>
            <w:r>
              <w:rPr>
                <w:rFonts w:ascii="Arial" w:hAnsi="Arial"/>
                <w:sz w:val="22"/>
                <w:szCs w:val="22"/>
                <w:lang w:val="en-US"/>
              </w:rPr>
              <w:t>() wallet</w:t>
            </w:r>
          </w:p>
        </w:tc>
      </w:tr>
      <w:tr w14:paraId="3B467C55">
        <w:trPr>
          <w:trHeight w:val="370" w:hRule="atLeast"/>
        </w:trPr>
        <w:tc>
          <w:tcPr>
            <w:tcW w:w="2967" w:type="dxa"/>
            <w:vMerge w:val="continue"/>
            <w:tcBorders>
              <w:top w:val="single" w:color="000000" w:sz="8" w:space="0"/>
              <w:left w:val="single" w:color="000000" w:sz="8" w:space="0"/>
              <w:bottom w:val="single" w:color="000000" w:sz="8" w:space="0"/>
              <w:right w:val="single" w:color="000000" w:sz="8" w:space="0"/>
            </w:tcBorders>
            <w:shd w:val="clear" w:color="auto" w:fill="FFFFFF"/>
          </w:tcPr>
          <w:p w14:paraId="7286481C"/>
        </w:tc>
        <w:tc>
          <w:tcPr>
            <w:tcW w:w="5975" w:type="dxa"/>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248950A3">
            <w:pPr>
              <w:pStyle w:val="14"/>
              <w:spacing w:before="0" w:line="240" w:lineRule="auto"/>
              <w:jc w:val="center"/>
            </w:pPr>
            <w:r>
              <w:rPr>
                <w:rFonts w:hint="eastAsia" w:ascii="Arial" w:hAnsi="Arial"/>
                <w:color w:val="00A2FF"/>
                <w:sz w:val="22"/>
                <w:szCs w:val="22"/>
                <w:lang w:val="en-US" w:eastAsia="zh-CN"/>
              </w:rPr>
              <w:t>AEON</w:t>
            </w:r>
            <w:r>
              <w:rPr>
                <w:rFonts w:ascii="Arial" w:hAnsi="Arial"/>
                <w:color w:val="00A2FF"/>
                <w:sz w:val="22"/>
                <w:szCs w:val="22"/>
                <w:lang w:val="en-US"/>
              </w:rPr>
              <w:t xml:space="preserve"> fee</w:t>
            </w:r>
          </w:p>
        </w:tc>
        <w:tc>
          <w:tcPr>
            <w:tcW w:w="5728" w:type="dxa"/>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42E7376F">
            <w:pPr>
              <w:pStyle w:val="14"/>
              <w:spacing w:before="0" w:line="240" w:lineRule="auto"/>
            </w:pPr>
            <w:r>
              <w:rPr>
                <w:rFonts w:hint="eastAsia" w:ascii="Arial" w:hAnsi="Arial"/>
                <w:sz w:val="22"/>
                <w:szCs w:val="22"/>
                <w:lang w:val="en-US" w:eastAsia="zh-CN"/>
              </w:rPr>
              <w:t>AEON</w:t>
            </w:r>
            <w:r>
              <w:rPr>
                <w:rFonts w:ascii="Arial" w:hAnsi="Arial"/>
                <w:sz w:val="22"/>
                <w:szCs w:val="22"/>
                <w:lang w:val="en-US"/>
              </w:rPr>
              <w:t xml:space="preserve"> OP team confirmed with BD  team</w:t>
            </w:r>
          </w:p>
        </w:tc>
      </w:tr>
      <w:tr w14:paraId="12678A73">
        <w:trPr>
          <w:trHeight w:val="494" w:hRule="atLeast"/>
        </w:trPr>
        <w:tc>
          <w:tcPr>
            <w:tcW w:w="2967" w:type="dxa"/>
            <w:vMerge w:val="restart"/>
            <w:tcBorders>
              <w:top w:val="single" w:color="000000" w:sz="8" w:space="0"/>
              <w:left w:val="single" w:color="000000" w:sz="8" w:space="0"/>
              <w:bottom w:val="single" w:color="000000" w:sz="8" w:space="0"/>
              <w:right w:val="single" w:color="000000" w:sz="8" w:space="0"/>
            </w:tcBorders>
            <w:shd w:val="clear" w:color="auto" w:fill="FFFFFF"/>
            <w:tcMar>
              <w:top w:w="0" w:type="dxa"/>
              <w:left w:w="40" w:type="dxa"/>
              <w:bottom w:w="40" w:type="dxa"/>
              <w:right w:w="40" w:type="dxa"/>
            </w:tcMar>
            <w:vAlign w:val="center"/>
          </w:tcPr>
          <w:p w14:paraId="1A1CAF02">
            <w:pPr>
              <w:pStyle w:val="16"/>
              <w:jc w:val="center"/>
            </w:pPr>
            <w:r>
              <w:rPr>
                <w:rFonts w:ascii="Helvetica Neue" w:hAnsi="Helvetica Neue"/>
              </w:rPr>
              <w:t>Test account</w:t>
            </w:r>
          </w:p>
        </w:tc>
        <w:tc>
          <w:tcPr>
            <w:tcW w:w="597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center"/>
          </w:tcPr>
          <w:p w14:paraId="5972A94E">
            <w:pPr>
              <w:pStyle w:val="16"/>
              <w:jc w:val="center"/>
            </w:pPr>
            <w:r>
              <w:rPr>
                <w:rFonts w:ascii="Helvetica Neue" w:hAnsi="Helvetica Neue"/>
                <w:color w:val="00A2FF"/>
              </w:rPr>
              <w:t>IP Whitelist</w:t>
            </w:r>
          </w:p>
        </w:tc>
        <w:tc>
          <w:tcPr>
            <w:tcW w:w="572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14:paraId="1ED5FD6A">
            <w:pPr>
              <w:pStyle w:val="16"/>
            </w:pPr>
            <w:r>
              <w:rPr>
                <w:rFonts w:ascii="Helvetica Neue" w:hAnsi="Helvetica Neue"/>
              </w:rPr>
              <w:t>Merchant's outgoing IP; after whitelisting, IP access will be restricted</w:t>
            </w:r>
          </w:p>
        </w:tc>
      </w:tr>
      <w:tr w14:paraId="3E8B15E4">
        <w:trPr>
          <w:trHeight w:val="280" w:hRule="atLeast"/>
        </w:trPr>
        <w:tc>
          <w:tcPr>
            <w:tcW w:w="2967" w:type="dxa"/>
            <w:vMerge w:val="continue"/>
            <w:tcBorders>
              <w:top w:val="single" w:color="000000" w:sz="8" w:space="0"/>
              <w:left w:val="single" w:color="000000" w:sz="8" w:space="0"/>
              <w:bottom w:val="single" w:color="000000" w:sz="8" w:space="0"/>
              <w:right w:val="single" w:color="000000" w:sz="8" w:space="0"/>
            </w:tcBorders>
            <w:shd w:val="clear" w:color="auto" w:fill="FFFFFF"/>
          </w:tcPr>
          <w:p w14:paraId="2937276F"/>
        </w:tc>
        <w:tc>
          <w:tcPr>
            <w:tcW w:w="597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center"/>
          </w:tcPr>
          <w:p w14:paraId="43F09601">
            <w:pPr>
              <w:pStyle w:val="16"/>
              <w:jc w:val="center"/>
            </w:pPr>
            <w:r>
              <w:rPr>
                <w:rFonts w:ascii="Arial" w:hAnsi="Arial"/>
                <w:color w:val="00A2FF"/>
                <w:u w:color="000000"/>
              </w:rPr>
              <w:t>RedirectURL</w:t>
            </w:r>
          </w:p>
        </w:tc>
        <w:tc>
          <w:tcPr>
            <w:tcW w:w="572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14:paraId="7FB7858B">
            <w:pPr>
              <w:pStyle w:val="16"/>
              <w:rPr>
                <w:rFonts w:hint="default" w:eastAsiaTheme="minorEastAsia"/>
                <w:lang w:val="en-US" w:eastAsia="zh-CN"/>
              </w:rPr>
            </w:pPr>
            <w:r>
              <w:rPr>
                <w:rFonts w:ascii="Helvetica Neue" w:hAnsi="Helvetica Neue"/>
              </w:rPr>
              <w:t>Optional (users will return to the default page specified by the merchant under any circumstances).</w:t>
            </w:r>
          </w:p>
        </w:tc>
      </w:tr>
      <w:tr w14:paraId="0D6797FB">
        <w:trPr>
          <w:trHeight w:val="734" w:hRule="atLeast"/>
        </w:trPr>
        <w:tc>
          <w:tcPr>
            <w:tcW w:w="2967" w:type="dxa"/>
            <w:vMerge w:val="continue"/>
            <w:tcBorders>
              <w:top w:val="single" w:color="000000" w:sz="8" w:space="0"/>
              <w:left w:val="single" w:color="000000" w:sz="8" w:space="0"/>
              <w:bottom w:val="single" w:color="000000" w:sz="8" w:space="0"/>
              <w:right w:val="single" w:color="000000" w:sz="8" w:space="0"/>
            </w:tcBorders>
            <w:shd w:val="clear" w:color="auto" w:fill="FFFFFF"/>
          </w:tcPr>
          <w:p w14:paraId="78D390FC"/>
        </w:tc>
        <w:tc>
          <w:tcPr>
            <w:tcW w:w="597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center"/>
          </w:tcPr>
          <w:p w14:paraId="676E067C">
            <w:pPr>
              <w:pStyle w:val="16"/>
              <w:jc w:val="center"/>
            </w:pPr>
            <w:r>
              <w:rPr>
                <w:rFonts w:ascii="Helvetica Neue" w:hAnsi="Helvetica Neue"/>
                <w:color w:val="00A2FF"/>
              </w:rPr>
              <w:t>Merchant Email</w:t>
            </w:r>
          </w:p>
        </w:tc>
        <w:tc>
          <w:tcPr>
            <w:tcW w:w="572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14:paraId="02FBB551"/>
        </w:tc>
      </w:tr>
      <w:tr w14:paraId="1D771718">
        <w:trPr>
          <w:trHeight w:val="254" w:hRule="atLeast"/>
        </w:trPr>
        <w:tc>
          <w:tcPr>
            <w:tcW w:w="2967" w:type="dxa"/>
            <w:vMerge w:val="continue"/>
            <w:tcBorders>
              <w:top w:val="single" w:color="000000" w:sz="8" w:space="0"/>
              <w:left w:val="single" w:color="000000" w:sz="8" w:space="0"/>
              <w:bottom w:val="single" w:color="000000" w:sz="8" w:space="0"/>
              <w:right w:val="single" w:color="000000" w:sz="8" w:space="0"/>
            </w:tcBorders>
            <w:shd w:val="clear" w:color="auto" w:fill="FFFFFF"/>
          </w:tcPr>
          <w:p w14:paraId="5A3E2A76"/>
        </w:tc>
        <w:tc>
          <w:tcPr>
            <w:tcW w:w="597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center"/>
          </w:tcPr>
          <w:p w14:paraId="1DEFDD24">
            <w:pPr>
              <w:pStyle w:val="16"/>
              <w:jc w:val="center"/>
            </w:pPr>
            <w:r>
              <w:rPr>
                <w:rFonts w:ascii="DengXian" w:hAnsi="DengXian" w:eastAsia="DengXian" w:cs="DengXian"/>
                <w:color w:val="00A2FF"/>
                <w:u w:color="000000"/>
                <w:lang w:val="it-IT"/>
              </w:rPr>
              <w:t>Slippage</w:t>
            </w:r>
            <w:bookmarkStart w:id="0" w:name="_GoBack"/>
            <w:bookmarkEnd w:id="0"/>
          </w:p>
        </w:tc>
        <w:tc>
          <w:tcPr>
            <w:tcW w:w="572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14:paraId="409DBD6F">
            <w:pPr>
              <w:pStyle w:val="16"/>
              <w:rPr>
                <w:rFonts w:ascii="Helvetica Neue" w:hAnsi="Helvetica Neue" w:eastAsia="Helvetica Neue" w:cs="Helvetica Neue"/>
              </w:rPr>
            </w:pPr>
            <w:r>
              <w:rPr>
                <w:rFonts w:ascii="Helvetica Neue" w:hAnsi="Helvetica Neue"/>
              </w:rPr>
              <w:t>Optional (can be defined based on the token).</w:t>
            </w:r>
          </w:p>
          <w:p w14:paraId="2EFEA840">
            <w:pPr>
              <w:pStyle w:val="16"/>
              <w:numPr>
                <w:ilvl w:val="0"/>
                <w:numId w:val="1"/>
              </w:numPr>
              <w:rPr>
                <w:rFonts w:ascii="Helvetica Neue" w:hAnsi="Helvetica Neue"/>
              </w:rPr>
            </w:pPr>
            <w:r>
              <w:rPr>
                <w:rFonts w:ascii="Helvetica Neue" w:hAnsi="Helvetica Neue"/>
              </w:rPr>
              <w:t>Configuration: +-x%</w:t>
            </w:r>
          </w:p>
          <w:p w14:paraId="4AA20A29">
            <w:pPr>
              <w:pStyle w:val="16"/>
              <w:numPr>
                <w:ilvl w:val="0"/>
                <w:numId w:val="1"/>
              </w:numPr>
              <w:rPr>
                <w:rFonts w:ascii="Helvetica Neue" w:hAnsi="Helvetica Neue"/>
              </w:rPr>
            </w:pPr>
            <w:r>
              <w:rPr>
                <w:rFonts w:ascii="Helvetica Neue" w:hAnsi="Helvetica Neue"/>
              </w:rPr>
              <w:t xml:space="preserve">Due to price fluctuations, when a user pays with a non-stablecoin, if the user payment is successful, the merchant receives the amount calculated at the market price at that time. If the loss is greater than the merchant's set slippage after deducting the </w:t>
            </w:r>
            <w:r>
              <w:rPr>
                <w:rFonts w:hint="eastAsia" w:ascii="Helvetica Neue" w:hAnsi="Helvetica Neue"/>
                <w:lang w:val="en-US" w:eastAsia="zh-CN"/>
              </w:rPr>
              <w:t>AEON</w:t>
            </w:r>
            <w:r>
              <w:rPr>
                <w:rFonts w:ascii="Helvetica Neue" w:hAnsi="Helvetica Neue"/>
              </w:rPr>
              <w:t xml:space="preserve"> fee, the payment fails. If the profit after deducting the </w:t>
            </w:r>
            <w:r>
              <w:rPr>
                <w:rFonts w:hint="eastAsia" w:ascii="Helvetica Neue" w:hAnsi="Helvetica Neue"/>
                <w:lang w:eastAsia="zh-CN"/>
              </w:rPr>
              <w:t>AEON</w:t>
            </w:r>
            <w:r>
              <w:rPr>
                <w:rFonts w:ascii="Helvetica Neue" w:hAnsi="Helvetica Neue"/>
              </w:rPr>
              <w:t xml:space="preserve"> fee is more than 1% of the order amount, it will not be settled to the merchant and will be retained by </w:t>
            </w:r>
            <w:r>
              <w:rPr>
                <w:rFonts w:hint="eastAsia" w:ascii="Helvetica Neue" w:hAnsi="Helvetica Neue"/>
                <w:lang w:eastAsia="zh-CN"/>
              </w:rPr>
              <w:t>AEON</w:t>
            </w:r>
            <w:r>
              <w:rPr>
                <w:rFonts w:ascii="Helvetica Neue" w:hAnsi="Helvetica Neue"/>
              </w:rPr>
              <w:t xml:space="preserve"> as its own profit.</w:t>
            </w:r>
          </w:p>
          <w:p w14:paraId="52480E9B">
            <w:pPr>
              <w:pStyle w:val="16"/>
              <w:numPr>
                <w:ilvl w:val="0"/>
                <w:numId w:val="1"/>
              </w:numPr>
            </w:pPr>
            <w:r>
              <w:rPr>
                <w:rFonts w:ascii="Helvetica Neue" w:hAnsi="Helvetica Neue"/>
              </w:rPr>
              <w:t xml:space="preserve">If not configured, the customer will bear the risk of price fluctuations by default. After </w:t>
            </w:r>
            <w:r>
              <w:rPr>
                <w:rFonts w:hint="eastAsia" w:ascii="Helvetica Neue" w:hAnsi="Helvetica Neue"/>
                <w:lang w:eastAsia="zh-CN"/>
              </w:rPr>
              <w:t>AEON</w:t>
            </w:r>
            <w:r>
              <w:rPr>
                <w:rFonts w:ascii="Helvetica Neue" w:hAnsi="Helvetica Neue"/>
              </w:rPr>
              <w:t xml:space="preserve"> receives the user's payment and deducts the </w:t>
            </w:r>
            <w:r>
              <w:rPr>
                <w:rFonts w:hint="eastAsia" w:ascii="Helvetica Neue" w:hAnsi="Helvetica Neue"/>
                <w:lang w:eastAsia="zh-CN"/>
              </w:rPr>
              <w:t>AEON</w:t>
            </w:r>
            <w:r>
              <w:rPr>
                <w:rFonts w:ascii="Helvetica Neue" w:hAnsi="Helvetica Neue"/>
              </w:rPr>
              <w:t xml:space="preserve"> fee, the full amount will be settled to the merchant.</w:t>
            </w:r>
          </w:p>
        </w:tc>
      </w:tr>
      <w:tr w14:paraId="32EE1B60">
        <w:trPr>
          <w:trHeight w:val="4334" w:hRule="atLeast"/>
        </w:trPr>
        <w:tc>
          <w:tcPr>
            <w:tcW w:w="2967" w:type="dxa"/>
            <w:vMerge w:val="continue"/>
            <w:tcBorders>
              <w:top w:val="single" w:color="000000" w:sz="8" w:space="0"/>
              <w:left w:val="single" w:color="000000" w:sz="8" w:space="0"/>
              <w:bottom w:val="single" w:color="000000" w:sz="8" w:space="0"/>
              <w:right w:val="single" w:color="000000" w:sz="8" w:space="0"/>
            </w:tcBorders>
            <w:shd w:val="clear" w:color="auto" w:fill="FFFFFF"/>
          </w:tcPr>
          <w:p w14:paraId="7CBDAB03"/>
        </w:tc>
        <w:tc>
          <w:tcPr>
            <w:tcW w:w="5975"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center"/>
          </w:tcPr>
          <w:p w14:paraId="1356943E">
            <w:pPr>
              <w:pStyle w:val="16"/>
              <w:jc w:val="center"/>
            </w:pPr>
          </w:p>
        </w:tc>
        <w:tc>
          <w:tcPr>
            <w:tcW w:w="5728"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14:paraId="65601AB9">
            <w:pPr>
              <w:pStyle w:val="16"/>
              <w:numPr>
                <w:ilvl w:val="0"/>
                <w:numId w:val="1"/>
              </w:numPr>
              <w:rPr>
                <w:rFonts w:ascii="Helvetica Neue" w:hAnsi="Helvetica Neue"/>
              </w:rPr>
            </w:pPr>
          </w:p>
        </w:tc>
      </w:tr>
      <w:tr w14:paraId="587E1155">
        <w:trPr>
          <w:trHeight w:val="1268" w:hRule="atLeast"/>
        </w:trPr>
        <w:tc>
          <w:tcPr>
            <w:tcW w:w="14670" w:type="dxa"/>
            <w:gridSpan w:val="3"/>
            <w:tcBorders>
              <w:top w:val="single" w:color="000000" w:sz="8" w:space="0"/>
              <w:left w:val="nil"/>
              <w:bottom w:val="nil"/>
              <w:right w:val="nil"/>
            </w:tcBorders>
            <w:shd w:val="clear" w:color="auto" w:fill="FFFFFF"/>
            <w:tcMar>
              <w:top w:w="0" w:type="dxa"/>
              <w:left w:w="40" w:type="dxa"/>
              <w:bottom w:w="40" w:type="dxa"/>
              <w:right w:w="40" w:type="dxa"/>
            </w:tcMar>
            <w:vAlign w:val="center"/>
          </w:tcPr>
          <w:p w14:paraId="739D087D">
            <w:pPr>
              <w:pStyle w:val="16"/>
            </w:pPr>
            <w:r>
              <w:rPr>
                <w:rFonts w:ascii="Helvetica Neue" w:hAnsi="Helvetica Neue"/>
              </w:rPr>
              <w:t xml:space="preserve">**1. Merchants applying for the test account should submit the information in blue typeface and contact </w:t>
            </w:r>
            <w:r>
              <w:rPr>
                <w:rFonts w:hint="eastAsia" w:ascii="Helvetica Neue" w:hAnsi="Helvetica Neue"/>
                <w:lang w:eastAsia="zh-CN"/>
              </w:rPr>
              <w:t>AEON</w:t>
            </w:r>
            <w:r>
              <w:rPr>
                <w:rFonts w:ascii="Helvetica Neue" w:hAnsi="Helvetica Neue"/>
              </w:rPr>
              <w:t xml:space="preserve"> operation team for backend configuration.</w:t>
            </w:r>
          </w:p>
          <w:p w14:paraId="6A5BA2B6">
            <w:pPr>
              <w:pStyle w:val="16"/>
            </w:pPr>
            <w:r>
              <w:rPr>
                <w:rFonts w:ascii="Helvetica Neue" w:hAnsi="Helvetica Neue"/>
              </w:rPr>
              <w:t xml:space="preserve">**2. BD needs to push merchants to complete the remaining content as soon as possible and finish the general KYB process. Otherwise, </w:t>
            </w:r>
            <w:r>
              <w:rPr>
                <w:rFonts w:hint="eastAsia" w:ascii="Helvetica Neue" w:hAnsi="Helvetica Neue"/>
                <w:lang w:eastAsia="zh-CN"/>
              </w:rPr>
              <w:t>AEON</w:t>
            </w:r>
            <w:r>
              <w:rPr>
                <w:rFonts w:ascii="Helvetica Neue" w:hAnsi="Helvetica Neue"/>
              </w:rPr>
              <w:t xml:space="preserve"> will not settle to merchant.</w:t>
            </w:r>
          </w:p>
        </w:tc>
      </w:tr>
    </w:tbl>
    <w:p w14:paraId="03C8B2B9"/>
    <w:p w14:paraId="457D1F60"/>
    <w:p w14:paraId="6C297A3E"/>
    <w:sectPr>
      <w:pgSz w:w="16834" w:h="11909" w:orient="landscape"/>
      <w:pgMar w:top="1440" w:right="1440" w:bottom="1440" w:left="1440" w:header="720" w:footer="720" w:gutter="0"/>
      <w:pgNumType w:start="1"/>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PingFang SC Regular">
    <w:panose1 w:val="020B0400000000000000"/>
    <w:charset w:val="86"/>
    <w:family w:val="roman"/>
    <w:pitch w:val="default"/>
    <w:sig w:usb0="A00002FF" w:usb1="7ACFFDFB" w:usb2="00000017" w:usb3="00000000" w:csb0="00040001" w:csb1="00000000"/>
  </w:font>
  <w:font w:name="Arial Unicode MS">
    <w:panose1 w:val="020B0604020202020204"/>
    <w:charset w:val="80"/>
    <w:family w:val="swiss"/>
    <w:pitch w:val="default"/>
    <w:sig w:usb0="FFFFFFFF" w:usb1="E9FFFFFF" w:usb2="0000003F" w:usb3="00000000" w:csb0="603F01FF" w:csb1="FFFF0000"/>
  </w:font>
  <w:font w:name="Helvetica Neue">
    <w:panose1 w:val="02000503000000020004"/>
    <w:charset w:val="00"/>
    <w:family w:val="auto"/>
    <w:pitch w:val="default"/>
    <w:sig w:usb0="E50002FF" w:usb1="500079DB" w:usb2="0000001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Times Roman">
    <w:altName w:val="Times New Roman"/>
    <w:panose1 w:val="020B0604020202020204"/>
    <w:charset w:val="00"/>
    <w:family w:val="roman"/>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FDB16E"/>
    <w:multiLevelType w:val="multilevel"/>
    <w:tmpl w:val="EEFDB16E"/>
    <w:lvl w:ilvl="0" w:tentative="0">
      <w:start w:val="1"/>
      <w:numFmt w:val="bullet"/>
      <w:lvlText w:val="•"/>
      <w:lvlJc w:val="left"/>
      <w:pPr>
        <w:ind w:left="678" w:hanging="458"/>
      </w:pPr>
      <w:rPr>
        <w:rFonts w:ascii="Times Roman" w:hAnsi="Times Roman" w:eastAsia="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898" w:hanging="458"/>
      </w:pPr>
      <w:rPr>
        <w:rFonts w:ascii="Times Roman" w:hAnsi="Times Roman" w:eastAsia="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1118" w:hanging="458"/>
      </w:pPr>
      <w:rPr>
        <w:rFonts w:ascii="Times Roman" w:hAnsi="Times Roman" w:eastAsia="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1338" w:hanging="458"/>
      </w:pPr>
      <w:rPr>
        <w:rFonts w:ascii="Times Roman" w:hAnsi="Times Roman" w:eastAsia="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1558" w:hanging="458"/>
      </w:pPr>
      <w:rPr>
        <w:rFonts w:ascii="Times Roman" w:hAnsi="Times Roman" w:eastAsia="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1778" w:hanging="458"/>
      </w:pPr>
      <w:rPr>
        <w:rFonts w:ascii="Times Roman" w:hAnsi="Times Roman" w:eastAsia="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1998" w:hanging="458"/>
      </w:pPr>
      <w:rPr>
        <w:rFonts w:ascii="Times Roman" w:hAnsi="Times Roman" w:eastAsia="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2218" w:hanging="458"/>
      </w:pPr>
      <w:rPr>
        <w:rFonts w:ascii="Times Roman" w:hAnsi="Times Roman" w:eastAsia="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2438" w:hanging="458"/>
      </w:pPr>
      <w:rPr>
        <w:rFonts w:ascii="Times Roman" w:hAnsi="Times Roman" w:eastAsia="Times Roman" w:cs="Times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llNGNkMjM5MzU2NmFiMGJmMDE3OGI4ZTNjMDkxYWUifQ=="/>
  </w:docVars>
  <w:rsids>
    <w:rsidRoot w:val="00053E4D"/>
    <w:rsid w:val="0004358D"/>
    <w:rsid w:val="00053E4D"/>
    <w:rsid w:val="001C13F1"/>
    <w:rsid w:val="00254C97"/>
    <w:rsid w:val="00307DE4"/>
    <w:rsid w:val="006E5E49"/>
    <w:rsid w:val="007636A9"/>
    <w:rsid w:val="0095620D"/>
    <w:rsid w:val="00EE4B77"/>
    <w:rsid w:val="5EE7FB6F"/>
    <w:rsid w:val="6FFCCCDA"/>
    <w:rsid w:val="9FFD8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Theme="minorEastAsia"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cs="Arial" w:eastAsiaTheme="minorEastAsia"/>
      <w:sz w:val="22"/>
      <w:szCs w:val="22"/>
      <w:lang w:val="en-GB" w:eastAsia="zh-C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8">
    <w:name w:val="Subtitle"/>
    <w:basedOn w:val="1"/>
    <w:next w:val="1"/>
    <w:qFormat/>
    <w:uiPriority w:val="11"/>
    <w:pPr>
      <w:keepNext/>
      <w:keepLines/>
      <w:spacing w:after="320"/>
    </w:pPr>
    <w:rPr>
      <w:rFonts w:eastAsia="Arial"/>
      <w:color w:val="666666"/>
      <w:sz w:val="30"/>
      <w:szCs w:val="30"/>
    </w:rPr>
  </w:style>
  <w:style w:type="paragraph" w:styleId="9">
    <w:name w:val="Title"/>
    <w:basedOn w:val="1"/>
    <w:next w:val="1"/>
    <w:qFormat/>
    <w:uiPriority w:val="10"/>
    <w:pPr>
      <w:keepNext/>
      <w:keepLines/>
      <w:spacing w:after="60"/>
    </w:pPr>
    <w:rPr>
      <w:sz w:val="52"/>
      <w:szCs w:val="52"/>
    </w:rPr>
  </w:style>
  <w:style w:type="table" w:customStyle="1" w:styleId="12">
    <w:name w:val="Table Normal"/>
    <w:uiPriority w:val="0"/>
    <w:tblPr>
      <w:tblCellMar>
        <w:top w:w="0" w:type="dxa"/>
        <w:left w:w="0" w:type="dxa"/>
        <w:bottom w:w="0" w:type="dxa"/>
        <w:right w:w="0" w:type="dxa"/>
      </w:tblCellMar>
    </w:tblPr>
  </w:style>
  <w:style w:type="table" w:customStyle="1" w:styleId="13">
    <w:name w:val="_Style 12"/>
    <w:basedOn w:val="12"/>
    <w:uiPriority w:val="0"/>
    <w:tblPr>
      <w:tblCellMar>
        <w:top w:w="100" w:type="dxa"/>
        <w:left w:w="100" w:type="dxa"/>
        <w:bottom w:w="100" w:type="dxa"/>
        <w:right w:w="100" w:type="dxa"/>
      </w:tblCellMar>
    </w:tblPr>
  </w:style>
  <w:style w:type="paragraph" w:customStyle="1" w:styleId="14">
    <w:name w:val="默认"/>
    <w:uiPriority w:val="0"/>
    <w:pPr>
      <w:spacing w:before="160" w:line="288" w:lineRule="auto"/>
    </w:pPr>
    <w:rPr>
      <w:rFonts w:ascii="PingFang SC Regular" w:hAnsi="PingFang SC Regular" w:eastAsia="Arial Unicode MS" w:cs="Arial Unicode MS"/>
      <w:color w:val="000000"/>
      <w:sz w:val="24"/>
      <w:szCs w:val="24"/>
      <w:lang w:val="fr-FR" w:eastAsia="zh-CN" w:bidi="ar-SA"/>
    </w:rPr>
  </w:style>
  <w:style w:type="paragraph" w:customStyle="1" w:styleId="15">
    <w:name w:val="表格样式 2"/>
    <w:uiPriority w:val="0"/>
    <w:pPr>
      <w:spacing w:line="240" w:lineRule="auto"/>
    </w:pPr>
    <w:rPr>
      <w:rFonts w:ascii="PingFang SC Regular" w:hAnsi="PingFang SC Regular" w:eastAsia="PingFang SC Regular" w:cs="PingFang SC Regular"/>
      <w:color w:val="000000"/>
      <w:sz w:val="20"/>
      <w:szCs w:val="20"/>
      <w:lang w:val="en-US" w:eastAsia="zh-CN" w:bidi="ar-SA"/>
    </w:rPr>
  </w:style>
  <w:style w:type="paragraph" w:customStyle="1" w:styleId="16">
    <w:name w:val="正文1"/>
    <w:uiPriority w:val="0"/>
    <w:pPr>
      <w:spacing w:line="240" w:lineRule="auto"/>
    </w:pPr>
    <w:rPr>
      <w:rFonts w:ascii="PingFang SC Regular" w:hAnsi="PingFang SC Regular" w:eastAsia="PingFang SC Regular" w:cs="PingFang SC Regular"/>
      <w:color w:val="000000"/>
      <w:sz w:val="22"/>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362</Words>
  <Characters>2065</Characters>
  <Lines>17</Lines>
  <Paragraphs>4</Paragraphs>
  <TotalTime>0</TotalTime>
  <ScaleCrop>false</ScaleCrop>
  <LinksUpToDate>false</LinksUpToDate>
  <CharactersWithSpaces>2423</CharactersWithSpaces>
  <Application>WPS Office_6.10.1.8873_F1E327BC-269C-435d-A152-05C5408002CA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2024-08-09T06:11:00Z</dcterms:created>
  <dc:creator>Data</dc:creator>
  <cp:lastModifiedBy>里贵实</cp:lastModifiedBy>
  <dcterms:modified xsi:type="dcterms:W3CDTF">2024-09-04T08:56:56Z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2052-6.10.1.8873</vt:lpwstr>
  </property>
  <property fmtid="{D5CDD505-2E9C-101B-9397-08002B2CF9AE}" pid="3" name="ICV">
    <vt:lpwstr>D2E9832EF12FA5ACBC7CD566A990169F_43</vt:lpwstr>
  </property>
</Properties>
</file>