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5336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710959">
            <w:trPr>
              <w:trHeight w:val="2880"/>
              <w:jc w:val="center"/>
            </w:trPr>
            <w:sdt>
              <w:sdtPr>
                <w:rPr>
                  <w:rFonts w:asciiTheme="majorHAnsi" w:eastAsiaTheme="majorEastAsia" w:hAnsiTheme="majorHAnsi" w:cstheme="majorBidi"/>
                  <w:caps/>
                </w:rPr>
                <w:alias w:val="Organización"/>
                <w:id w:val="15524243"/>
                <w:placeholder>
                  <w:docPart w:val="522318D57DB747E299B912CEE1C0E9EE"/>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710959" w:rsidRDefault="00710959">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[Escribir el nombre de la compañía]</w:t>
                    </w:r>
                  </w:p>
                </w:tc>
              </w:sdtContent>
            </w:sdt>
          </w:tr>
          <w:tr w:rsidR="00710959">
            <w:trPr>
              <w:trHeight w:val="1440"/>
              <w:jc w:val="center"/>
            </w:trPr>
            <w:sdt>
              <w:sdtPr>
                <w:rPr>
                  <w:rFonts w:asciiTheme="majorHAnsi" w:eastAsiaTheme="majorEastAsia" w:hAnsiTheme="majorHAnsi" w:cstheme="majorBidi"/>
                  <w:sz w:val="80"/>
                  <w:szCs w:val="80"/>
                </w:rPr>
                <w:alias w:val="Título"/>
                <w:id w:val="15524250"/>
                <w:placeholder>
                  <w:docPart w:val="E466A1A679CB40FFA54D0D9E72D2057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10959" w:rsidRDefault="00A93193" w:rsidP="0071095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Acceso, transformación y explotación de datos abiertos sobre el fraude</w:t>
                    </w:r>
                  </w:p>
                </w:tc>
              </w:sdtContent>
            </w:sdt>
          </w:tr>
          <w:tr w:rsidR="00710959">
            <w:trPr>
              <w:trHeight w:val="720"/>
              <w:jc w:val="center"/>
            </w:trPr>
            <w:sdt>
              <w:sdtPr>
                <w:rPr>
                  <w:rFonts w:asciiTheme="majorHAnsi" w:eastAsiaTheme="majorEastAsia" w:hAnsiTheme="majorHAnsi" w:cstheme="majorBidi"/>
                  <w:sz w:val="44"/>
                  <w:szCs w:val="44"/>
                </w:rPr>
                <w:alias w:val="Subtítulo"/>
                <w:id w:val="15524255"/>
                <w:placeholder>
                  <w:docPart w:val="D4EE658BA388465B827EA8AB6F0E795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10959" w:rsidRDefault="00710959" w:rsidP="0071095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Consumer Fraud Refunds</w:t>
                    </w:r>
                  </w:p>
                </w:tc>
              </w:sdtContent>
            </w:sdt>
          </w:tr>
          <w:tr w:rsidR="00710959">
            <w:trPr>
              <w:trHeight w:val="360"/>
              <w:jc w:val="center"/>
            </w:trPr>
            <w:tc>
              <w:tcPr>
                <w:tcW w:w="5000" w:type="pct"/>
                <w:vAlign w:val="center"/>
              </w:tcPr>
              <w:p w:rsidR="00710959" w:rsidRDefault="00710959">
                <w:pPr>
                  <w:pStyle w:val="Sinespaciado"/>
                  <w:jc w:val="center"/>
                </w:pPr>
              </w:p>
            </w:tc>
          </w:tr>
          <w:tr w:rsidR="00710959">
            <w:trPr>
              <w:trHeight w:val="360"/>
              <w:jc w:val="center"/>
            </w:trPr>
            <w:sdt>
              <w:sdtPr>
                <w:rPr>
                  <w:b/>
                  <w:bCs/>
                </w:rPr>
                <w:alias w:val="Autor"/>
                <w:id w:val="15524260"/>
                <w:placeholder>
                  <w:docPart w:val="C2F086104B514E4B9C08EE692816E73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10959" w:rsidRDefault="00710959">
                    <w:pPr>
                      <w:pStyle w:val="Sinespaciado"/>
                      <w:jc w:val="center"/>
                      <w:rPr>
                        <w:b/>
                        <w:bCs/>
                      </w:rPr>
                    </w:pPr>
                    <w:r>
                      <w:rPr>
                        <w:b/>
                        <w:bCs/>
                      </w:rPr>
                      <w:t>Raul A. del Águila Escobar</w:t>
                    </w:r>
                  </w:p>
                </w:tc>
              </w:sdtContent>
            </w:sdt>
          </w:tr>
          <w:tr w:rsidR="00710959">
            <w:trPr>
              <w:trHeight w:val="360"/>
              <w:jc w:val="center"/>
            </w:trPr>
            <w:sdt>
              <w:sdtPr>
                <w:rPr>
                  <w:b/>
                  <w:bCs/>
                </w:rPr>
                <w:alias w:val="Fecha"/>
                <w:id w:val="516659546"/>
                <w:placeholder>
                  <w:docPart w:val="765EDB9057724897BCC4B680FE285ED0"/>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710959" w:rsidRDefault="00710959" w:rsidP="00710959">
                    <w:pPr>
                      <w:pStyle w:val="Sinespaciado"/>
                      <w:jc w:val="center"/>
                      <w:rPr>
                        <w:b/>
                        <w:bCs/>
                      </w:rPr>
                    </w:pPr>
                    <w:r>
                      <w:rPr>
                        <w:b/>
                        <w:bCs/>
                      </w:rPr>
                      <w:t>Febrero de 2017</w:t>
                    </w:r>
                  </w:p>
                </w:tc>
              </w:sdtContent>
            </w:sdt>
          </w:tr>
        </w:tbl>
        <w:p w:rsidR="00710959" w:rsidRDefault="00710959"/>
        <w:p w:rsidR="00710959" w:rsidRDefault="00710959"/>
        <w:tbl>
          <w:tblPr>
            <w:tblpPr w:leftFromText="187" w:rightFromText="187" w:horzAnchor="margin" w:tblpXSpec="center" w:tblpYSpec="bottom"/>
            <w:tblW w:w="5000" w:type="pct"/>
            <w:tblLook w:val="04A0"/>
          </w:tblPr>
          <w:tblGrid>
            <w:gridCol w:w="8720"/>
          </w:tblGrid>
          <w:tr w:rsidR="00710959">
            <w:sdt>
              <w:sdtPr>
                <w:alias w:val="Abstracto"/>
                <w:id w:val="8276291"/>
                <w:showingPlcHdr/>
                <w:dataBinding w:prefixMappings="xmlns:ns0='http://schemas.microsoft.com/office/2006/coverPageProps'" w:xpath="/ns0:CoverPageProperties[1]/ns0:Abstract[1]" w:storeItemID="{55AF091B-3C7A-41E3-B477-F2FDAA23CFDA}"/>
                <w:text/>
              </w:sdtPr>
              <w:sdtContent>
                <w:tc>
                  <w:tcPr>
                    <w:tcW w:w="5000" w:type="pct"/>
                  </w:tcPr>
                  <w:p w:rsidR="00710959" w:rsidRDefault="00710959">
                    <w:pPr>
                      <w:pStyle w:val="Sinespaciado"/>
                    </w:pPr>
                    <w:r>
                      <w:t>[Escriba aquí una descripción breve del documento. Una descripción breve es un resumen corto del contenido del documento. Escriba aquí una descripción breve del documento. Una descripción breve es un resumen corto del contenido del documento.]</w:t>
                    </w:r>
                  </w:p>
                </w:tc>
              </w:sdtContent>
            </w:sdt>
          </w:tr>
        </w:tbl>
        <w:p w:rsidR="00710959" w:rsidRDefault="00710959"/>
        <w:p w:rsidR="00710959" w:rsidRDefault="00710959">
          <w:r>
            <w:br w:type="page"/>
          </w:r>
        </w:p>
      </w:sdtContent>
    </w:sdt>
    <w:p w:rsidR="00710959" w:rsidRDefault="00710959"/>
    <w:p w:rsidR="00710959" w:rsidRDefault="00710959">
      <w:r>
        <w:br w:type="page"/>
      </w:r>
    </w:p>
    <w:p w:rsidR="00144932" w:rsidRDefault="00710959" w:rsidP="00710959">
      <w:pPr>
        <w:pStyle w:val="Ttulo1"/>
      </w:pPr>
      <w:r>
        <w:lastRenderedPageBreak/>
        <w:t>Introducción</w:t>
      </w:r>
    </w:p>
    <w:p w:rsidR="00710959" w:rsidRDefault="00710959" w:rsidP="00710959"/>
    <w:p w:rsidR="00710959" w:rsidRDefault="00710959" w:rsidP="00710959">
      <w:r>
        <w:t>El fraude implica engaño. La voluntad de ocultar una acción deshonesta para con la organización o con la sociedad es, sin duda, una de las principales características de quien perpetra un fraude.</w:t>
      </w:r>
    </w:p>
    <w:p w:rsidR="00710959" w:rsidRDefault="00710959" w:rsidP="00710959">
      <w:r>
        <w:t>Tras la reciente crisis económica, los ciudadanos, empresas y agentes sociales han tomado conciencia del grave impacto financiero (en adelante, perjuicio económico) que el fraude puede ocasionar a organizaciones privadas y gobiernos; el fraude es, sin duda, un ataque directo a la cuenta de resultados de cualquier tipo de organización.</w:t>
      </w:r>
    </w:p>
    <w:p w:rsidR="00710959" w:rsidRDefault="00710959" w:rsidP="00710959">
      <w:r>
        <w:t>Sin embargo, la lucha contra el fraude no es algo nuevo:</w:t>
      </w:r>
    </w:p>
    <w:p w:rsidR="00710959" w:rsidRDefault="00710959" w:rsidP="00710959">
      <w:r>
        <w:t xml:space="preserve">Instituciones como la ACFE (Association of Certified Fraud Examiners) llevan formando y elaborando estándares de facto en lo relativo a procedimientos y tipología de fraude. </w:t>
      </w:r>
    </w:p>
    <w:p w:rsidR="00710959" w:rsidRDefault="00710959" w:rsidP="00710959">
      <w:r>
        <w:t>Existen firmas de servicios profesionales tienen departamentos especializados en la investigación y prevención de fraude como, por ejemplo, EY. Estas firmas utilizan procedimientos de análisis financiero, social network analytics, o minería de datos, entre otros, en el contexto de grandes investigaciones de fraude.</w:t>
      </w:r>
    </w:p>
    <w:p w:rsidR="00E70B69" w:rsidRDefault="00E70B69" w:rsidP="00710959">
      <w:r>
        <w:t>Existen normativas como la FCPA americana o la UK Bribery Act británica que establecen sanciones para todas aquellas organizaciones que no hayan puesto los medios necesarios para prevenir la corrupción. A nivel nacional, las sucesivas reformas del Código Penal español desde el 2010 se han ido alineando con la normativa internacional, llegando la jurisprudencia nacional a establecer como requerimiento la existencia de controles informáticos para dicha prevención.</w:t>
      </w:r>
    </w:p>
    <w:p w:rsidR="00710959" w:rsidRDefault="00E70B69" w:rsidP="00710959">
      <w:r w:rsidRPr="00E70B69">
        <w:t>Como recoge la Open Knowledge Foundation</w:t>
      </w:r>
      <w:r>
        <w:rPr>
          <w:rStyle w:val="Refdenotaalpie"/>
          <w:lang w:val="en-US"/>
        </w:rPr>
        <w:footnoteReference w:id="2"/>
      </w:r>
      <w:r w:rsidRPr="00E70B69">
        <w:t xml:space="preserve">, los datos abiertos son una </w:t>
      </w:r>
      <w:r>
        <w:t>pieza fundamental para la transparencia en las organizaciones.  La transparencia implica que un ciudadano pueda ejercer el control sobre las acciones de los gobiernos e instituciones mediante al análisis de los datos que éstas han publicado. Es, por tanto, una buena base para comenzar la lucha contra el fraude.</w:t>
      </w:r>
    </w:p>
    <w:p w:rsidR="00A93193" w:rsidRDefault="00A93193" w:rsidP="00710959">
      <w:r>
        <w:t>El presente trabajo tiene por objeto el acceso a una fuente de datos abiertos relacionadas con el fraude, su transformación de acuerdo con un modelo ontológico, su publicación y un ejemplo de explotación de estos datos.</w:t>
      </w:r>
    </w:p>
    <w:p w:rsidR="00A93193" w:rsidRDefault="00A93193">
      <w:r>
        <w:br w:type="page"/>
      </w:r>
    </w:p>
    <w:p w:rsidR="00E70B69" w:rsidRDefault="00A93193" w:rsidP="00A93193">
      <w:pPr>
        <w:pStyle w:val="Ttulo1"/>
      </w:pPr>
      <w:r>
        <w:lastRenderedPageBreak/>
        <w:t>Proceso de transformación de los datos</w:t>
      </w:r>
    </w:p>
    <w:p w:rsidR="00A93193" w:rsidRDefault="00A93193" w:rsidP="00A93193"/>
    <w:p w:rsidR="00A93193" w:rsidRDefault="00A93193" w:rsidP="00A93193">
      <w:pPr>
        <w:pStyle w:val="Ttulo2"/>
      </w:pPr>
      <w:r>
        <w:t>Selección de los datos</w:t>
      </w:r>
    </w:p>
    <w:p w:rsidR="0000002E" w:rsidRDefault="0000002E" w:rsidP="00A93193"/>
    <w:p w:rsidR="00A93193" w:rsidRDefault="00191749" w:rsidP="00A93193">
      <w:r>
        <w:t>Se ha accedido al portal de datos abiertos de Estados Unidos</w:t>
      </w:r>
      <w:r>
        <w:rPr>
          <w:rStyle w:val="Refdenotaalpie"/>
        </w:rPr>
        <w:footnoteReference w:id="3"/>
      </w:r>
      <w:r>
        <w:t xml:space="preserve"> y se ha accedido a los datos de fraude de devoluciones de clientes del estado de Iowa</w:t>
      </w:r>
      <w:r>
        <w:rPr>
          <w:rStyle w:val="Refdenotaalpie"/>
        </w:rPr>
        <w:footnoteReference w:id="4"/>
      </w:r>
      <w:r>
        <w:t>. La imagen siguiente contiene una captura de pantalla de esta página web</w:t>
      </w:r>
      <w:r w:rsidR="0000002E">
        <w:t>, accedida el 9 de enero de 2018</w:t>
      </w:r>
      <w:r>
        <w:t>.</w:t>
      </w:r>
    </w:p>
    <w:tbl>
      <w:tblPr>
        <w:tblStyle w:val="Tablaconcuadrcula"/>
        <w:tblW w:w="0" w:type="auto"/>
        <w:tblLook w:val="04A0"/>
      </w:tblPr>
      <w:tblGrid>
        <w:gridCol w:w="8720"/>
      </w:tblGrid>
      <w:tr w:rsidR="00191749" w:rsidTr="0000002E">
        <w:tc>
          <w:tcPr>
            <w:tcW w:w="8720" w:type="dxa"/>
          </w:tcPr>
          <w:p w:rsidR="00191749" w:rsidRDefault="00191749" w:rsidP="0000002E">
            <w:pPr>
              <w:keepNext/>
              <w:spacing w:before="120" w:after="120"/>
            </w:pPr>
            <w:r>
              <w:rPr>
                <w:noProof/>
                <w:lang w:eastAsia="es-ES"/>
              </w:rPr>
              <w:drawing>
                <wp:inline distT="0" distB="0" distL="0" distR="0">
                  <wp:extent cx="5390515" cy="2562225"/>
                  <wp:effectExtent l="19050" t="0" r="63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390515" cy="2562225"/>
                          </a:xfrm>
                          <a:prstGeom prst="rect">
                            <a:avLst/>
                          </a:prstGeom>
                          <a:noFill/>
                          <a:ln w="9525">
                            <a:noFill/>
                            <a:miter lim="800000"/>
                            <a:headEnd/>
                            <a:tailEnd/>
                          </a:ln>
                        </pic:spPr>
                      </pic:pic>
                    </a:graphicData>
                  </a:graphic>
                </wp:inline>
              </w:drawing>
            </w:r>
          </w:p>
        </w:tc>
      </w:tr>
    </w:tbl>
    <w:p w:rsidR="00191749" w:rsidRPr="00A93193" w:rsidRDefault="0000002E" w:rsidP="0000002E">
      <w:pPr>
        <w:pStyle w:val="Epgrafe"/>
      </w:pPr>
      <w:r>
        <w:t xml:space="preserve">Imagen </w:t>
      </w:r>
      <w:fldSimple w:instr=" SEQ Imagen \* ARABIC ">
        <w:r>
          <w:rPr>
            <w:noProof/>
          </w:rPr>
          <w:t>1</w:t>
        </w:r>
      </w:fldSimple>
      <w:r>
        <w:t xml:space="preserve"> Captura de pantalla del acceso a la página web de datos abiertos del gobierno americano</w:t>
      </w:r>
    </w:p>
    <w:p w:rsidR="00A93193" w:rsidRDefault="0000002E" w:rsidP="0000002E">
      <w:pPr>
        <w:pStyle w:val="Ttulo2"/>
      </w:pPr>
      <w:r>
        <w:t>Descripción de los datos</w:t>
      </w:r>
    </w:p>
    <w:p w:rsidR="0000002E" w:rsidRDefault="0000002E" w:rsidP="0000002E"/>
    <w:p w:rsidR="0000002E" w:rsidRDefault="000F7D6E" w:rsidP="0000002E">
      <w:r>
        <w:t>La descripción de los datos contenida en la página web es la que se muestra a continuación</w:t>
      </w:r>
      <w:r>
        <w:rPr>
          <w:rStyle w:val="Refdenotaalpie"/>
        </w:rPr>
        <w:footnoteReference w:id="5"/>
      </w:r>
      <w:r>
        <w:t>:</w:t>
      </w:r>
    </w:p>
    <w:tbl>
      <w:tblPr>
        <w:tblW w:w="5000" w:type="pct"/>
        <w:shd w:val="clear" w:color="auto" w:fill="FFFFFF"/>
        <w:tblCellMar>
          <w:top w:w="15" w:type="dxa"/>
          <w:left w:w="15" w:type="dxa"/>
          <w:bottom w:w="15" w:type="dxa"/>
          <w:right w:w="15" w:type="dxa"/>
        </w:tblCellMar>
        <w:tblLook w:val="04A0"/>
      </w:tblPr>
      <w:tblGrid>
        <w:gridCol w:w="2034"/>
        <w:gridCol w:w="5137"/>
        <w:gridCol w:w="1218"/>
        <w:gridCol w:w="508"/>
      </w:tblGrid>
      <w:tr w:rsidR="000F7D6E" w:rsidRPr="00AE411A" w:rsidTr="00477CD1">
        <w:trPr>
          <w:cantSplit/>
          <w:tblHeader/>
        </w:trPr>
        <w:tc>
          <w:tcPr>
            <w:tcW w:w="0" w:type="auto"/>
            <w:tcBorders>
              <w:top w:val="single" w:sz="6" w:space="0" w:color="E4E4E4"/>
              <w:left w:val="single" w:sz="6" w:space="0" w:color="E4E4E4"/>
              <w:bottom w:val="single" w:sz="6" w:space="0" w:color="E4E4E4"/>
              <w:right w:val="nil"/>
            </w:tcBorders>
            <w:shd w:val="clear" w:color="auto" w:fill="FFFFFF"/>
            <w:tcMar>
              <w:top w:w="28" w:type="dxa"/>
              <w:left w:w="142" w:type="dxa"/>
              <w:bottom w:w="28" w:type="dxa"/>
              <w:right w:w="142" w:type="dxa"/>
            </w:tcMar>
            <w:vAlign w:val="bottom"/>
            <w:hideMark/>
          </w:tcPr>
          <w:p w:rsidR="000F7D6E" w:rsidRPr="00AE411A" w:rsidRDefault="000F7D6E" w:rsidP="000F7D6E">
            <w:pPr>
              <w:spacing w:after="0" w:line="240" w:lineRule="auto"/>
              <w:jc w:val="center"/>
              <w:rPr>
                <w:rFonts w:ascii="Arial" w:eastAsia="Times New Roman" w:hAnsi="Arial" w:cs="Arial"/>
                <w:b/>
                <w:bCs/>
                <w:color w:val="2279A6"/>
                <w:sz w:val="18"/>
                <w:szCs w:val="18"/>
                <w:lang w:eastAsia="es-ES"/>
              </w:rPr>
            </w:pPr>
            <w:r w:rsidRPr="00AE411A">
              <w:rPr>
                <w:rFonts w:ascii="Arial" w:eastAsia="Times New Roman" w:hAnsi="Arial" w:cs="Arial"/>
                <w:b/>
                <w:bCs/>
                <w:color w:val="2279A6"/>
                <w:sz w:val="18"/>
                <w:szCs w:val="18"/>
                <w:lang w:eastAsia="es-ES"/>
              </w:rPr>
              <w:t>Columna</w:t>
            </w:r>
          </w:p>
        </w:tc>
        <w:tc>
          <w:tcPr>
            <w:tcW w:w="0" w:type="auto"/>
            <w:tcBorders>
              <w:top w:val="single" w:sz="6" w:space="0" w:color="E4E4E4"/>
              <w:left w:val="nil"/>
              <w:bottom w:val="single" w:sz="6" w:space="0" w:color="E4E4E4"/>
              <w:right w:val="nil"/>
            </w:tcBorders>
            <w:shd w:val="clear" w:color="auto" w:fill="FFFFFF"/>
            <w:tcMar>
              <w:top w:w="28" w:type="dxa"/>
              <w:left w:w="142" w:type="dxa"/>
              <w:bottom w:w="28" w:type="dxa"/>
              <w:right w:w="142" w:type="dxa"/>
            </w:tcMar>
            <w:vAlign w:val="bottom"/>
            <w:hideMark/>
          </w:tcPr>
          <w:p w:rsidR="000F7D6E" w:rsidRPr="00AE411A" w:rsidRDefault="000F7D6E" w:rsidP="000F7D6E">
            <w:pPr>
              <w:spacing w:after="0" w:line="240" w:lineRule="auto"/>
              <w:jc w:val="center"/>
              <w:rPr>
                <w:rFonts w:ascii="Arial" w:eastAsia="Times New Roman" w:hAnsi="Arial" w:cs="Arial"/>
                <w:b/>
                <w:color w:val="2C2C2C"/>
                <w:sz w:val="18"/>
                <w:szCs w:val="18"/>
                <w:lang w:val="en-US" w:eastAsia="es-ES"/>
              </w:rPr>
            </w:pPr>
            <w:r w:rsidRPr="00AE411A">
              <w:rPr>
                <w:rFonts w:ascii="Arial" w:eastAsia="Times New Roman" w:hAnsi="Arial" w:cs="Arial"/>
                <w:b/>
                <w:color w:val="2C2C2C"/>
                <w:sz w:val="18"/>
                <w:szCs w:val="18"/>
                <w:lang w:val="en-US" w:eastAsia="es-ES"/>
              </w:rPr>
              <w:t>Descripción</w:t>
            </w:r>
          </w:p>
        </w:tc>
        <w:tc>
          <w:tcPr>
            <w:tcW w:w="0" w:type="auto"/>
            <w:tcBorders>
              <w:top w:val="single" w:sz="6" w:space="0" w:color="E4E4E4"/>
              <w:left w:val="nil"/>
              <w:bottom w:val="single" w:sz="6" w:space="0" w:color="E4E4E4"/>
              <w:right w:val="nil"/>
            </w:tcBorders>
            <w:shd w:val="clear" w:color="auto" w:fill="FFFFFF"/>
            <w:tcMar>
              <w:top w:w="28" w:type="dxa"/>
              <w:left w:w="142" w:type="dxa"/>
              <w:bottom w:w="28" w:type="dxa"/>
              <w:right w:w="142" w:type="dxa"/>
            </w:tcMar>
            <w:vAlign w:val="bottom"/>
            <w:hideMark/>
          </w:tcPr>
          <w:p w:rsidR="000F7D6E" w:rsidRPr="00AE411A" w:rsidRDefault="000F7D6E" w:rsidP="000F7D6E">
            <w:pPr>
              <w:spacing w:after="0" w:line="240" w:lineRule="auto"/>
              <w:jc w:val="center"/>
              <w:rPr>
                <w:rFonts w:ascii="Arial" w:eastAsia="Times New Roman" w:hAnsi="Arial" w:cs="Arial"/>
                <w:b/>
                <w:color w:val="727272"/>
                <w:sz w:val="18"/>
                <w:szCs w:val="18"/>
                <w:lang w:eastAsia="es-ES"/>
              </w:rPr>
            </w:pPr>
            <w:r w:rsidRPr="00AE411A">
              <w:rPr>
                <w:rFonts w:ascii="Arial" w:eastAsia="Times New Roman" w:hAnsi="Arial" w:cs="Arial"/>
                <w:b/>
                <w:color w:val="727272"/>
                <w:sz w:val="18"/>
                <w:szCs w:val="18"/>
                <w:lang w:eastAsia="es-ES"/>
              </w:rPr>
              <w:t>Tipo</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AE411A"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Record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Número de registro que actúa como id único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Fiscal Year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0F7D6E" w:rsidP="00553DF5">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Identifica el año fiscal en el que el pago fue asignado. El año fiscal incluye</w:t>
            </w:r>
            <w:r w:rsidR="00553DF5" w:rsidRPr="00AE411A">
              <w:rPr>
                <w:rFonts w:ascii="Arial" w:eastAsia="Times New Roman" w:hAnsi="Arial" w:cs="Arial"/>
                <w:color w:val="2C2C2C"/>
                <w:sz w:val="18"/>
                <w:szCs w:val="18"/>
                <w:lang w:eastAsia="es-ES"/>
              </w:rPr>
              <w:t xml:space="preserve"> un período de holdover para pagos realizados después de la finalización del año fiscal por bienes y servicios recibidos antes del 30 de junio.</w:t>
            </w:r>
            <w:r w:rsidRPr="00AE411A">
              <w:rPr>
                <w:rFonts w:ascii="Arial" w:eastAsia="Times New Roman" w:hAnsi="Arial" w:cs="Arial"/>
                <w:color w:val="2C2C2C"/>
                <w:sz w:val="18"/>
                <w:szCs w:val="18"/>
                <w:lang w:eastAsia="es-ES"/>
              </w:rPr>
              <w:t xml:space="preserve"> </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val="en-US" w:eastAsia="es-ES"/>
              </w:rPr>
              <w:t>Fisca</w:t>
            </w:r>
            <w:r w:rsidRPr="000F7D6E">
              <w:rPr>
                <w:rFonts w:ascii="Arial" w:eastAsia="Times New Roman" w:hAnsi="Arial" w:cs="Arial"/>
                <w:b/>
                <w:bCs/>
                <w:color w:val="2279A6"/>
                <w:sz w:val="18"/>
                <w:szCs w:val="18"/>
                <w:lang w:eastAsia="es-ES"/>
              </w:rPr>
              <w:t>l Year Period</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553DF5" w:rsidP="00553DF5">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Refleja doce periodos siendo julio el primer periodo y junio el 12.</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lastRenderedPageBreak/>
              <w:t>Accounting Period</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553DF5" w:rsidP="00553DF5">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 xml:space="preserve">Periodo contable reflejado en el sistema contable del Rstado. </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Service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271DA1" w:rsidP="00271DA1">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Funciones recogidas en el presupuesto del estado que representan grupos de agencias que realizan pagos por servicios y programas similares.</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Department</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271DA1" w:rsidP="000F7D6E">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Nombre del departamento, institución o agencia que realiza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Fund Code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271DA1" w:rsidP="00271DA1">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Código asociado a la fuente de fondos utilizada para realizar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Fund Name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Nombre de la fuente de fondos utilizada para realizar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Appropriation Code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 xml:space="preserve">Código que designa la autorización legislativa del pago. </w:t>
            </w:r>
            <w:r w:rsidRPr="00AE411A">
              <w:rPr>
                <w:rFonts w:ascii="Arial" w:eastAsia="Times New Roman" w:hAnsi="Arial" w:cs="Arial"/>
                <w:color w:val="2C2C2C"/>
                <w:sz w:val="18"/>
                <w:szCs w:val="18"/>
                <w:lang w:eastAsia="es-ES"/>
              </w:rPr>
              <w:t>Algunos pagos realizados por el Código de Iowa no requieren de autorización legislativa.</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t>Appropriation Name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Autorización legislativa para el pago. Algunos pagos no requieren esta autorización.</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Program</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Unidad organizativa o programa de un departamento asociada con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Expense Category</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0F7D6E">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Categoría de gasto asociada con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Vendor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 xml:space="preserve">Proveedor que recibe el pago. </w:t>
            </w:r>
            <w:r w:rsidRPr="00AE411A">
              <w:rPr>
                <w:rFonts w:ascii="Arial" w:eastAsia="Times New Roman" w:hAnsi="Arial" w:cs="Arial"/>
                <w:color w:val="2C2C2C"/>
                <w:sz w:val="18"/>
                <w:szCs w:val="18"/>
                <w:lang w:eastAsia="es-ES"/>
              </w:rPr>
              <w:t xml:space="preserve">Algunos datos se registrarán como restringidos por cuestión de confidencialidad. </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t>Vendor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Número asignado al proveedor. Por razones de confidencialidad algunos pueden aparecer restringidos, o alterados.</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Payment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 xml:space="preserve">Códico unívoco para el pago basado en una concatenación de </w:t>
            </w:r>
            <w:r w:rsidR="000F7D6E" w:rsidRPr="00AE411A">
              <w:rPr>
                <w:rFonts w:ascii="Arial" w:eastAsia="Times New Roman" w:hAnsi="Arial" w:cs="Arial"/>
                <w:color w:val="2C2C2C"/>
                <w:sz w:val="18"/>
                <w:szCs w:val="18"/>
                <w:lang w:eastAsia="es-ES"/>
              </w:rPr>
              <w:t xml:space="preserve">doc code, dept number, doc ID, vendor line number and commodity line number </w:t>
            </w:r>
            <w:r w:rsidRPr="00AE411A">
              <w:rPr>
                <w:rFonts w:ascii="Arial" w:eastAsia="Times New Roman" w:hAnsi="Arial" w:cs="Arial"/>
                <w:color w:val="2C2C2C"/>
                <w:sz w:val="18"/>
                <w:szCs w:val="18"/>
                <w:lang w:eastAsia="es-ES"/>
              </w:rPr>
              <w:t>del sistema contable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Payment Issue Date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Fecha en la que el pago se realizó al proveedor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Date &amp; Time</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Invoice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 xml:space="preserve">Número de factura del proveedor. </w:t>
            </w:r>
            <w:r w:rsidRPr="00AE411A">
              <w:rPr>
                <w:rFonts w:ascii="Arial" w:eastAsia="Times New Roman" w:hAnsi="Arial" w:cs="Arial"/>
                <w:color w:val="2C2C2C"/>
                <w:sz w:val="18"/>
                <w:szCs w:val="18"/>
                <w:lang w:eastAsia="es-ES"/>
              </w:rPr>
              <w:t>Si no está disponible la factura, recibe el número de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lastRenderedPageBreak/>
              <w:t>Invoice Line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val="en-US" w:eastAsia="es-ES"/>
              </w:rPr>
            </w:pPr>
            <w:r w:rsidRPr="00AE411A">
              <w:rPr>
                <w:rFonts w:ascii="Arial" w:eastAsia="Times New Roman" w:hAnsi="Arial" w:cs="Arial"/>
                <w:color w:val="2C2C2C"/>
                <w:sz w:val="18"/>
                <w:szCs w:val="18"/>
                <w:lang w:val="en-US" w:eastAsia="es-ES"/>
              </w:rPr>
              <w:t>Número de marcador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val="en-US" w:eastAsia="es-ES"/>
              </w:rPr>
              <w:t>Invoice Line Distributi</w:t>
            </w:r>
            <w:r w:rsidRPr="000F7D6E">
              <w:rPr>
                <w:rFonts w:ascii="Arial" w:eastAsia="Times New Roman" w:hAnsi="Arial" w:cs="Arial"/>
                <w:b/>
                <w:bCs/>
                <w:color w:val="2279A6"/>
                <w:sz w:val="18"/>
                <w:szCs w:val="18"/>
                <w:lang w:eastAsia="es-ES"/>
              </w:rPr>
              <w:t>on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0F7D6E">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Número de marcador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Invoice Date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Fecha de factura. Si no está disponible, recibe la misma fecha del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Date &amp; Time</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t>Amount</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0F7D6E">
            <w:pPr>
              <w:spacing w:after="0" w:line="240" w:lineRule="auto"/>
              <w:rPr>
                <w:rFonts w:ascii="Arial" w:eastAsia="Times New Roman" w:hAnsi="Arial" w:cs="Arial"/>
                <w:color w:val="2C2C2C"/>
                <w:sz w:val="18"/>
                <w:szCs w:val="18"/>
                <w:lang w:val="en-US" w:eastAsia="es-ES"/>
              </w:rPr>
            </w:pPr>
            <w:r w:rsidRPr="00AE411A">
              <w:rPr>
                <w:rFonts w:ascii="Arial" w:eastAsia="Times New Roman" w:hAnsi="Arial" w:cs="Arial"/>
                <w:color w:val="2C2C2C"/>
                <w:sz w:val="18"/>
                <w:szCs w:val="18"/>
                <w:lang w:val="en-US" w:eastAsia="es-ES"/>
              </w:rPr>
              <w:t>Importe del pago realizado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AFAFA"/>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t>Description</w:t>
            </w:r>
          </w:p>
        </w:tc>
        <w:tc>
          <w:tcPr>
            <w:tcW w:w="0" w:type="auto"/>
            <w:tcBorders>
              <w:top w:val="single" w:sz="6" w:space="0" w:color="E4E4E4"/>
              <w:left w:val="nil"/>
              <w:bottom w:val="single" w:sz="6" w:space="0" w:color="E4E4E4"/>
              <w:right w:val="nil"/>
            </w:tcBorders>
            <w:shd w:val="clear" w:color="auto" w:fill="FAFAFA"/>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Descripción del tipo de pago</w:t>
            </w:r>
          </w:p>
        </w:tc>
        <w:tc>
          <w:tcPr>
            <w:tcW w:w="0" w:type="auto"/>
            <w:tcBorders>
              <w:top w:val="single" w:sz="6" w:space="0" w:color="E4E4E4"/>
              <w:left w:val="nil"/>
              <w:bottom w:val="single" w:sz="6" w:space="0" w:color="E4E4E4"/>
              <w:right w:val="nil"/>
            </w:tcBorders>
            <w:shd w:val="clear" w:color="auto" w:fill="FAFAFA"/>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AFAFA"/>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bl>
    <w:p w:rsidR="000F7D6E" w:rsidRDefault="000F7D6E" w:rsidP="0000002E"/>
    <w:p w:rsidR="0000002E" w:rsidRDefault="00477CD1" w:rsidP="00477CD1">
      <w:pPr>
        <w:pStyle w:val="Ttulo2"/>
      </w:pPr>
      <w:r>
        <w:t>Licencia</w:t>
      </w:r>
    </w:p>
    <w:p w:rsidR="00FA229B" w:rsidRDefault="00FA229B" w:rsidP="00FA229B"/>
    <w:p w:rsidR="00477CD1" w:rsidRDefault="00FA229B" w:rsidP="00FA229B">
      <w:r>
        <w:t>Según recoge la [página web](https://catalog.data.gov/dataset/consumer-fraud-refunds), los datos son de acceso público, no especificándose licencia alguna. El propietario de los datos es DAS, State Accounting Enterprise. No obstante, los datos están sujetos a unos términos de uso. Estos términos de uso no detallan limitaciones a la distribución o uso de los datos, si bien sí especifican que no aseguran la integridad y precisión de los mismos.</w:t>
      </w:r>
    </w:p>
    <w:p w:rsidR="00477CD1" w:rsidRPr="00477CD1" w:rsidRDefault="00477CD1" w:rsidP="00477CD1"/>
    <w:sectPr w:rsidR="00477CD1" w:rsidRPr="00477CD1" w:rsidSect="0071095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0F7" w:rsidRDefault="005650F7" w:rsidP="00E70B69">
      <w:pPr>
        <w:spacing w:after="0" w:line="240" w:lineRule="auto"/>
      </w:pPr>
      <w:r>
        <w:separator/>
      </w:r>
    </w:p>
  </w:endnote>
  <w:endnote w:type="continuationSeparator" w:id="1">
    <w:p w:rsidR="005650F7" w:rsidRDefault="005650F7" w:rsidP="00E70B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0F7" w:rsidRDefault="005650F7" w:rsidP="00E70B69">
      <w:pPr>
        <w:spacing w:after="0" w:line="240" w:lineRule="auto"/>
      </w:pPr>
      <w:r>
        <w:separator/>
      </w:r>
    </w:p>
  </w:footnote>
  <w:footnote w:type="continuationSeparator" w:id="1">
    <w:p w:rsidR="005650F7" w:rsidRDefault="005650F7" w:rsidP="00E70B69">
      <w:pPr>
        <w:spacing w:after="0" w:line="240" w:lineRule="auto"/>
      </w:pPr>
      <w:r>
        <w:continuationSeparator/>
      </w:r>
    </w:p>
  </w:footnote>
  <w:footnote w:id="2">
    <w:p w:rsidR="00E70B69" w:rsidRDefault="00E70B69">
      <w:pPr>
        <w:pStyle w:val="Textonotapie"/>
      </w:pPr>
      <w:r>
        <w:rPr>
          <w:rStyle w:val="Refdenotaalpie"/>
        </w:rPr>
        <w:footnoteRef/>
      </w:r>
      <w:r>
        <w:t xml:space="preserve"> </w:t>
      </w:r>
      <w:r w:rsidRPr="00E70B69">
        <w:t>https://okfn.org/about/</w:t>
      </w:r>
    </w:p>
  </w:footnote>
  <w:footnote w:id="3">
    <w:p w:rsidR="00191749" w:rsidRDefault="00191749">
      <w:pPr>
        <w:pStyle w:val="Textonotapie"/>
      </w:pPr>
      <w:r>
        <w:rPr>
          <w:rStyle w:val="Refdenotaalpie"/>
        </w:rPr>
        <w:footnoteRef/>
      </w:r>
      <w:r>
        <w:t xml:space="preserve"> </w:t>
      </w:r>
      <w:r w:rsidRPr="00191749">
        <w:t>https://www.data.gov/</w:t>
      </w:r>
    </w:p>
  </w:footnote>
  <w:footnote w:id="4">
    <w:p w:rsidR="00191749" w:rsidRDefault="00191749">
      <w:pPr>
        <w:pStyle w:val="Textonotapie"/>
      </w:pPr>
      <w:r>
        <w:rPr>
          <w:rStyle w:val="Refdenotaalpie"/>
        </w:rPr>
        <w:footnoteRef/>
      </w:r>
      <w:r>
        <w:t xml:space="preserve"> </w:t>
      </w:r>
      <w:r w:rsidRPr="00191749">
        <w:t>https://catalog.data.gov/dataset/consumer-fraud-refunds</w:t>
      </w:r>
    </w:p>
  </w:footnote>
  <w:footnote w:id="5">
    <w:p w:rsidR="000F7D6E" w:rsidRDefault="000F7D6E">
      <w:pPr>
        <w:pStyle w:val="Textonotapie"/>
      </w:pPr>
      <w:r>
        <w:rPr>
          <w:rStyle w:val="Refdenotaalpie"/>
        </w:rPr>
        <w:footnoteRef/>
      </w:r>
      <w:r>
        <w:t xml:space="preserve"> </w:t>
      </w:r>
      <w:r w:rsidRPr="000F7D6E">
        <w:t>https://data.iowa.gov/Government/Consumer-Fraud-Refunds/b37c-2vmj</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10959"/>
    <w:rsid w:val="0000002E"/>
    <w:rsid w:val="000956F7"/>
    <w:rsid w:val="000F7D6E"/>
    <w:rsid w:val="00144932"/>
    <w:rsid w:val="00191749"/>
    <w:rsid w:val="002165FF"/>
    <w:rsid w:val="00271DA1"/>
    <w:rsid w:val="00477CD1"/>
    <w:rsid w:val="004D1D1D"/>
    <w:rsid w:val="00553DF5"/>
    <w:rsid w:val="005650F7"/>
    <w:rsid w:val="006B4618"/>
    <w:rsid w:val="00710959"/>
    <w:rsid w:val="00A24747"/>
    <w:rsid w:val="00A93193"/>
    <w:rsid w:val="00AE411A"/>
    <w:rsid w:val="00E70B69"/>
    <w:rsid w:val="00FA229B"/>
    <w:rsid w:val="00FB2F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932"/>
  </w:style>
  <w:style w:type="paragraph" w:styleId="Ttulo1">
    <w:name w:val="heading 1"/>
    <w:basedOn w:val="Normal"/>
    <w:next w:val="Normal"/>
    <w:link w:val="Ttulo1Car"/>
    <w:uiPriority w:val="9"/>
    <w:qFormat/>
    <w:rsid w:val="00710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931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095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10959"/>
    <w:rPr>
      <w:rFonts w:eastAsiaTheme="minorEastAsia"/>
    </w:rPr>
  </w:style>
  <w:style w:type="paragraph" w:styleId="Textodeglobo">
    <w:name w:val="Balloon Text"/>
    <w:basedOn w:val="Normal"/>
    <w:link w:val="TextodegloboCar"/>
    <w:uiPriority w:val="99"/>
    <w:semiHidden/>
    <w:unhideWhenUsed/>
    <w:rsid w:val="007109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959"/>
    <w:rPr>
      <w:rFonts w:ascii="Tahoma" w:hAnsi="Tahoma" w:cs="Tahoma"/>
      <w:sz w:val="16"/>
      <w:szCs w:val="16"/>
    </w:rPr>
  </w:style>
  <w:style w:type="character" w:customStyle="1" w:styleId="Ttulo1Car">
    <w:name w:val="Título 1 Car"/>
    <w:basedOn w:val="Fuentedeprrafopredeter"/>
    <w:link w:val="Ttulo1"/>
    <w:uiPriority w:val="9"/>
    <w:rsid w:val="00710959"/>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E70B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0B69"/>
    <w:rPr>
      <w:sz w:val="20"/>
      <w:szCs w:val="20"/>
    </w:rPr>
  </w:style>
  <w:style w:type="character" w:styleId="Refdenotaalpie">
    <w:name w:val="footnote reference"/>
    <w:basedOn w:val="Fuentedeprrafopredeter"/>
    <w:uiPriority w:val="99"/>
    <w:semiHidden/>
    <w:unhideWhenUsed/>
    <w:rsid w:val="00E70B69"/>
    <w:rPr>
      <w:vertAlign w:val="superscript"/>
    </w:rPr>
  </w:style>
  <w:style w:type="character" w:customStyle="1" w:styleId="Ttulo2Car">
    <w:name w:val="Título 2 Car"/>
    <w:basedOn w:val="Fuentedeprrafopredeter"/>
    <w:link w:val="Ttulo2"/>
    <w:uiPriority w:val="9"/>
    <w:rsid w:val="00A9319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917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00002E"/>
    <w:pPr>
      <w:spacing w:line="240" w:lineRule="auto"/>
    </w:pPr>
    <w:rPr>
      <w:b/>
      <w:bCs/>
      <w:color w:val="4F81BD" w:themeColor="accent1"/>
      <w:sz w:val="18"/>
      <w:szCs w:val="18"/>
    </w:rPr>
  </w:style>
  <w:style w:type="character" w:customStyle="1" w:styleId="linkify">
    <w:name w:val="linkify"/>
    <w:basedOn w:val="Fuentedeprrafopredeter"/>
    <w:rsid w:val="000F7D6E"/>
  </w:style>
  <w:style w:type="character" w:customStyle="1" w:styleId="type-name">
    <w:name w:val="type-name"/>
    <w:basedOn w:val="Fuentedeprrafopredeter"/>
    <w:rsid w:val="000F7D6E"/>
  </w:style>
</w:styles>
</file>

<file path=word/webSettings.xml><?xml version="1.0" encoding="utf-8"?>
<w:webSettings xmlns:r="http://schemas.openxmlformats.org/officeDocument/2006/relationships" xmlns:w="http://schemas.openxmlformats.org/wordprocessingml/2006/main">
  <w:divs>
    <w:div w:id="34739177">
      <w:bodyDiv w:val="1"/>
      <w:marLeft w:val="0"/>
      <w:marRight w:val="0"/>
      <w:marTop w:val="0"/>
      <w:marBottom w:val="0"/>
      <w:divBdr>
        <w:top w:val="none" w:sz="0" w:space="0" w:color="auto"/>
        <w:left w:val="none" w:sz="0" w:space="0" w:color="auto"/>
        <w:bottom w:val="none" w:sz="0" w:space="0" w:color="auto"/>
        <w:right w:val="none" w:sz="0" w:space="0" w:color="auto"/>
      </w:divBdr>
      <w:divsChild>
        <w:div w:id="589772068">
          <w:marLeft w:val="0"/>
          <w:marRight w:val="0"/>
          <w:marTop w:val="0"/>
          <w:marBottom w:val="0"/>
          <w:divBdr>
            <w:top w:val="none" w:sz="0" w:space="0" w:color="auto"/>
            <w:left w:val="none" w:sz="0" w:space="0" w:color="auto"/>
            <w:bottom w:val="none" w:sz="0" w:space="0" w:color="auto"/>
            <w:right w:val="none" w:sz="0" w:space="0" w:color="auto"/>
          </w:divBdr>
        </w:div>
        <w:div w:id="1249384373">
          <w:marLeft w:val="0"/>
          <w:marRight w:val="0"/>
          <w:marTop w:val="0"/>
          <w:marBottom w:val="0"/>
          <w:divBdr>
            <w:top w:val="none" w:sz="0" w:space="0" w:color="auto"/>
            <w:left w:val="none" w:sz="0" w:space="0" w:color="auto"/>
            <w:bottom w:val="none" w:sz="0" w:space="0" w:color="auto"/>
            <w:right w:val="none" w:sz="0" w:space="0" w:color="auto"/>
          </w:divBdr>
        </w:div>
        <w:div w:id="34742268">
          <w:marLeft w:val="0"/>
          <w:marRight w:val="0"/>
          <w:marTop w:val="0"/>
          <w:marBottom w:val="0"/>
          <w:divBdr>
            <w:top w:val="none" w:sz="0" w:space="0" w:color="auto"/>
            <w:left w:val="none" w:sz="0" w:space="0" w:color="auto"/>
            <w:bottom w:val="none" w:sz="0" w:space="0" w:color="auto"/>
            <w:right w:val="none" w:sz="0" w:space="0" w:color="auto"/>
          </w:divBdr>
        </w:div>
        <w:div w:id="640037023">
          <w:marLeft w:val="0"/>
          <w:marRight w:val="0"/>
          <w:marTop w:val="0"/>
          <w:marBottom w:val="0"/>
          <w:divBdr>
            <w:top w:val="none" w:sz="0" w:space="0" w:color="auto"/>
            <w:left w:val="none" w:sz="0" w:space="0" w:color="auto"/>
            <w:bottom w:val="none" w:sz="0" w:space="0" w:color="auto"/>
            <w:right w:val="none" w:sz="0" w:space="0" w:color="auto"/>
          </w:divBdr>
        </w:div>
        <w:div w:id="1310019587">
          <w:marLeft w:val="0"/>
          <w:marRight w:val="0"/>
          <w:marTop w:val="0"/>
          <w:marBottom w:val="0"/>
          <w:divBdr>
            <w:top w:val="none" w:sz="0" w:space="0" w:color="auto"/>
            <w:left w:val="none" w:sz="0" w:space="0" w:color="auto"/>
            <w:bottom w:val="none" w:sz="0" w:space="0" w:color="auto"/>
            <w:right w:val="none" w:sz="0" w:space="0" w:color="auto"/>
          </w:divBdr>
        </w:div>
        <w:div w:id="487282592">
          <w:marLeft w:val="0"/>
          <w:marRight w:val="0"/>
          <w:marTop w:val="0"/>
          <w:marBottom w:val="0"/>
          <w:divBdr>
            <w:top w:val="none" w:sz="0" w:space="0" w:color="auto"/>
            <w:left w:val="none" w:sz="0" w:space="0" w:color="auto"/>
            <w:bottom w:val="none" w:sz="0" w:space="0" w:color="auto"/>
            <w:right w:val="none" w:sz="0" w:space="0" w:color="auto"/>
          </w:divBdr>
        </w:div>
        <w:div w:id="973438843">
          <w:marLeft w:val="0"/>
          <w:marRight w:val="0"/>
          <w:marTop w:val="0"/>
          <w:marBottom w:val="0"/>
          <w:divBdr>
            <w:top w:val="none" w:sz="0" w:space="0" w:color="auto"/>
            <w:left w:val="none" w:sz="0" w:space="0" w:color="auto"/>
            <w:bottom w:val="none" w:sz="0" w:space="0" w:color="auto"/>
            <w:right w:val="none" w:sz="0" w:space="0" w:color="auto"/>
          </w:divBdr>
        </w:div>
        <w:div w:id="922422346">
          <w:marLeft w:val="0"/>
          <w:marRight w:val="0"/>
          <w:marTop w:val="0"/>
          <w:marBottom w:val="0"/>
          <w:divBdr>
            <w:top w:val="none" w:sz="0" w:space="0" w:color="auto"/>
            <w:left w:val="none" w:sz="0" w:space="0" w:color="auto"/>
            <w:bottom w:val="none" w:sz="0" w:space="0" w:color="auto"/>
            <w:right w:val="none" w:sz="0" w:space="0" w:color="auto"/>
          </w:divBdr>
        </w:div>
        <w:div w:id="5637147">
          <w:marLeft w:val="0"/>
          <w:marRight w:val="0"/>
          <w:marTop w:val="0"/>
          <w:marBottom w:val="0"/>
          <w:divBdr>
            <w:top w:val="none" w:sz="0" w:space="0" w:color="auto"/>
            <w:left w:val="none" w:sz="0" w:space="0" w:color="auto"/>
            <w:bottom w:val="none" w:sz="0" w:space="0" w:color="auto"/>
            <w:right w:val="none" w:sz="0" w:space="0" w:color="auto"/>
          </w:divBdr>
        </w:div>
        <w:div w:id="74861297">
          <w:marLeft w:val="0"/>
          <w:marRight w:val="0"/>
          <w:marTop w:val="0"/>
          <w:marBottom w:val="0"/>
          <w:divBdr>
            <w:top w:val="none" w:sz="0" w:space="0" w:color="auto"/>
            <w:left w:val="none" w:sz="0" w:space="0" w:color="auto"/>
            <w:bottom w:val="none" w:sz="0" w:space="0" w:color="auto"/>
            <w:right w:val="none" w:sz="0" w:space="0" w:color="auto"/>
          </w:divBdr>
        </w:div>
        <w:div w:id="810050505">
          <w:marLeft w:val="0"/>
          <w:marRight w:val="0"/>
          <w:marTop w:val="0"/>
          <w:marBottom w:val="0"/>
          <w:divBdr>
            <w:top w:val="none" w:sz="0" w:space="0" w:color="auto"/>
            <w:left w:val="none" w:sz="0" w:space="0" w:color="auto"/>
            <w:bottom w:val="none" w:sz="0" w:space="0" w:color="auto"/>
            <w:right w:val="none" w:sz="0" w:space="0" w:color="auto"/>
          </w:divBdr>
        </w:div>
        <w:div w:id="775054688">
          <w:marLeft w:val="0"/>
          <w:marRight w:val="0"/>
          <w:marTop w:val="0"/>
          <w:marBottom w:val="0"/>
          <w:divBdr>
            <w:top w:val="none" w:sz="0" w:space="0" w:color="auto"/>
            <w:left w:val="none" w:sz="0" w:space="0" w:color="auto"/>
            <w:bottom w:val="none" w:sz="0" w:space="0" w:color="auto"/>
            <w:right w:val="none" w:sz="0" w:space="0" w:color="auto"/>
          </w:divBdr>
        </w:div>
        <w:div w:id="673646720">
          <w:marLeft w:val="0"/>
          <w:marRight w:val="0"/>
          <w:marTop w:val="0"/>
          <w:marBottom w:val="0"/>
          <w:divBdr>
            <w:top w:val="none" w:sz="0" w:space="0" w:color="auto"/>
            <w:left w:val="none" w:sz="0" w:space="0" w:color="auto"/>
            <w:bottom w:val="none" w:sz="0" w:space="0" w:color="auto"/>
            <w:right w:val="none" w:sz="0" w:space="0" w:color="auto"/>
          </w:divBdr>
        </w:div>
        <w:div w:id="519975050">
          <w:marLeft w:val="0"/>
          <w:marRight w:val="0"/>
          <w:marTop w:val="0"/>
          <w:marBottom w:val="0"/>
          <w:divBdr>
            <w:top w:val="none" w:sz="0" w:space="0" w:color="auto"/>
            <w:left w:val="none" w:sz="0" w:space="0" w:color="auto"/>
            <w:bottom w:val="none" w:sz="0" w:space="0" w:color="auto"/>
            <w:right w:val="none" w:sz="0" w:space="0" w:color="auto"/>
          </w:divBdr>
        </w:div>
        <w:div w:id="822431796">
          <w:marLeft w:val="0"/>
          <w:marRight w:val="0"/>
          <w:marTop w:val="0"/>
          <w:marBottom w:val="0"/>
          <w:divBdr>
            <w:top w:val="none" w:sz="0" w:space="0" w:color="auto"/>
            <w:left w:val="none" w:sz="0" w:space="0" w:color="auto"/>
            <w:bottom w:val="none" w:sz="0" w:space="0" w:color="auto"/>
            <w:right w:val="none" w:sz="0" w:space="0" w:color="auto"/>
          </w:divBdr>
        </w:div>
        <w:div w:id="2141653427">
          <w:marLeft w:val="0"/>
          <w:marRight w:val="0"/>
          <w:marTop w:val="0"/>
          <w:marBottom w:val="0"/>
          <w:divBdr>
            <w:top w:val="none" w:sz="0" w:space="0" w:color="auto"/>
            <w:left w:val="none" w:sz="0" w:space="0" w:color="auto"/>
            <w:bottom w:val="none" w:sz="0" w:space="0" w:color="auto"/>
            <w:right w:val="none" w:sz="0" w:space="0" w:color="auto"/>
          </w:divBdr>
        </w:div>
        <w:div w:id="573784256">
          <w:marLeft w:val="0"/>
          <w:marRight w:val="0"/>
          <w:marTop w:val="0"/>
          <w:marBottom w:val="0"/>
          <w:divBdr>
            <w:top w:val="none" w:sz="0" w:space="0" w:color="auto"/>
            <w:left w:val="none" w:sz="0" w:space="0" w:color="auto"/>
            <w:bottom w:val="none" w:sz="0" w:space="0" w:color="auto"/>
            <w:right w:val="none" w:sz="0" w:space="0" w:color="auto"/>
          </w:divBdr>
        </w:div>
        <w:div w:id="792405111">
          <w:marLeft w:val="0"/>
          <w:marRight w:val="0"/>
          <w:marTop w:val="0"/>
          <w:marBottom w:val="0"/>
          <w:divBdr>
            <w:top w:val="none" w:sz="0" w:space="0" w:color="auto"/>
            <w:left w:val="none" w:sz="0" w:space="0" w:color="auto"/>
            <w:bottom w:val="none" w:sz="0" w:space="0" w:color="auto"/>
            <w:right w:val="none" w:sz="0" w:space="0" w:color="auto"/>
          </w:divBdr>
        </w:div>
        <w:div w:id="1989088877">
          <w:marLeft w:val="0"/>
          <w:marRight w:val="0"/>
          <w:marTop w:val="0"/>
          <w:marBottom w:val="0"/>
          <w:divBdr>
            <w:top w:val="none" w:sz="0" w:space="0" w:color="auto"/>
            <w:left w:val="none" w:sz="0" w:space="0" w:color="auto"/>
            <w:bottom w:val="none" w:sz="0" w:space="0" w:color="auto"/>
            <w:right w:val="none" w:sz="0" w:space="0" w:color="auto"/>
          </w:divBdr>
        </w:div>
        <w:div w:id="1792432389">
          <w:marLeft w:val="0"/>
          <w:marRight w:val="0"/>
          <w:marTop w:val="0"/>
          <w:marBottom w:val="0"/>
          <w:divBdr>
            <w:top w:val="none" w:sz="0" w:space="0" w:color="auto"/>
            <w:left w:val="none" w:sz="0" w:space="0" w:color="auto"/>
            <w:bottom w:val="none" w:sz="0" w:space="0" w:color="auto"/>
            <w:right w:val="none" w:sz="0" w:space="0" w:color="auto"/>
          </w:divBdr>
        </w:div>
        <w:div w:id="664362462">
          <w:marLeft w:val="0"/>
          <w:marRight w:val="0"/>
          <w:marTop w:val="0"/>
          <w:marBottom w:val="0"/>
          <w:divBdr>
            <w:top w:val="none" w:sz="0" w:space="0" w:color="auto"/>
            <w:left w:val="none" w:sz="0" w:space="0" w:color="auto"/>
            <w:bottom w:val="none" w:sz="0" w:space="0" w:color="auto"/>
            <w:right w:val="none" w:sz="0" w:space="0" w:color="auto"/>
          </w:divBdr>
        </w:div>
        <w:div w:id="1097747834">
          <w:marLeft w:val="0"/>
          <w:marRight w:val="0"/>
          <w:marTop w:val="0"/>
          <w:marBottom w:val="0"/>
          <w:divBdr>
            <w:top w:val="none" w:sz="0" w:space="0" w:color="auto"/>
            <w:left w:val="none" w:sz="0" w:space="0" w:color="auto"/>
            <w:bottom w:val="none" w:sz="0" w:space="0" w:color="auto"/>
            <w:right w:val="none" w:sz="0" w:space="0" w:color="auto"/>
          </w:divBdr>
        </w:div>
        <w:div w:id="1511603973">
          <w:marLeft w:val="0"/>
          <w:marRight w:val="0"/>
          <w:marTop w:val="0"/>
          <w:marBottom w:val="0"/>
          <w:divBdr>
            <w:top w:val="none" w:sz="0" w:space="0" w:color="auto"/>
            <w:left w:val="none" w:sz="0" w:space="0" w:color="auto"/>
            <w:bottom w:val="none" w:sz="0" w:space="0" w:color="auto"/>
            <w:right w:val="none" w:sz="0" w:space="0" w:color="auto"/>
          </w:divBdr>
        </w:div>
        <w:div w:id="1264849743">
          <w:marLeft w:val="0"/>
          <w:marRight w:val="0"/>
          <w:marTop w:val="0"/>
          <w:marBottom w:val="0"/>
          <w:divBdr>
            <w:top w:val="none" w:sz="0" w:space="0" w:color="auto"/>
            <w:left w:val="none" w:sz="0" w:space="0" w:color="auto"/>
            <w:bottom w:val="none" w:sz="0" w:space="0" w:color="auto"/>
            <w:right w:val="none" w:sz="0" w:space="0" w:color="auto"/>
          </w:divBdr>
        </w:div>
        <w:div w:id="1312516730">
          <w:marLeft w:val="0"/>
          <w:marRight w:val="0"/>
          <w:marTop w:val="0"/>
          <w:marBottom w:val="0"/>
          <w:divBdr>
            <w:top w:val="none" w:sz="0" w:space="0" w:color="auto"/>
            <w:left w:val="none" w:sz="0" w:space="0" w:color="auto"/>
            <w:bottom w:val="none" w:sz="0" w:space="0" w:color="auto"/>
            <w:right w:val="none" w:sz="0" w:space="0" w:color="auto"/>
          </w:divBdr>
        </w:div>
        <w:div w:id="1822232571">
          <w:marLeft w:val="0"/>
          <w:marRight w:val="0"/>
          <w:marTop w:val="0"/>
          <w:marBottom w:val="0"/>
          <w:divBdr>
            <w:top w:val="none" w:sz="0" w:space="0" w:color="auto"/>
            <w:left w:val="none" w:sz="0" w:space="0" w:color="auto"/>
            <w:bottom w:val="none" w:sz="0" w:space="0" w:color="auto"/>
            <w:right w:val="none" w:sz="0" w:space="0" w:color="auto"/>
          </w:divBdr>
        </w:div>
        <w:div w:id="804348946">
          <w:marLeft w:val="0"/>
          <w:marRight w:val="0"/>
          <w:marTop w:val="0"/>
          <w:marBottom w:val="0"/>
          <w:divBdr>
            <w:top w:val="none" w:sz="0" w:space="0" w:color="auto"/>
            <w:left w:val="none" w:sz="0" w:space="0" w:color="auto"/>
            <w:bottom w:val="none" w:sz="0" w:space="0" w:color="auto"/>
            <w:right w:val="none" w:sz="0" w:space="0" w:color="auto"/>
          </w:divBdr>
        </w:div>
        <w:div w:id="684285944">
          <w:marLeft w:val="0"/>
          <w:marRight w:val="0"/>
          <w:marTop w:val="0"/>
          <w:marBottom w:val="0"/>
          <w:divBdr>
            <w:top w:val="none" w:sz="0" w:space="0" w:color="auto"/>
            <w:left w:val="none" w:sz="0" w:space="0" w:color="auto"/>
            <w:bottom w:val="none" w:sz="0" w:space="0" w:color="auto"/>
            <w:right w:val="none" w:sz="0" w:space="0" w:color="auto"/>
          </w:divBdr>
        </w:div>
        <w:div w:id="1361128576">
          <w:marLeft w:val="0"/>
          <w:marRight w:val="0"/>
          <w:marTop w:val="0"/>
          <w:marBottom w:val="0"/>
          <w:divBdr>
            <w:top w:val="none" w:sz="0" w:space="0" w:color="auto"/>
            <w:left w:val="none" w:sz="0" w:space="0" w:color="auto"/>
            <w:bottom w:val="none" w:sz="0" w:space="0" w:color="auto"/>
            <w:right w:val="none" w:sz="0" w:space="0" w:color="auto"/>
          </w:divBdr>
        </w:div>
        <w:div w:id="879435516">
          <w:marLeft w:val="0"/>
          <w:marRight w:val="0"/>
          <w:marTop w:val="0"/>
          <w:marBottom w:val="0"/>
          <w:divBdr>
            <w:top w:val="none" w:sz="0" w:space="0" w:color="auto"/>
            <w:left w:val="none" w:sz="0" w:space="0" w:color="auto"/>
            <w:bottom w:val="none" w:sz="0" w:space="0" w:color="auto"/>
            <w:right w:val="none" w:sz="0" w:space="0" w:color="auto"/>
          </w:divBdr>
        </w:div>
        <w:div w:id="855340434">
          <w:marLeft w:val="0"/>
          <w:marRight w:val="0"/>
          <w:marTop w:val="0"/>
          <w:marBottom w:val="0"/>
          <w:divBdr>
            <w:top w:val="none" w:sz="0" w:space="0" w:color="auto"/>
            <w:left w:val="none" w:sz="0" w:space="0" w:color="auto"/>
            <w:bottom w:val="none" w:sz="0" w:space="0" w:color="auto"/>
            <w:right w:val="none" w:sz="0" w:space="0" w:color="auto"/>
          </w:divBdr>
        </w:div>
        <w:div w:id="261257189">
          <w:marLeft w:val="0"/>
          <w:marRight w:val="0"/>
          <w:marTop w:val="0"/>
          <w:marBottom w:val="0"/>
          <w:divBdr>
            <w:top w:val="none" w:sz="0" w:space="0" w:color="auto"/>
            <w:left w:val="none" w:sz="0" w:space="0" w:color="auto"/>
            <w:bottom w:val="none" w:sz="0" w:space="0" w:color="auto"/>
            <w:right w:val="none" w:sz="0" w:space="0" w:color="auto"/>
          </w:divBdr>
        </w:div>
        <w:div w:id="1162350057">
          <w:marLeft w:val="0"/>
          <w:marRight w:val="0"/>
          <w:marTop w:val="0"/>
          <w:marBottom w:val="0"/>
          <w:divBdr>
            <w:top w:val="none" w:sz="0" w:space="0" w:color="auto"/>
            <w:left w:val="none" w:sz="0" w:space="0" w:color="auto"/>
            <w:bottom w:val="none" w:sz="0" w:space="0" w:color="auto"/>
            <w:right w:val="none" w:sz="0" w:space="0" w:color="auto"/>
          </w:divBdr>
        </w:div>
        <w:div w:id="1063062105">
          <w:marLeft w:val="0"/>
          <w:marRight w:val="0"/>
          <w:marTop w:val="0"/>
          <w:marBottom w:val="0"/>
          <w:divBdr>
            <w:top w:val="none" w:sz="0" w:space="0" w:color="auto"/>
            <w:left w:val="none" w:sz="0" w:space="0" w:color="auto"/>
            <w:bottom w:val="none" w:sz="0" w:space="0" w:color="auto"/>
            <w:right w:val="none" w:sz="0" w:space="0" w:color="auto"/>
          </w:divBdr>
        </w:div>
        <w:div w:id="2028553368">
          <w:marLeft w:val="0"/>
          <w:marRight w:val="0"/>
          <w:marTop w:val="0"/>
          <w:marBottom w:val="0"/>
          <w:divBdr>
            <w:top w:val="none" w:sz="0" w:space="0" w:color="auto"/>
            <w:left w:val="none" w:sz="0" w:space="0" w:color="auto"/>
            <w:bottom w:val="none" w:sz="0" w:space="0" w:color="auto"/>
            <w:right w:val="none" w:sz="0" w:space="0" w:color="auto"/>
          </w:divBdr>
        </w:div>
        <w:div w:id="250087389">
          <w:marLeft w:val="0"/>
          <w:marRight w:val="0"/>
          <w:marTop w:val="0"/>
          <w:marBottom w:val="0"/>
          <w:divBdr>
            <w:top w:val="none" w:sz="0" w:space="0" w:color="auto"/>
            <w:left w:val="none" w:sz="0" w:space="0" w:color="auto"/>
            <w:bottom w:val="none" w:sz="0" w:space="0" w:color="auto"/>
            <w:right w:val="none" w:sz="0" w:space="0" w:color="auto"/>
          </w:divBdr>
        </w:div>
        <w:div w:id="1005089922">
          <w:marLeft w:val="0"/>
          <w:marRight w:val="0"/>
          <w:marTop w:val="0"/>
          <w:marBottom w:val="0"/>
          <w:divBdr>
            <w:top w:val="none" w:sz="0" w:space="0" w:color="auto"/>
            <w:left w:val="none" w:sz="0" w:space="0" w:color="auto"/>
            <w:bottom w:val="none" w:sz="0" w:space="0" w:color="auto"/>
            <w:right w:val="none" w:sz="0" w:space="0" w:color="auto"/>
          </w:divBdr>
        </w:div>
        <w:div w:id="1520311355">
          <w:marLeft w:val="0"/>
          <w:marRight w:val="0"/>
          <w:marTop w:val="0"/>
          <w:marBottom w:val="0"/>
          <w:divBdr>
            <w:top w:val="none" w:sz="0" w:space="0" w:color="auto"/>
            <w:left w:val="none" w:sz="0" w:space="0" w:color="auto"/>
            <w:bottom w:val="none" w:sz="0" w:space="0" w:color="auto"/>
            <w:right w:val="none" w:sz="0" w:space="0" w:color="auto"/>
          </w:divBdr>
        </w:div>
        <w:div w:id="239946663">
          <w:marLeft w:val="0"/>
          <w:marRight w:val="0"/>
          <w:marTop w:val="0"/>
          <w:marBottom w:val="0"/>
          <w:divBdr>
            <w:top w:val="none" w:sz="0" w:space="0" w:color="auto"/>
            <w:left w:val="none" w:sz="0" w:space="0" w:color="auto"/>
            <w:bottom w:val="none" w:sz="0" w:space="0" w:color="auto"/>
            <w:right w:val="none" w:sz="0" w:space="0" w:color="auto"/>
          </w:divBdr>
        </w:div>
        <w:div w:id="1486363184">
          <w:marLeft w:val="0"/>
          <w:marRight w:val="0"/>
          <w:marTop w:val="0"/>
          <w:marBottom w:val="0"/>
          <w:divBdr>
            <w:top w:val="none" w:sz="0" w:space="0" w:color="auto"/>
            <w:left w:val="none" w:sz="0" w:space="0" w:color="auto"/>
            <w:bottom w:val="none" w:sz="0" w:space="0" w:color="auto"/>
            <w:right w:val="none" w:sz="0" w:space="0" w:color="auto"/>
          </w:divBdr>
        </w:div>
        <w:div w:id="843976762">
          <w:marLeft w:val="0"/>
          <w:marRight w:val="0"/>
          <w:marTop w:val="0"/>
          <w:marBottom w:val="0"/>
          <w:divBdr>
            <w:top w:val="none" w:sz="0" w:space="0" w:color="auto"/>
            <w:left w:val="none" w:sz="0" w:space="0" w:color="auto"/>
            <w:bottom w:val="none" w:sz="0" w:space="0" w:color="auto"/>
            <w:right w:val="none" w:sz="0" w:space="0" w:color="auto"/>
          </w:divBdr>
        </w:div>
        <w:div w:id="91970901">
          <w:marLeft w:val="0"/>
          <w:marRight w:val="0"/>
          <w:marTop w:val="0"/>
          <w:marBottom w:val="0"/>
          <w:divBdr>
            <w:top w:val="none" w:sz="0" w:space="0" w:color="auto"/>
            <w:left w:val="none" w:sz="0" w:space="0" w:color="auto"/>
            <w:bottom w:val="none" w:sz="0" w:space="0" w:color="auto"/>
            <w:right w:val="none" w:sz="0" w:space="0" w:color="auto"/>
          </w:divBdr>
        </w:div>
        <w:div w:id="385032463">
          <w:marLeft w:val="0"/>
          <w:marRight w:val="0"/>
          <w:marTop w:val="0"/>
          <w:marBottom w:val="0"/>
          <w:divBdr>
            <w:top w:val="none" w:sz="0" w:space="0" w:color="auto"/>
            <w:left w:val="none" w:sz="0" w:space="0" w:color="auto"/>
            <w:bottom w:val="none" w:sz="0" w:space="0" w:color="auto"/>
            <w:right w:val="none" w:sz="0" w:space="0" w:color="auto"/>
          </w:divBdr>
        </w:div>
        <w:div w:id="102932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2318D57DB747E299B912CEE1C0E9EE"/>
        <w:category>
          <w:name w:val="General"/>
          <w:gallery w:val="placeholder"/>
        </w:category>
        <w:types>
          <w:type w:val="bbPlcHdr"/>
        </w:types>
        <w:behaviors>
          <w:behavior w:val="content"/>
        </w:behaviors>
        <w:guid w:val="{A16F897C-5AB6-42FB-B7A2-791CA8C0D09F}"/>
      </w:docPartPr>
      <w:docPartBody>
        <w:p w:rsidR="000433E6" w:rsidRDefault="00BC7BA5" w:rsidP="00BC7BA5">
          <w:pPr>
            <w:pStyle w:val="522318D57DB747E299B912CEE1C0E9EE"/>
          </w:pPr>
          <w:r>
            <w:rPr>
              <w:rFonts w:asciiTheme="majorHAnsi" w:eastAsiaTheme="majorEastAsia" w:hAnsiTheme="majorHAnsi" w:cstheme="majorBidi"/>
              <w:caps/>
            </w:rPr>
            <w:t>[Escribir el nombre de la compañía]</w:t>
          </w:r>
        </w:p>
      </w:docPartBody>
    </w:docPart>
    <w:docPart>
      <w:docPartPr>
        <w:name w:val="E466A1A679CB40FFA54D0D9E72D20574"/>
        <w:category>
          <w:name w:val="General"/>
          <w:gallery w:val="placeholder"/>
        </w:category>
        <w:types>
          <w:type w:val="bbPlcHdr"/>
        </w:types>
        <w:behaviors>
          <w:behavior w:val="content"/>
        </w:behaviors>
        <w:guid w:val="{052FDDE6-6870-4F5F-B491-CF2DD4C18E0E}"/>
      </w:docPartPr>
      <w:docPartBody>
        <w:p w:rsidR="000433E6" w:rsidRDefault="00BC7BA5" w:rsidP="00BC7BA5">
          <w:pPr>
            <w:pStyle w:val="E466A1A679CB40FFA54D0D9E72D20574"/>
          </w:pPr>
          <w:r>
            <w:rPr>
              <w:rFonts w:asciiTheme="majorHAnsi" w:eastAsiaTheme="majorEastAsia" w:hAnsiTheme="majorHAnsi" w:cstheme="majorBidi"/>
              <w:sz w:val="80"/>
              <w:szCs w:val="80"/>
            </w:rPr>
            <w:t>[Escribir el título del documento]</w:t>
          </w:r>
        </w:p>
      </w:docPartBody>
    </w:docPart>
    <w:docPart>
      <w:docPartPr>
        <w:name w:val="D4EE658BA388465B827EA8AB6F0E7952"/>
        <w:category>
          <w:name w:val="General"/>
          <w:gallery w:val="placeholder"/>
        </w:category>
        <w:types>
          <w:type w:val="bbPlcHdr"/>
        </w:types>
        <w:behaviors>
          <w:behavior w:val="content"/>
        </w:behaviors>
        <w:guid w:val="{EBF767D5-3170-460C-A535-3DC48130FB5A}"/>
      </w:docPartPr>
      <w:docPartBody>
        <w:p w:rsidR="000433E6" w:rsidRDefault="00BC7BA5" w:rsidP="00BC7BA5">
          <w:pPr>
            <w:pStyle w:val="D4EE658BA388465B827EA8AB6F0E7952"/>
          </w:pPr>
          <w:r>
            <w:rPr>
              <w:rFonts w:asciiTheme="majorHAnsi" w:eastAsiaTheme="majorEastAsia" w:hAnsiTheme="majorHAnsi" w:cstheme="majorBidi"/>
              <w:sz w:val="44"/>
              <w:szCs w:val="44"/>
            </w:rPr>
            <w:t>[Escribir el subtítulo del documento]</w:t>
          </w:r>
        </w:p>
      </w:docPartBody>
    </w:docPart>
    <w:docPart>
      <w:docPartPr>
        <w:name w:val="C2F086104B514E4B9C08EE692816E732"/>
        <w:category>
          <w:name w:val="General"/>
          <w:gallery w:val="placeholder"/>
        </w:category>
        <w:types>
          <w:type w:val="bbPlcHdr"/>
        </w:types>
        <w:behaviors>
          <w:behavior w:val="content"/>
        </w:behaviors>
        <w:guid w:val="{FA0DDA83-6B22-4997-80CC-1CCF011018FC}"/>
      </w:docPartPr>
      <w:docPartBody>
        <w:p w:rsidR="000433E6" w:rsidRDefault="00BC7BA5" w:rsidP="00BC7BA5">
          <w:pPr>
            <w:pStyle w:val="C2F086104B514E4B9C08EE692816E732"/>
          </w:pPr>
          <w:r>
            <w:rPr>
              <w:b/>
              <w:bC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C7BA5"/>
    <w:rsid w:val="000433E6"/>
    <w:rsid w:val="003C5367"/>
    <w:rsid w:val="00BC7B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3E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2318D57DB747E299B912CEE1C0E9EE">
    <w:name w:val="522318D57DB747E299B912CEE1C0E9EE"/>
    <w:rsid w:val="00BC7BA5"/>
  </w:style>
  <w:style w:type="paragraph" w:customStyle="1" w:styleId="E466A1A679CB40FFA54D0D9E72D20574">
    <w:name w:val="E466A1A679CB40FFA54D0D9E72D20574"/>
    <w:rsid w:val="00BC7BA5"/>
  </w:style>
  <w:style w:type="paragraph" w:customStyle="1" w:styleId="D4EE658BA388465B827EA8AB6F0E7952">
    <w:name w:val="D4EE658BA388465B827EA8AB6F0E7952"/>
    <w:rsid w:val="00BC7BA5"/>
  </w:style>
  <w:style w:type="paragraph" w:customStyle="1" w:styleId="C2F086104B514E4B9C08EE692816E732">
    <w:name w:val="C2F086104B514E4B9C08EE692816E732"/>
    <w:rsid w:val="00BC7BA5"/>
  </w:style>
  <w:style w:type="paragraph" w:customStyle="1" w:styleId="765EDB9057724897BCC4B680FE285ED0">
    <w:name w:val="765EDB9057724897BCC4B680FE285ED0"/>
    <w:rsid w:val="00BC7BA5"/>
  </w:style>
  <w:style w:type="paragraph" w:customStyle="1" w:styleId="ADD2C141501A437BBB57F5829CC1AF6A">
    <w:name w:val="ADD2C141501A437BBB57F5829CC1AF6A"/>
    <w:rsid w:val="00BC7B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Febrero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07D39-F90E-4C4F-9458-E6915377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926</Words>
  <Characters>5096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Acceso, transformación y explotación de datos abiertos sobre el fraude </vt:lpstr>
    </vt:vector>
  </TitlesOfParts>
  <Company/>
  <LinksUpToDate>false</LinksUpToDate>
  <CharactersWithSpaces>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 transformación y explotación de datos abiertos sobre el fraude</dc:title>
  <dc:subject>Consumer Fraud Refunds</dc:subject>
  <dc:creator>Raul A. del Águila Escobar</dc:creator>
  <cp:lastModifiedBy>Raul</cp:lastModifiedBy>
  <cp:revision>2</cp:revision>
  <dcterms:created xsi:type="dcterms:W3CDTF">2018-01-11T20:08:00Z</dcterms:created>
  <dcterms:modified xsi:type="dcterms:W3CDTF">2018-01-11T20:08:00Z</dcterms:modified>
</cp:coreProperties>
</file>