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Bit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Control_Reg_SSN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r>
              <w:rPr>
                <w:b/>
              </w:rPr>
              <w:t>Control_Reg_SSN</w:t>
            </w:r>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which should require a Cerenkov signal and is not prescaled.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prescaled by counter </w:t>
      </w:r>
      <w:r w:rsidR="00E92D36">
        <w:t xml:space="preserve">Cntr8_V1_PMT, and the default count is the maximum of 255, meaning that only 1 in 255 of these triggers will be accepted. Use the command 0x39 to modify the prescaling.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OR of the separate bending and non-bending trigger signals. It is prescaled by counter Cntr8_V1_TKR, and the default count is the maximum of 255, meaning that only 1 in 255 of these triggers will be accepted. Use the command 0x39 to modify the prescaling. Note that even though the two track triggers are OR’ed together here, they are registered separately in the status register Status_Reg_Trg, which is captured and read out for every event.</w:t>
      </w:r>
      <w:r w:rsidR="00F76FD0">
        <w:t xml:space="preserve"> The choice between OR versus AND of the two tracker views is set by the second bit of Control_Reg_Trg.</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capacitanc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(mV/pC)</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(mV/pC)</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2.5 volt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2-byte TOF time difference, in 10 ps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Bit 5: StoreADC</w:t>
      </w:r>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Bit 1: tcB</w:t>
      </w:r>
    </w:p>
    <w:p w14:paraId="335B4DB7" w14:textId="77777777" w:rsidR="00292C3A" w:rsidRDefault="00292C3A" w:rsidP="00292C3A">
      <w:pPr>
        <w:pStyle w:val="ListParagraph"/>
        <w:numPr>
          <w:ilvl w:val="1"/>
          <w:numId w:val="1"/>
        </w:numPr>
      </w:pPr>
      <w:r>
        <w:t>Bit 0: tcA</w:t>
      </w:r>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2-byte, channel A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30: PMT trigger prescale setting</w:t>
      </w:r>
    </w:p>
    <w:p w14:paraId="02ACA6C2" w14:textId="77777777" w:rsidR="00AC4EBA" w:rsidRDefault="00AC4EBA" w:rsidP="005534B5">
      <w:pPr>
        <w:pStyle w:val="ListParagraph"/>
        <w:numPr>
          <w:ilvl w:val="0"/>
          <w:numId w:val="10"/>
        </w:numPr>
      </w:pPr>
      <w:r>
        <w:t>31: TKR trigger prescale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33: prescaled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4BEB6D5C" w:rsidR="004438E1" w:rsidRDefault="000F0081" w:rsidP="004438E1">
      <w:pPr>
        <w:pStyle w:val="ListParagraph"/>
        <w:numPr>
          <w:ilvl w:val="0"/>
          <w:numId w:val="10"/>
        </w:numPr>
      </w:pPr>
      <w:r>
        <w:t>18</w:t>
      </w:r>
      <w:r w:rsidR="00794DCA">
        <w:t xml:space="preserve">: 2-byte number of </w:t>
      </w:r>
      <w:r w:rsidR="001616CC">
        <w:t>triggers missed by the tracker (tracker had no event ready)</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77777777" w:rsidR="002C0406" w:rsidRDefault="000F0081" w:rsidP="004438E1">
      <w:pPr>
        <w:pStyle w:val="ListParagraph"/>
        <w:numPr>
          <w:ilvl w:val="0"/>
          <w:numId w:val="10"/>
        </w:numPr>
      </w:pPr>
      <w:r>
        <w:t>36</w:t>
      </w:r>
      <w:r w:rsidR="002C0406">
        <w:t>: 1-byte of error bits from board 0</w:t>
      </w:r>
    </w:p>
    <w:p w14:paraId="6E23A920" w14:textId="77777777" w:rsidR="008233D8" w:rsidRDefault="000F0081" w:rsidP="004438E1">
      <w:pPr>
        <w:pStyle w:val="ListParagraph"/>
        <w:numPr>
          <w:ilvl w:val="0"/>
          <w:numId w:val="10"/>
        </w:numPr>
      </w:pPr>
      <w:r>
        <w:t>37</w:t>
      </w:r>
      <w:r w:rsidR="008233D8">
        <w:t>: 1-byte of error bits from ASIC #4 on board 0</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"S1234&lt;sp&gt;xyW" repeated 3 times, followed by &lt;cr&gt;&lt;lf&gt;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d in a single switch statement within the interpretCommand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Set trigger prescales</w:t>
            </w:r>
          </w:p>
        </w:tc>
        <w:tc>
          <w:tcPr>
            <w:tcW w:w="1094" w:type="dxa"/>
          </w:tcPr>
          <w:p w14:paraId="12C03CD1" w14:textId="77777777" w:rsidR="005A07FE" w:rsidRDefault="005A07FE" w:rsidP="00804DEC">
            <w:r>
              <w:t>0</w:t>
            </w:r>
          </w:p>
        </w:tc>
        <w:tc>
          <w:tcPr>
            <w:tcW w:w="3595" w:type="dxa"/>
          </w:tcPr>
          <w:p w14:paraId="73E9D60B" w14:textId="77777777" w:rsidR="005A07FE" w:rsidRDefault="005A07FE" w:rsidP="00804DEC">
            <w:r>
              <w:t>0: 1 for tracker, 0 for PMT proton trig.</w:t>
            </w:r>
          </w:p>
          <w:p w14:paraId="6CC56612" w14:textId="77777777" w:rsidR="005A07FE" w:rsidRDefault="005A07FE" w:rsidP="00804DEC">
            <w:r>
              <w:t>1: prescale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For all of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real-time-clock.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4-byte sum of readout times (5 ms units)</w:t>
            </w:r>
          </w:p>
          <w:p w14:paraId="53B10DAD" w14:textId="77777777" w:rsidR="002221A6" w:rsidRDefault="002221A6" w:rsidP="002221A6">
            <w:r>
              <w:t>4-byte number of readouts</w:t>
            </w:r>
          </w:p>
          <w:p w14:paraId="4A669B56" w14:textId="77777777" w:rsidR="002221A6" w:rsidRDefault="002221A6" w:rsidP="002221A6">
            <w:r>
              <w:t>Take the ratio to get the average, but keep in mind that many readouts require less than the 5 ms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each and every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5B81FFD6" w14:textId="77777777" w:rsidR="00643E5A" w:rsidRDefault="00643E5A" w:rsidP="002F7C50">
            <w:r>
              <w:t>0: value in DAC counts</w:t>
            </w:r>
          </w:p>
          <w:p w14:paraId="6D9B2691" w14:textId="51EC1077" w:rsidR="008C4584" w:rsidRDefault="008C4584" w:rsidP="002F7C50">
            <w:r>
              <w:t>If only one data byte is supplied, then all 8 layers are set to that. If 8 data bytes are supplied, then they are mapped onto individual layers.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Get the trigger prescale value</w:t>
            </w:r>
          </w:p>
        </w:tc>
        <w:tc>
          <w:tcPr>
            <w:tcW w:w="1094" w:type="dxa"/>
          </w:tcPr>
          <w:p w14:paraId="70DC2058" w14:textId="77777777" w:rsidR="00D00395" w:rsidRDefault="00D00395" w:rsidP="002F7C50">
            <w:r>
              <w:t>1</w:t>
            </w:r>
          </w:p>
        </w:tc>
        <w:tc>
          <w:tcPr>
            <w:tcW w:w="3595" w:type="dxa"/>
          </w:tcPr>
          <w:p w14:paraId="47D1D63D" w14:textId="77777777" w:rsidR="00D00395" w:rsidRDefault="00D00395" w:rsidP="002F7C50">
            <w:r>
              <w:t>0: 1 for tracker, 0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0: 0 for AND and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r w:rsidR="00E83216" w:rsidRPr="005B3624">
        <w:rPr>
          <w:rFonts w:eastAsia="Times New Roman" w:cstheme="minorHAnsi"/>
          <w:i/>
        </w:rPr>
        <w:t>setSettlingWindow</w:t>
      </w:r>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Thus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2</w:t>
      </w:r>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r w:rsidR="00E83216" w:rsidRPr="005B3624">
        <w:rPr>
          <w:rFonts w:eastAsia="Times New Roman" w:cstheme="minorHAnsi"/>
          <w:i/>
        </w:rPr>
        <w:t>setPeakDetResetWait</w:t>
      </w:r>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r w:rsidR="00E979CB" w:rsidRPr="005B3624">
        <w:rPr>
          <w:rFonts w:eastAsia="Times New Roman" w:cstheme="minorHAnsi"/>
          <w:i/>
        </w:rPr>
        <w:t>setPeakDetResetWait</w:t>
      </w:r>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above mentioned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r>
        <w:t>Status_Reg_Trg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prescaling. It is foreseen to be in flight a T1,T2,T3 coincidence. </w:t>
      </w:r>
    </w:p>
    <w:p w14:paraId="75A333A7" w14:textId="77777777" w:rsidR="00925D48" w:rsidRDefault="00925D48" w:rsidP="00925D48">
      <w:pPr>
        <w:pStyle w:val="ListParagraph"/>
        <w:numPr>
          <w:ilvl w:val="0"/>
          <w:numId w:val="11"/>
        </w:numPr>
        <w:jc w:val="both"/>
      </w:pPr>
      <w:r>
        <w:t>The secondary PMT trigger, which again can be a coincidence of any subset of T1, T2, T3, T4, but with prescaling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The tracker trigger, which is completely independent of the PMT triggers and, therefore, can be used to study trigger efficiency. It also can be prescaled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default it is a triple coincidence of the top three layers on the bending side or all three layers on the non-bending side.</w:t>
      </w:r>
    </w:p>
    <w:p w14:paraId="046D0D2C" w14:textId="77777777" w:rsidR="00925D48" w:rsidRDefault="00925D48" w:rsidP="00925D48">
      <w:pPr>
        <w:jc w:val="both"/>
      </w:pPr>
      <w:r>
        <w:t xml:space="preserve">The prescales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The coincidence levels are set by the control registers Control_Reg_Trg1 and Control_Reg_Trg2. A ‘1’ bit in the register is OR’ed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For example, T1&amp;T2&amp;T3=0x01 and T1&amp;T3&amp;T4=0x04.</w:t>
      </w:r>
    </w:p>
    <w:p w14:paraId="27F60DDD" w14:textId="77777777"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far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Control_Reg_Trg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at the same time t</w:t>
      </w:r>
      <w:r w:rsidR="009E1BC0">
        <w:t>hat the SR flip flop gets reset by a pulse from the Control_Reg_Pls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 xml:space="preserve">The time difference is calculated in units of 10 ps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and also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ms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ms. Instead of allowing it to roll over, the PSOC resets the reference clock every 5 ms,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10 picosecond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E253" w14:textId="77777777" w:rsidR="00737FF5" w:rsidRDefault="00737FF5" w:rsidP="00A75404">
      <w:pPr>
        <w:spacing w:after="0" w:line="240" w:lineRule="auto"/>
      </w:pPr>
      <w:r>
        <w:separator/>
      </w:r>
    </w:p>
  </w:endnote>
  <w:endnote w:type="continuationSeparator" w:id="0">
    <w:p w14:paraId="3C1E3964" w14:textId="77777777" w:rsidR="00737FF5" w:rsidRDefault="00737FF5"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F254" w14:textId="77777777" w:rsidR="001616CC" w:rsidRDefault="00161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865C" w14:textId="77777777" w:rsidR="001616CC" w:rsidRDefault="00161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C2928" w14:textId="77777777" w:rsidR="00737FF5" w:rsidRDefault="00737FF5" w:rsidP="00A75404">
      <w:pPr>
        <w:spacing w:after="0" w:line="240" w:lineRule="auto"/>
      </w:pPr>
      <w:r>
        <w:separator/>
      </w:r>
    </w:p>
  </w:footnote>
  <w:footnote w:type="continuationSeparator" w:id="0">
    <w:p w14:paraId="3D9EE2A3" w14:textId="77777777" w:rsidR="00737FF5" w:rsidRDefault="00737FF5"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C71C" w14:textId="77777777" w:rsidR="001616CC" w:rsidRDefault="00161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6B3A20DE" w:rsidR="006B57FD" w:rsidRDefault="006B57FD">
    <w:pPr>
      <w:pStyle w:val="Header"/>
    </w:pPr>
    <w:r>
      <w:t>AESOP-Lite</w:t>
    </w:r>
    <w:r>
      <w:ptab w:relativeTo="margin" w:alignment="center" w:leader="none"/>
    </w:r>
    <w:r>
      <w:t>Event PSOC</w:t>
    </w:r>
    <w:r>
      <w:ptab w:relativeTo="margin" w:alignment="right" w:leader="none"/>
    </w:r>
    <w:r w:rsidR="0074595E">
      <w:t xml:space="preserve">November </w:t>
    </w:r>
    <w:r w:rsidR="001D3A7C">
      <w:t>1</w:t>
    </w:r>
    <w:r w:rsidR="001616CC">
      <w:t>6</w:t>
    </w:r>
    <w:r>
      <w:t>, 202</w:t>
    </w:r>
    <w:r w:rsidR="001824C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C760" w14:textId="77777777" w:rsidR="001616CC" w:rsidRDefault="00161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616CC"/>
    <w:rsid w:val="001824C9"/>
    <w:rsid w:val="0018372E"/>
    <w:rsid w:val="00196C7D"/>
    <w:rsid w:val="0019723D"/>
    <w:rsid w:val="001B760A"/>
    <w:rsid w:val="001C3474"/>
    <w:rsid w:val="001D3A7C"/>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37FF5"/>
    <w:rsid w:val="00741023"/>
    <w:rsid w:val="0074595E"/>
    <w:rsid w:val="00765E02"/>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4584"/>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10561</TotalTime>
  <Pages>18</Pages>
  <Words>6461</Words>
  <Characters>36830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172</cp:revision>
  <dcterms:created xsi:type="dcterms:W3CDTF">2022-01-11T23:09:00Z</dcterms:created>
  <dcterms:modified xsi:type="dcterms:W3CDTF">2023-11-16T01:00:00Z</dcterms:modified>
</cp:coreProperties>
</file>