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Markdown</w:t>
      </w:r>
    </w:p>
    <w:p>
      <w:pPr>
        <w:pStyle w:val="Author"/>
      </w:pPr>
      <w:r>
        <w:t xml:space="preserve">Солдатов</w:t>
      </w:r>
      <w:r>
        <w:t xml:space="preserve"> </w:t>
      </w:r>
      <w:r>
        <w:t xml:space="preserve">Алексей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Сделайте отчёт по предыдущей лабораторной работе в формате Markdown.</w:t>
      </w:r>
    </w:p>
    <w:p>
      <w:pPr>
        <w:numPr>
          <w:ilvl w:val="0"/>
          <w:numId w:val="1001"/>
        </w:numPr>
        <w:pStyle w:val="Compact"/>
      </w:pPr>
      <w:r>
        <w:t xml:space="preserve">В качестве отчёта просьба предоставить отчёты в 3 форматах: pdf, docx и md.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[1–4]</w:t>
      </w:r>
      <w:r>
        <w:t xml:space="preserve">.</w:t>
      </w:r>
    </w:p>
    <w:bookmarkEnd w:id="23"/>
    <w:bookmarkStart w:id="3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Перешел в папку с отчетом по лабораторной работе 2 и открыл файл</w:t>
      </w:r>
      <w:r>
        <w:t xml:space="preserve"> </w:t>
      </w:r>
      <w:r>
        <w:t xml:space="preserve">“</w:t>
      </w:r>
      <w:r>
        <w:t xml:space="preserve">report.md</w:t>
      </w:r>
      <w:r>
        <w:t xml:space="preserve">”</w:t>
      </w:r>
      <w:r>
        <w:t xml:space="preserve"> </w:t>
      </w:r>
      <w:r>
        <w:t xml:space="preserve">с помощью gedit (рис. 1).</w:t>
      </w:r>
    </w:p>
    <w:p>
      <w:pPr>
        <w:pStyle w:val="CaptionedFigure"/>
      </w:pPr>
      <w:r>
        <w:drawing>
          <wp:inline>
            <wp:extent cx="3733800" cy="2767108"/>
            <wp:effectExtent b="0" l="0" r="0" t="0"/>
            <wp:docPr descr="Открытие файла" title="" id="25" name="Picture"/>
            <a:graphic>
              <a:graphicData uri="http://schemas.openxmlformats.org/drawingml/2006/picture">
                <pic:pic>
                  <pic:nvPicPr>
                    <pic:cNvPr descr="image/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71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файла</w:t>
      </w:r>
    </w:p>
    <w:p>
      <w:pPr>
        <w:pStyle w:val="BodyText"/>
      </w:pPr>
      <w:r>
        <w:t xml:space="preserve">Внес данные в шаблон отчета (рис. 2).</w:t>
      </w:r>
    </w:p>
    <w:p>
      <w:pPr>
        <w:pStyle w:val="CaptionedFigure"/>
      </w:pPr>
      <w:r>
        <w:drawing>
          <wp:inline>
            <wp:extent cx="3733800" cy="2725348"/>
            <wp:effectExtent b="0" l="0" r="0" t="0"/>
            <wp:docPr descr="Редактирование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</w:t>
      </w:r>
    </w:p>
    <w:p>
      <w:pPr>
        <w:pStyle w:val="BodyText"/>
      </w:pPr>
      <w:r>
        <w:t xml:space="preserve">Скомпилировал отчет с помощью команды make (рис. 3).</w:t>
      </w:r>
    </w:p>
    <w:p>
      <w:pPr>
        <w:pStyle w:val="CaptionedFigure"/>
      </w:pPr>
      <w:r>
        <w:drawing>
          <wp:inline>
            <wp:extent cx="3733800" cy="473517"/>
            <wp:effectExtent b="0" l="0" r="0" t="0"/>
            <wp:docPr descr="make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73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make</w:t>
      </w:r>
    </w:p>
    <w:p>
      <w:pPr>
        <w:pStyle w:val="BodyText"/>
      </w:pPr>
      <w:r>
        <w:t xml:space="preserve">Убедился, что все три файла создались (рис. 4).</w:t>
      </w:r>
    </w:p>
    <w:p>
      <w:pPr>
        <w:pStyle w:val="CaptionedFigure"/>
      </w:pPr>
      <w:r>
        <w:drawing>
          <wp:inline>
            <wp:extent cx="3733800" cy="1551955"/>
            <wp:effectExtent b="0" l="0" r="0" t="0"/>
            <wp:docPr descr="Проверка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19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Проверка</w:t>
      </w:r>
    </w:p>
    <w:bookmarkEnd w:id="36"/>
    <w:bookmarkStart w:id="3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Научился оформлять отчёты с помощью легковесного языка разметки Markdown.</w:t>
      </w:r>
    </w:p>
    <w:bookmarkEnd w:id="37"/>
    <w:bookmarkStart w:id="44" w:name="список-литературы"/>
    <w:p>
      <w:pPr>
        <w:pStyle w:val="Heading1"/>
      </w:pPr>
      <w:r>
        <w:t xml:space="preserve">Список литературы</w:t>
      </w:r>
    </w:p>
    <w:bookmarkStart w:id="43" w:name="refs"/>
    <w:bookmarkStart w:id="38" w:name="ref-tanenbaum_book_modern-os_ru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Таненбаум Э., Бос Х. Современные операционные системы. 4-е изд. СПб.: Питер, 2015. 1120 с.</w:t>
      </w:r>
    </w:p>
    <w:bookmarkEnd w:id="38"/>
    <w:bookmarkStart w:id="39" w:name="ref-robbins_book_bash_en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Robbins A. Bash Pocket Reference. O’Reilly Media, 2016. 156 с.</w:t>
      </w:r>
    </w:p>
    <w:bookmarkEnd w:id="39"/>
    <w:bookmarkStart w:id="40" w:name="ref-zarrelli_book_mastering-bash_en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 Mastering Bash. Packt Publishing, 2017. 502 с.</w:t>
      </w:r>
    </w:p>
    <w:bookmarkEnd w:id="40"/>
    <w:bookmarkStart w:id="42" w:name="ref-newham_book_learning-bash_en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41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42"/>
    <w:bookmarkEnd w:id="43"/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hyperlink" Id="rId41" Target="http://www.amazon.com/Learning-bash-Shell-Programming-Nutshell/dp/0596009658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1" Target="http://www.amazon.com/Learning-bash-Shell-Programming-Nutshell/dp/0596009658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Солдатов Алексей</dc:creator>
  <dc:language>ru-RU</dc:language>
  <cp:keywords/>
  <dcterms:created xsi:type="dcterms:W3CDTF">2024-02-29T20:52:19Z</dcterms:created>
  <dcterms:modified xsi:type="dcterms:W3CDTF">2024-02-29T20:52:19Z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Markdown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