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E5A33" w14:textId="77777777" w:rsidR="008E14AE" w:rsidRDefault="000A0BCE">
      <w:pPr>
        <w:jc w:val="center"/>
        <w:rPr>
          <w:rFonts w:ascii="Times New Roman" w:eastAsia="Times New Roman" w:hAnsi="Times New Roman" w:cs="Times New Roman"/>
          <w:b/>
          <w:sz w:val="24"/>
          <w:szCs w:val="24"/>
        </w:rPr>
      </w:pPr>
      <w:bookmarkStart w:id="0" w:name="_heading=h.gjdgxs" w:colFirst="0" w:colLast="0"/>
      <w:bookmarkEnd w:id="0"/>
      <w:r>
        <w:rPr>
          <w:rFonts w:ascii="Times New Roman" w:eastAsia="Times New Roman" w:hAnsi="Times New Roman" w:cs="Times New Roman"/>
          <w:b/>
          <w:sz w:val="24"/>
          <w:szCs w:val="24"/>
        </w:rPr>
        <w:t>Inundation Zone Prep Workflow</w:t>
      </w:r>
    </w:p>
    <w:p w14:paraId="4CAA144F" w14:textId="1F82F0E0" w:rsidR="00047AEE" w:rsidRPr="00AC0F28" w:rsidRDefault="00047AEE">
      <w:pPr>
        <w:rPr>
          <w:rFonts w:ascii="Times New Roman" w:eastAsia="Times New Roman" w:hAnsi="Times New Roman" w:cs="Times New Roman"/>
          <w:b/>
          <w:bCs/>
          <w:sz w:val="24"/>
          <w:szCs w:val="24"/>
        </w:rPr>
      </w:pPr>
      <w:r w:rsidRPr="00AC0F28">
        <w:rPr>
          <w:rFonts w:ascii="Times New Roman" w:eastAsia="Times New Roman" w:hAnsi="Times New Roman" w:cs="Times New Roman"/>
          <w:b/>
          <w:bCs/>
          <w:sz w:val="24"/>
          <w:szCs w:val="24"/>
        </w:rPr>
        <w:t>Data Management Process:</w:t>
      </w:r>
    </w:p>
    <w:p w14:paraId="7F6475BF" w14:textId="538D7EC1" w:rsidR="00514B3D" w:rsidRDefault="004714D2" w:rsidP="008B252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Run SQL query to generate table of </w:t>
      </w:r>
      <w:r w:rsidR="00514B3D">
        <w:rPr>
          <w:rFonts w:ascii="Times New Roman" w:eastAsia="Times New Roman" w:hAnsi="Times New Roman" w:cs="Times New Roman"/>
          <w:sz w:val="24"/>
          <w:szCs w:val="24"/>
        </w:rPr>
        <w:t>shapefile attachments with detailed attributes.</w:t>
      </w:r>
    </w:p>
    <w:p w14:paraId="40DC08BE" w14:textId="0BAAD781" w:rsidR="00514B3D" w:rsidRDefault="0036336C" w:rsidP="008B252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“shapefile id” </w:t>
      </w:r>
      <w:r w:rsidR="00795323">
        <w:rPr>
          <w:rFonts w:ascii="Times New Roman" w:eastAsia="Times New Roman" w:hAnsi="Times New Roman" w:cs="Times New Roman"/>
          <w:sz w:val="24"/>
          <w:szCs w:val="24"/>
        </w:rPr>
        <w:t>UID/</w:t>
      </w:r>
      <w:r w:rsidR="00514B3D">
        <w:rPr>
          <w:rFonts w:ascii="Times New Roman" w:eastAsia="Times New Roman" w:hAnsi="Times New Roman" w:cs="Times New Roman"/>
          <w:sz w:val="24"/>
          <w:szCs w:val="24"/>
        </w:rPr>
        <w:t xml:space="preserve">PK Attribute: </w:t>
      </w:r>
      <w:r w:rsidR="00FD198F">
        <w:rPr>
          <w:rFonts w:ascii="Times New Roman" w:eastAsia="Times New Roman" w:hAnsi="Times New Roman" w:cs="Times New Roman"/>
          <w:sz w:val="24"/>
          <w:szCs w:val="24"/>
        </w:rPr>
        <w:t>[</w:t>
      </w:r>
      <w:proofErr w:type="spellStart"/>
      <w:r w:rsidR="00FD198F">
        <w:rPr>
          <w:rFonts w:ascii="Times New Roman" w:eastAsia="Times New Roman" w:hAnsi="Times New Roman" w:cs="Times New Roman"/>
          <w:sz w:val="24"/>
          <w:szCs w:val="24"/>
        </w:rPr>
        <w:t>damid</w:t>
      </w:r>
      <w:proofErr w:type="spellEnd"/>
      <w:r w:rsidR="00FD198F">
        <w:rPr>
          <w:rFonts w:ascii="Times New Roman" w:eastAsia="Times New Roman" w:hAnsi="Times New Roman" w:cs="Times New Roman"/>
          <w:sz w:val="24"/>
          <w:szCs w:val="24"/>
        </w:rPr>
        <w:t>]-[</w:t>
      </w:r>
      <w:proofErr w:type="spellStart"/>
      <w:r w:rsidR="00FD198F">
        <w:rPr>
          <w:rFonts w:ascii="Times New Roman" w:eastAsia="Times New Roman" w:hAnsi="Times New Roman" w:cs="Times New Roman"/>
          <w:sz w:val="24"/>
          <w:szCs w:val="24"/>
        </w:rPr>
        <w:t>studyid</w:t>
      </w:r>
      <w:proofErr w:type="spellEnd"/>
      <w:r w:rsidR="00FD198F">
        <w:rPr>
          <w:rFonts w:ascii="Times New Roman" w:eastAsia="Times New Roman" w:hAnsi="Times New Roman" w:cs="Times New Roman"/>
          <w:sz w:val="24"/>
          <w:szCs w:val="24"/>
        </w:rPr>
        <w:t>]-[</w:t>
      </w:r>
      <w:proofErr w:type="spellStart"/>
      <w:r w:rsidR="00FD198F">
        <w:rPr>
          <w:rFonts w:ascii="Times New Roman" w:eastAsia="Times New Roman" w:hAnsi="Times New Roman" w:cs="Times New Roman"/>
          <w:sz w:val="24"/>
          <w:szCs w:val="24"/>
        </w:rPr>
        <w:t>attid</w:t>
      </w:r>
      <w:proofErr w:type="spellEnd"/>
      <w:r w:rsidR="00FD198F">
        <w:rPr>
          <w:rFonts w:ascii="Times New Roman" w:eastAsia="Times New Roman" w:hAnsi="Times New Roman" w:cs="Times New Roman"/>
          <w:sz w:val="24"/>
          <w:szCs w:val="24"/>
        </w:rPr>
        <w:t>]</w:t>
      </w:r>
    </w:p>
    <w:p w14:paraId="6C8CC3BB" w14:textId="38499E11" w:rsidR="00425038" w:rsidRDefault="00FD198F" w:rsidP="00A759F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This attribute will uniquely identify an attachment</w:t>
      </w:r>
      <w:r w:rsidR="0018351D">
        <w:rPr>
          <w:rFonts w:ascii="Times New Roman" w:eastAsia="Times New Roman" w:hAnsi="Times New Roman" w:cs="Times New Roman"/>
          <w:sz w:val="24"/>
          <w:szCs w:val="24"/>
        </w:rPr>
        <w:t xml:space="preserve">. Process tracking should be tied to </w:t>
      </w:r>
      <w:r w:rsidR="001974F7">
        <w:rPr>
          <w:rFonts w:ascii="Times New Roman" w:eastAsia="Times New Roman" w:hAnsi="Times New Roman" w:cs="Times New Roman"/>
          <w:sz w:val="24"/>
          <w:szCs w:val="24"/>
        </w:rPr>
        <w:t xml:space="preserve">this PK. </w:t>
      </w:r>
    </w:p>
    <w:p w14:paraId="7BDA6EAE" w14:textId="449AB844" w:rsidR="00AC0F28" w:rsidRDefault="00F44555" w:rsidP="008B2526">
      <w:pPr>
        <w:ind w:firstLine="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Options to f</w:t>
      </w:r>
      <w:r w:rsidR="00AC0F28" w:rsidRPr="00AC0F28">
        <w:rPr>
          <w:rFonts w:ascii="Times New Roman" w:eastAsia="Times New Roman" w:hAnsi="Times New Roman" w:cs="Times New Roman"/>
          <w:b/>
          <w:bCs/>
          <w:sz w:val="24"/>
          <w:szCs w:val="24"/>
        </w:rPr>
        <w:t>ilter out any records that have already been processed:</w:t>
      </w:r>
    </w:p>
    <w:p w14:paraId="484F869B" w14:textId="0AF67E02" w:rsidR="004628E4" w:rsidRPr="00541EC0" w:rsidRDefault="00541EC0" w:rsidP="004628E4">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Inside download query: </w:t>
      </w:r>
      <w:r w:rsidR="006E584D" w:rsidRPr="00541EC0">
        <w:rPr>
          <w:rFonts w:ascii="Times New Roman" w:eastAsia="Times New Roman" w:hAnsi="Times New Roman" w:cs="Times New Roman"/>
          <w:sz w:val="24"/>
          <w:szCs w:val="24"/>
        </w:rPr>
        <w:t>@lastRun date = ‘2022-08</w:t>
      </w:r>
      <w:r w:rsidR="00295BB1" w:rsidRPr="00541EC0">
        <w:rPr>
          <w:rFonts w:ascii="Times New Roman" w:eastAsia="Times New Roman" w:hAnsi="Times New Roman" w:cs="Times New Roman"/>
          <w:sz w:val="24"/>
          <w:szCs w:val="24"/>
        </w:rPr>
        <w:t>-05’</w:t>
      </w:r>
    </w:p>
    <w:p w14:paraId="58578378" w14:textId="55AD9CFD" w:rsidR="009D08DB" w:rsidRPr="00FA45B1" w:rsidRDefault="00D03209" w:rsidP="00FA45B1">
      <w:pPr>
        <w:pStyle w:val="ListParagraph"/>
        <w:numPr>
          <w:ilvl w:val="0"/>
          <w:numId w:val="2"/>
        </w:numPr>
        <w:rPr>
          <w:rFonts w:ascii="Times New Roman" w:eastAsia="Times New Roman" w:hAnsi="Times New Roman" w:cs="Times New Roman"/>
          <w:sz w:val="24"/>
          <w:szCs w:val="24"/>
        </w:rPr>
      </w:pPr>
      <w:r w:rsidRPr="00F44555">
        <w:rPr>
          <w:rFonts w:ascii="Times New Roman" w:eastAsia="Times New Roman" w:hAnsi="Times New Roman" w:cs="Times New Roman"/>
          <w:sz w:val="24"/>
          <w:szCs w:val="24"/>
        </w:rPr>
        <w:t xml:space="preserve">Can use </w:t>
      </w:r>
      <w:proofErr w:type="spellStart"/>
      <w:r w:rsidRPr="00F44555">
        <w:rPr>
          <w:rFonts w:ascii="Times New Roman" w:eastAsia="Times New Roman" w:hAnsi="Times New Roman" w:cs="Times New Roman"/>
          <w:sz w:val="24"/>
          <w:szCs w:val="24"/>
        </w:rPr>
        <w:t>attid</w:t>
      </w:r>
      <w:proofErr w:type="spellEnd"/>
      <w:r w:rsidRPr="00F44555">
        <w:rPr>
          <w:rFonts w:ascii="Times New Roman" w:eastAsia="Times New Roman" w:hAnsi="Times New Roman" w:cs="Times New Roman"/>
          <w:sz w:val="24"/>
          <w:szCs w:val="24"/>
        </w:rPr>
        <w:t xml:space="preserve"> or </w:t>
      </w:r>
      <w:proofErr w:type="spellStart"/>
      <w:r w:rsidR="00AC0F28" w:rsidRPr="00F44555">
        <w:rPr>
          <w:rFonts w:ascii="Times New Roman" w:eastAsia="Times New Roman" w:hAnsi="Times New Roman" w:cs="Times New Roman"/>
          <w:sz w:val="24"/>
          <w:szCs w:val="24"/>
        </w:rPr>
        <w:t>shapefieldid</w:t>
      </w:r>
      <w:proofErr w:type="spellEnd"/>
      <w:r w:rsidR="00731994" w:rsidRPr="00F44555">
        <w:rPr>
          <w:rFonts w:ascii="Times New Roman" w:eastAsia="Times New Roman" w:hAnsi="Times New Roman" w:cs="Times New Roman"/>
          <w:sz w:val="24"/>
          <w:szCs w:val="24"/>
        </w:rPr>
        <w:t xml:space="preserve"> from previous tracking spreadsheet to do a “not in list” filter</w:t>
      </w:r>
      <w:r w:rsidR="005D5A4C" w:rsidRPr="00F44555">
        <w:rPr>
          <w:rFonts w:ascii="Times New Roman" w:eastAsia="Times New Roman" w:hAnsi="Times New Roman" w:cs="Times New Roman"/>
          <w:sz w:val="24"/>
          <w:szCs w:val="24"/>
        </w:rPr>
        <w:t>: “at.id not in (</w:t>
      </w:r>
      <w:r w:rsidR="009D08DB" w:rsidRPr="00F44555">
        <w:rPr>
          <w:rFonts w:ascii="Times New Roman" w:eastAsia="Times New Roman" w:hAnsi="Times New Roman" w:cs="Times New Roman"/>
          <w:sz w:val="24"/>
          <w:szCs w:val="24"/>
        </w:rPr>
        <w:t>1,2,3,4,etc)”</w:t>
      </w:r>
    </w:p>
    <w:p w14:paraId="5297852F" w14:textId="77777777" w:rsidR="009B0906" w:rsidRPr="008B2526" w:rsidRDefault="009B0906" w:rsidP="009B0906">
      <w:pPr>
        <w:ind w:left="720"/>
        <w:rPr>
          <w:rFonts w:ascii="Times New Roman" w:eastAsia="Times New Roman" w:hAnsi="Times New Roman" w:cs="Times New Roman"/>
          <w:b/>
          <w:bCs/>
          <w:sz w:val="24"/>
          <w:szCs w:val="24"/>
        </w:rPr>
      </w:pPr>
      <w:r w:rsidRPr="008B2526">
        <w:rPr>
          <w:rFonts w:ascii="Times New Roman" w:eastAsia="Times New Roman" w:hAnsi="Times New Roman" w:cs="Times New Roman"/>
          <w:b/>
          <w:bCs/>
          <w:sz w:val="24"/>
          <w:szCs w:val="24"/>
        </w:rPr>
        <w:t>Fields Manually Entered during data prep:</w:t>
      </w:r>
    </w:p>
    <w:tbl>
      <w:tblPr>
        <w:tblW w:w="7104" w:type="dxa"/>
        <w:tblInd w:w="720" w:type="dxa"/>
        <w:tblLook w:val="04A0" w:firstRow="1" w:lastRow="0" w:firstColumn="1" w:lastColumn="0" w:noHBand="0" w:noVBand="1"/>
      </w:tblPr>
      <w:tblGrid>
        <w:gridCol w:w="1570"/>
        <w:gridCol w:w="1167"/>
        <w:gridCol w:w="4367"/>
      </w:tblGrid>
      <w:tr w:rsidR="009B0906" w:rsidRPr="00AD737E" w14:paraId="58741C7D" w14:textId="77777777">
        <w:trPr>
          <w:trHeight w:val="300"/>
        </w:trPr>
        <w:tc>
          <w:tcPr>
            <w:tcW w:w="1570" w:type="dxa"/>
            <w:tcBorders>
              <w:top w:val="single" w:sz="8" w:space="0" w:color="auto"/>
              <w:left w:val="single" w:sz="8" w:space="0" w:color="auto"/>
              <w:bottom w:val="single" w:sz="4" w:space="0" w:color="auto"/>
              <w:right w:val="single" w:sz="4" w:space="0" w:color="auto"/>
            </w:tcBorders>
            <w:shd w:val="clear" w:color="000000" w:fill="595959"/>
            <w:noWrap/>
            <w:vAlign w:val="bottom"/>
            <w:hideMark/>
          </w:tcPr>
          <w:p w14:paraId="19DD4ECB" w14:textId="77777777" w:rsidR="009B0906" w:rsidRPr="00AD737E" w:rsidRDefault="009B0906">
            <w:pPr>
              <w:spacing w:after="0" w:line="240" w:lineRule="auto"/>
              <w:jc w:val="center"/>
              <w:rPr>
                <w:rFonts w:eastAsia="Times New Roman"/>
                <w:b/>
                <w:bCs/>
                <w:color w:val="FFFFFF"/>
              </w:rPr>
            </w:pPr>
            <w:r w:rsidRPr="00AD737E">
              <w:rPr>
                <w:rFonts w:eastAsia="Times New Roman"/>
                <w:b/>
                <w:bCs/>
                <w:color w:val="FFFFFF"/>
              </w:rPr>
              <w:t>Field</w:t>
            </w:r>
          </w:p>
        </w:tc>
        <w:tc>
          <w:tcPr>
            <w:tcW w:w="1167" w:type="dxa"/>
            <w:tcBorders>
              <w:top w:val="single" w:sz="8" w:space="0" w:color="auto"/>
              <w:left w:val="nil"/>
              <w:bottom w:val="single" w:sz="4" w:space="0" w:color="auto"/>
              <w:right w:val="single" w:sz="4" w:space="0" w:color="auto"/>
            </w:tcBorders>
            <w:shd w:val="clear" w:color="000000" w:fill="595959"/>
            <w:noWrap/>
            <w:vAlign w:val="bottom"/>
            <w:hideMark/>
          </w:tcPr>
          <w:p w14:paraId="5A2478BE" w14:textId="77777777" w:rsidR="009B0906" w:rsidRPr="00AD737E" w:rsidRDefault="009B0906">
            <w:pPr>
              <w:spacing w:after="0" w:line="240" w:lineRule="auto"/>
              <w:jc w:val="center"/>
              <w:rPr>
                <w:rFonts w:eastAsia="Times New Roman"/>
                <w:b/>
                <w:bCs/>
                <w:color w:val="FFFFFF"/>
              </w:rPr>
            </w:pPr>
            <w:r w:rsidRPr="00AD737E">
              <w:rPr>
                <w:rFonts w:eastAsia="Times New Roman"/>
                <w:b/>
                <w:bCs/>
                <w:color w:val="FFFFFF"/>
              </w:rPr>
              <w:t>Example Data</w:t>
            </w:r>
          </w:p>
        </w:tc>
        <w:tc>
          <w:tcPr>
            <w:tcW w:w="4367" w:type="dxa"/>
            <w:tcBorders>
              <w:top w:val="single" w:sz="8" w:space="0" w:color="auto"/>
              <w:left w:val="nil"/>
              <w:bottom w:val="single" w:sz="4" w:space="0" w:color="auto"/>
              <w:right w:val="single" w:sz="4" w:space="0" w:color="auto"/>
            </w:tcBorders>
            <w:shd w:val="clear" w:color="000000" w:fill="595959"/>
            <w:noWrap/>
            <w:vAlign w:val="bottom"/>
            <w:hideMark/>
          </w:tcPr>
          <w:p w14:paraId="4438F74D" w14:textId="77777777" w:rsidR="009B0906" w:rsidRPr="00AD737E" w:rsidRDefault="009B0906">
            <w:pPr>
              <w:spacing w:after="0" w:line="240" w:lineRule="auto"/>
              <w:jc w:val="center"/>
              <w:rPr>
                <w:rFonts w:eastAsia="Times New Roman"/>
                <w:b/>
                <w:bCs/>
                <w:color w:val="FFFFFF"/>
              </w:rPr>
            </w:pPr>
            <w:r w:rsidRPr="00AD737E">
              <w:rPr>
                <w:rFonts w:eastAsia="Times New Roman"/>
                <w:b/>
                <w:bCs/>
                <w:color w:val="FFFFFF"/>
              </w:rPr>
              <w:t>Description</w:t>
            </w:r>
          </w:p>
        </w:tc>
      </w:tr>
      <w:tr w:rsidR="009D06ED" w:rsidRPr="00AD737E" w14:paraId="15CB1BF7" w14:textId="77777777">
        <w:trPr>
          <w:trHeight w:val="300"/>
        </w:trPr>
        <w:tc>
          <w:tcPr>
            <w:tcW w:w="1570" w:type="dxa"/>
            <w:tcBorders>
              <w:top w:val="nil"/>
              <w:left w:val="single" w:sz="8" w:space="0" w:color="auto"/>
              <w:bottom w:val="single" w:sz="4" w:space="0" w:color="auto"/>
              <w:right w:val="single" w:sz="4" w:space="0" w:color="auto"/>
            </w:tcBorders>
            <w:shd w:val="clear" w:color="000000" w:fill="E7E6E6"/>
            <w:noWrap/>
            <w:vAlign w:val="bottom"/>
          </w:tcPr>
          <w:p w14:paraId="30E7814F" w14:textId="72FB2914" w:rsidR="009D06ED" w:rsidRPr="00AD737E" w:rsidRDefault="009D06ED">
            <w:pPr>
              <w:spacing w:after="0" w:line="240" w:lineRule="auto"/>
              <w:rPr>
                <w:rFonts w:eastAsia="Times New Roman"/>
                <w:color w:val="000000"/>
              </w:rPr>
            </w:pPr>
            <w:proofErr w:type="spellStart"/>
            <w:r>
              <w:rPr>
                <w:rFonts w:eastAsia="Times New Roman"/>
                <w:color w:val="000000"/>
              </w:rPr>
              <w:t>InvNum</w:t>
            </w:r>
            <w:proofErr w:type="spellEnd"/>
          </w:p>
        </w:tc>
        <w:tc>
          <w:tcPr>
            <w:tcW w:w="1167" w:type="dxa"/>
            <w:tcBorders>
              <w:top w:val="nil"/>
              <w:left w:val="nil"/>
              <w:bottom w:val="single" w:sz="4" w:space="0" w:color="auto"/>
              <w:right w:val="single" w:sz="4" w:space="0" w:color="auto"/>
            </w:tcBorders>
            <w:shd w:val="clear" w:color="000000" w:fill="E7E6E6"/>
            <w:noWrap/>
            <w:vAlign w:val="bottom"/>
          </w:tcPr>
          <w:p w14:paraId="3C586F91" w14:textId="7C0CC9CC" w:rsidR="009D06ED" w:rsidRPr="00AD737E" w:rsidRDefault="009D06ED">
            <w:pPr>
              <w:spacing w:after="0" w:line="240" w:lineRule="auto"/>
              <w:jc w:val="center"/>
              <w:rPr>
                <w:rFonts w:eastAsia="Times New Roman"/>
                <w:color w:val="000000"/>
              </w:rPr>
            </w:pPr>
            <w:r>
              <w:rPr>
                <w:rFonts w:eastAsia="Times New Roman"/>
                <w:color w:val="000000"/>
              </w:rPr>
              <w:t>123456</w:t>
            </w:r>
          </w:p>
        </w:tc>
        <w:tc>
          <w:tcPr>
            <w:tcW w:w="4367" w:type="dxa"/>
            <w:tcBorders>
              <w:top w:val="nil"/>
              <w:left w:val="nil"/>
              <w:bottom w:val="single" w:sz="4" w:space="0" w:color="auto"/>
              <w:right w:val="single" w:sz="4" w:space="0" w:color="auto"/>
            </w:tcBorders>
            <w:shd w:val="clear" w:color="000000" w:fill="E7E6E6"/>
            <w:noWrap/>
            <w:vAlign w:val="bottom"/>
          </w:tcPr>
          <w:p w14:paraId="27BCEC89" w14:textId="77777777" w:rsidR="009D06ED" w:rsidRPr="00AD737E" w:rsidRDefault="009D06ED">
            <w:pPr>
              <w:spacing w:after="0" w:line="240" w:lineRule="auto"/>
              <w:rPr>
                <w:rFonts w:eastAsia="Times New Roman"/>
                <w:color w:val="000000"/>
              </w:rPr>
            </w:pPr>
          </w:p>
        </w:tc>
      </w:tr>
      <w:tr w:rsidR="009B0906" w:rsidRPr="00AD737E" w14:paraId="0412D1D1" w14:textId="77777777" w:rsidTr="009D06ED">
        <w:trPr>
          <w:trHeight w:val="300"/>
        </w:trPr>
        <w:tc>
          <w:tcPr>
            <w:tcW w:w="1570" w:type="dxa"/>
            <w:tcBorders>
              <w:top w:val="nil"/>
              <w:left w:val="single" w:sz="8" w:space="0" w:color="auto"/>
              <w:bottom w:val="single" w:sz="4" w:space="0" w:color="auto"/>
              <w:right w:val="single" w:sz="4" w:space="0" w:color="auto"/>
            </w:tcBorders>
            <w:shd w:val="clear" w:color="000000" w:fill="E7E6E6"/>
            <w:noWrap/>
            <w:vAlign w:val="bottom"/>
          </w:tcPr>
          <w:p w14:paraId="7975C73E" w14:textId="2C714F4F" w:rsidR="009B0906" w:rsidRPr="00AD737E" w:rsidRDefault="009D06ED">
            <w:pPr>
              <w:spacing w:after="0" w:line="240" w:lineRule="auto"/>
              <w:rPr>
                <w:rFonts w:eastAsia="Times New Roman"/>
                <w:color w:val="000000"/>
              </w:rPr>
            </w:pPr>
            <w:proofErr w:type="spellStart"/>
            <w:r>
              <w:rPr>
                <w:rFonts w:eastAsia="Times New Roman"/>
                <w:color w:val="000000"/>
              </w:rPr>
              <w:t>Att_id</w:t>
            </w:r>
            <w:proofErr w:type="spellEnd"/>
          </w:p>
        </w:tc>
        <w:tc>
          <w:tcPr>
            <w:tcW w:w="1167" w:type="dxa"/>
            <w:tcBorders>
              <w:top w:val="nil"/>
              <w:left w:val="nil"/>
              <w:bottom w:val="single" w:sz="4" w:space="0" w:color="auto"/>
              <w:right w:val="single" w:sz="4" w:space="0" w:color="auto"/>
            </w:tcBorders>
            <w:shd w:val="clear" w:color="000000" w:fill="E7E6E6"/>
            <w:noWrap/>
            <w:vAlign w:val="bottom"/>
          </w:tcPr>
          <w:p w14:paraId="36697B94" w14:textId="1D35F907" w:rsidR="009B0906" w:rsidRPr="00AD737E" w:rsidRDefault="009D06ED">
            <w:pPr>
              <w:spacing w:after="0" w:line="240" w:lineRule="auto"/>
              <w:jc w:val="center"/>
              <w:rPr>
                <w:rFonts w:eastAsia="Times New Roman"/>
                <w:color w:val="000000"/>
              </w:rPr>
            </w:pPr>
            <w:r>
              <w:rPr>
                <w:rFonts w:eastAsia="Times New Roman"/>
                <w:color w:val="000000"/>
              </w:rPr>
              <w:t>77000</w:t>
            </w:r>
          </w:p>
        </w:tc>
        <w:tc>
          <w:tcPr>
            <w:tcW w:w="4367" w:type="dxa"/>
            <w:tcBorders>
              <w:top w:val="nil"/>
              <w:left w:val="nil"/>
              <w:bottom w:val="single" w:sz="4" w:space="0" w:color="auto"/>
              <w:right w:val="single" w:sz="4" w:space="0" w:color="auto"/>
            </w:tcBorders>
            <w:shd w:val="clear" w:color="000000" w:fill="E7E6E6"/>
            <w:noWrap/>
            <w:vAlign w:val="bottom"/>
          </w:tcPr>
          <w:p w14:paraId="07B69F88" w14:textId="3F17D2F9" w:rsidR="009B0906" w:rsidRPr="00AD737E" w:rsidRDefault="009B0906">
            <w:pPr>
              <w:spacing w:after="0" w:line="240" w:lineRule="auto"/>
              <w:rPr>
                <w:rFonts w:eastAsia="Times New Roman"/>
                <w:color w:val="000000"/>
              </w:rPr>
            </w:pPr>
          </w:p>
        </w:tc>
      </w:tr>
      <w:tr w:rsidR="009D06ED" w:rsidRPr="00AD737E" w14:paraId="53172743" w14:textId="77777777">
        <w:trPr>
          <w:trHeight w:val="300"/>
        </w:trPr>
        <w:tc>
          <w:tcPr>
            <w:tcW w:w="1570" w:type="dxa"/>
            <w:tcBorders>
              <w:top w:val="nil"/>
              <w:left w:val="single" w:sz="8" w:space="0" w:color="auto"/>
              <w:bottom w:val="single" w:sz="4" w:space="0" w:color="auto"/>
              <w:right w:val="single" w:sz="4" w:space="0" w:color="auto"/>
            </w:tcBorders>
            <w:shd w:val="clear" w:color="000000" w:fill="E7E6E6"/>
            <w:noWrap/>
            <w:vAlign w:val="bottom"/>
          </w:tcPr>
          <w:p w14:paraId="3B1F0282" w14:textId="2056BBAB" w:rsidR="009D06ED" w:rsidRPr="00AD737E" w:rsidRDefault="009D06ED" w:rsidP="009D06ED">
            <w:pPr>
              <w:spacing w:after="0" w:line="240" w:lineRule="auto"/>
              <w:rPr>
                <w:rFonts w:eastAsia="Times New Roman"/>
                <w:color w:val="000000"/>
              </w:rPr>
            </w:pPr>
            <w:r w:rsidRPr="00AD737E">
              <w:rPr>
                <w:rFonts w:eastAsia="Times New Roman"/>
                <w:color w:val="000000"/>
              </w:rPr>
              <w:t>Type</w:t>
            </w:r>
          </w:p>
        </w:tc>
        <w:tc>
          <w:tcPr>
            <w:tcW w:w="1167" w:type="dxa"/>
            <w:tcBorders>
              <w:top w:val="nil"/>
              <w:left w:val="nil"/>
              <w:bottom w:val="single" w:sz="4" w:space="0" w:color="auto"/>
              <w:right w:val="single" w:sz="4" w:space="0" w:color="auto"/>
            </w:tcBorders>
            <w:shd w:val="clear" w:color="000000" w:fill="E7E6E6"/>
            <w:noWrap/>
            <w:vAlign w:val="bottom"/>
          </w:tcPr>
          <w:p w14:paraId="2FB00780" w14:textId="3A6A4405" w:rsidR="009D06ED" w:rsidRPr="00AD737E" w:rsidRDefault="009D06ED" w:rsidP="009D06ED">
            <w:pPr>
              <w:spacing w:after="0" w:line="240" w:lineRule="auto"/>
              <w:jc w:val="center"/>
              <w:rPr>
                <w:rFonts w:eastAsia="Times New Roman"/>
                <w:color w:val="000000"/>
              </w:rPr>
            </w:pPr>
            <w:r w:rsidRPr="00AD737E">
              <w:rPr>
                <w:rFonts w:eastAsia="Times New Roman"/>
                <w:color w:val="000000"/>
              </w:rPr>
              <w:t>PMF</w:t>
            </w:r>
          </w:p>
        </w:tc>
        <w:tc>
          <w:tcPr>
            <w:tcW w:w="4367" w:type="dxa"/>
            <w:tcBorders>
              <w:top w:val="nil"/>
              <w:left w:val="nil"/>
              <w:bottom w:val="single" w:sz="4" w:space="0" w:color="auto"/>
              <w:right w:val="single" w:sz="4" w:space="0" w:color="auto"/>
            </w:tcBorders>
            <w:shd w:val="clear" w:color="000000" w:fill="E7E6E6"/>
            <w:noWrap/>
            <w:vAlign w:val="bottom"/>
          </w:tcPr>
          <w:p w14:paraId="0F1C7DEA" w14:textId="19C056CD" w:rsidR="009D06ED" w:rsidRPr="00AD737E" w:rsidRDefault="009D06ED" w:rsidP="009D06ED">
            <w:pPr>
              <w:spacing w:after="0" w:line="240" w:lineRule="auto"/>
              <w:rPr>
                <w:rFonts w:eastAsia="Times New Roman"/>
                <w:color w:val="000000"/>
              </w:rPr>
            </w:pPr>
            <w:r w:rsidRPr="00AD737E">
              <w:rPr>
                <w:rFonts w:eastAsia="Times New Roman"/>
                <w:color w:val="000000"/>
              </w:rPr>
              <w:t xml:space="preserve">Acronym for flood scenario (e.g. </w:t>
            </w:r>
            <w:proofErr w:type="spellStart"/>
            <w:r w:rsidRPr="00AD737E">
              <w:rPr>
                <w:rFonts w:eastAsia="Times New Roman"/>
                <w:color w:val="000000"/>
              </w:rPr>
              <w:t>PMFwBr</w:t>
            </w:r>
            <w:proofErr w:type="spellEnd"/>
            <w:r w:rsidRPr="00AD737E">
              <w:rPr>
                <w:rFonts w:eastAsia="Times New Roman"/>
                <w:color w:val="000000"/>
              </w:rPr>
              <w:t xml:space="preserve">, PMF, </w:t>
            </w:r>
            <w:proofErr w:type="spellStart"/>
            <w:r w:rsidRPr="00AD737E">
              <w:rPr>
                <w:rFonts w:eastAsia="Times New Roman"/>
                <w:color w:val="000000"/>
              </w:rPr>
              <w:t>SunDayBr</w:t>
            </w:r>
            <w:proofErr w:type="spellEnd"/>
            <w:r w:rsidRPr="00AD737E">
              <w:rPr>
                <w:rFonts w:eastAsia="Times New Roman"/>
                <w:color w:val="000000"/>
              </w:rPr>
              <w:t xml:space="preserve">, </w:t>
            </w:r>
            <w:proofErr w:type="spellStart"/>
            <w:r w:rsidRPr="00AD737E">
              <w:rPr>
                <w:rFonts w:eastAsia="Times New Roman"/>
                <w:color w:val="000000"/>
              </w:rPr>
              <w:t>etc</w:t>
            </w:r>
            <w:proofErr w:type="spellEnd"/>
            <w:r w:rsidRPr="00AD737E">
              <w:rPr>
                <w:rFonts w:eastAsia="Times New Roman"/>
                <w:color w:val="000000"/>
              </w:rPr>
              <w:t>)</w:t>
            </w:r>
            <w:r>
              <w:rPr>
                <w:rFonts w:eastAsia="Times New Roman"/>
                <w:color w:val="000000"/>
              </w:rPr>
              <w:t xml:space="preserve"> ALSO: SL – screening level</w:t>
            </w:r>
          </w:p>
        </w:tc>
      </w:tr>
      <w:tr w:rsidR="009D06ED" w:rsidRPr="00AD737E" w14:paraId="0CEE5752" w14:textId="77777777">
        <w:trPr>
          <w:trHeight w:val="300"/>
        </w:trPr>
        <w:tc>
          <w:tcPr>
            <w:tcW w:w="1570" w:type="dxa"/>
            <w:tcBorders>
              <w:top w:val="nil"/>
              <w:left w:val="single" w:sz="8" w:space="0" w:color="auto"/>
              <w:bottom w:val="single" w:sz="4" w:space="0" w:color="auto"/>
              <w:right w:val="single" w:sz="4" w:space="0" w:color="auto"/>
            </w:tcBorders>
            <w:shd w:val="clear" w:color="000000" w:fill="E7E6E6"/>
            <w:noWrap/>
            <w:vAlign w:val="bottom"/>
            <w:hideMark/>
          </w:tcPr>
          <w:p w14:paraId="6107F53F" w14:textId="77777777" w:rsidR="009D06ED" w:rsidRPr="00AD737E" w:rsidRDefault="009D06ED" w:rsidP="009D06ED">
            <w:pPr>
              <w:spacing w:after="0" w:line="240" w:lineRule="auto"/>
              <w:rPr>
                <w:rFonts w:eastAsia="Times New Roman"/>
                <w:color w:val="000000"/>
              </w:rPr>
            </w:pPr>
            <w:proofErr w:type="spellStart"/>
            <w:r w:rsidRPr="00AD737E">
              <w:rPr>
                <w:rFonts w:eastAsia="Times New Roman"/>
                <w:color w:val="000000"/>
              </w:rPr>
              <w:t>SDF_Info</w:t>
            </w:r>
            <w:proofErr w:type="spellEnd"/>
          </w:p>
        </w:tc>
        <w:tc>
          <w:tcPr>
            <w:tcW w:w="1167" w:type="dxa"/>
            <w:tcBorders>
              <w:top w:val="nil"/>
              <w:left w:val="nil"/>
              <w:bottom w:val="single" w:sz="4" w:space="0" w:color="auto"/>
              <w:right w:val="single" w:sz="4" w:space="0" w:color="auto"/>
            </w:tcBorders>
            <w:shd w:val="clear" w:color="000000" w:fill="E7E6E6"/>
            <w:noWrap/>
            <w:vAlign w:val="bottom"/>
            <w:hideMark/>
          </w:tcPr>
          <w:p w14:paraId="0958662E" w14:textId="77777777" w:rsidR="009D06ED" w:rsidRPr="00AD737E" w:rsidRDefault="009D06ED" w:rsidP="009D06ED">
            <w:pPr>
              <w:spacing w:after="0" w:line="240" w:lineRule="auto"/>
              <w:jc w:val="center"/>
              <w:rPr>
                <w:rFonts w:eastAsia="Times New Roman"/>
                <w:color w:val="000000"/>
              </w:rPr>
            </w:pPr>
            <w:r w:rsidRPr="00AD737E">
              <w:rPr>
                <w:rFonts w:eastAsia="Times New Roman"/>
                <w:color w:val="000000"/>
              </w:rPr>
              <w:t>100-yr</w:t>
            </w:r>
          </w:p>
        </w:tc>
        <w:tc>
          <w:tcPr>
            <w:tcW w:w="4367" w:type="dxa"/>
            <w:tcBorders>
              <w:top w:val="nil"/>
              <w:left w:val="nil"/>
              <w:bottom w:val="single" w:sz="4" w:space="0" w:color="auto"/>
              <w:right w:val="single" w:sz="4" w:space="0" w:color="auto"/>
            </w:tcBorders>
            <w:shd w:val="clear" w:color="000000" w:fill="E7E6E6"/>
            <w:noWrap/>
            <w:vAlign w:val="bottom"/>
            <w:hideMark/>
          </w:tcPr>
          <w:p w14:paraId="1F54A298" w14:textId="77777777" w:rsidR="009D06ED" w:rsidRPr="00AD737E" w:rsidRDefault="009D06ED" w:rsidP="009D06ED">
            <w:pPr>
              <w:spacing w:after="0" w:line="240" w:lineRule="auto"/>
              <w:rPr>
                <w:rFonts w:eastAsia="Times New Roman"/>
                <w:color w:val="000000"/>
              </w:rPr>
            </w:pPr>
            <w:r w:rsidRPr="00AD737E">
              <w:rPr>
                <w:rFonts w:eastAsia="Times New Roman"/>
                <w:color w:val="000000"/>
              </w:rPr>
              <w:t>inflow design storm utilized for SDF if applicable</w:t>
            </w:r>
          </w:p>
        </w:tc>
      </w:tr>
      <w:tr w:rsidR="009D06ED" w:rsidRPr="00AD737E" w14:paraId="1A3883F0" w14:textId="77777777">
        <w:trPr>
          <w:trHeight w:val="300"/>
        </w:trPr>
        <w:tc>
          <w:tcPr>
            <w:tcW w:w="1570" w:type="dxa"/>
            <w:tcBorders>
              <w:top w:val="nil"/>
              <w:left w:val="single" w:sz="8" w:space="0" w:color="auto"/>
              <w:bottom w:val="single" w:sz="4" w:space="0" w:color="auto"/>
              <w:right w:val="single" w:sz="4" w:space="0" w:color="auto"/>
            </w:tcBorders>
            <w:shd w:val="clear" w:color="000000" w:fill="E7E6E6"/>
            <w:noWrap/>
            <w:vAlign w:val="bottom"/>
            <w:hideMark/>
          </w:tcPr>
          <w:p w14:paraId="2E989DD0" w14:textId="77777777" w:rsidR="009D06ED" w:rsidRPr="00AD737E" w:rsidRDefault="009D06ED" w:rsidP="009D06ED">
            <w:pPr>
              <w:spacing w:after="0" w:line="240" w:lineRule="auto"/>
              <w:rPr>
                <w:rFonts w:eastAsia="Times New Roman"/>
                <w:color w:val="000000"/>
              </w:rPr>
            </w:pPr>
            <w:proofErr w:type="spellStart"/>
            <w:r w:rsidRPr="00AD737E">
              <w:rPr>
                <w:rFonts w:eastAsia="Times New Roman"/>
                <w:color w:val="000000"/>
              </w:rPr>
              <w:t>GIS_Prep_Date</w:t>
            </w:r>
            <w:proofErr w:type="spellEnd"/>
          </w:p>
        </w:tc>
        <w:tc>
          <w:tcPr>
            <w:tcW w:w="1167" w:type="dxa"/>
            <w:tcBorders>
              <w:top w:val="nil"/>
              <w:left w:val="nil"/>
              <w:bottom w:val="single" w:sz="4" w:space="0" w:color="auto"/>
              <w:right w:val="single" w:sz="4" w:space="0" w:color="auto"/>
            </w:tcBorders>
            <w:shd w:val="clear" w:color="000000" w:fill="E7E6E6"/>
            <w:noWrap/>
            <w:vAlign w:val="bottom"/>
            <w:hideMark/>
          </w:tcPr>
          <w:p w14:paraId="2FEAF0CE" w14:textId="77777777" w:rsidR="009D06ED" w:rsidRPr="00AD737E" w:rsidRDefault="009D06ED" w:rsidP="009D06ED">
            <w:pPr>
              <w:spacing w:after="0" w:line="240" w:lineRule="auto"/>
              <w:jc w:val="center"/>
              <w:rPr>
                <w:rFonts w:eastAsia="Times New Roman"/>
                <w:color w:val="000000"/>
              </w:rPr>
            </w:pPr>
            <w:r w:rsidRPr="00AD737E">
              <w:rPr>
                <w:rFonts w:eastAsia="Times New Roman"/>
                <w:color w:val="000000"/>
              </w:rPr>
              <w:t>6/20/2023</w:t>
            </w:r>
          </w:p>
        </w:tc>
        <w:tc>
          <w:tcPr>
            <w:tcW w:w="4367" w:type="dxa"/>
            <w:tcBorders>
              <w:top w:val="nil"/>
              <w:left w:val="nil"/>
              <w:bottom w:val="single" w:sz="4" w:space="0" w:color="auto"/>
              <w:right w:val="single" w:sz="4" w:space="0" w:color="auto"/>
            </w:tcBorders>
            <w:shd w:val="clear" w:color="000000" w:fill="E7E6E6"/>
            <w:noWrap/>
            <w:vAlign w:val="bottom"/>
            <w:hideMark/>
          </w:tcPr>
          <w:p w14:paraId="6324EA2C" w14:textId="77777777" w:rsidR="009D06ED" w:rsidRPr="00AD737E" w:rsidRDefault="009D06ED" w:rsidP="009D06ED">
            <w:pPr>
              <w:spacing w:after="0" w:line="240" w:lineRule="auto"/>
              <w:rPr>
                <w:rFonts w:eastAsia="Times New Roman"/>
                <w:color w:val="000000"/>
              </w:rPr>
            </w:pPr>
            <w:r w:rsidRPr="00AD737E">
              <w:rPr>
                <w:rFonts w:eastAsia="Times New Roman"/>
                <w:color w:val="000000"/>
              </w:rPr>
              <w:t>Date of GIS Prep</w:t>
            </w:r>
          </w:p>
        </w:tc>
      </w:tr>
      <w:tr w:rsidR="009D06ED" w:rsidRPr="00AD737E" w14:paraId="7BF9A34A" w14:textId="77777777">
        <w:trPr>
          <w:trHeight w:val="300"/>
        </w:trPr>
        <w:tc>
          <w:tcPr>
            <w:tcW w:w="1570" w:type="dxa"/>
            <w:tcBorders>
              <w:top w:val="nil"/>
              <w:left w:val="single" w:sz="8" w:space="0" w:color="auto"/>
              <w:bottom w:val="single" w:sz="4" w:space="0" w:color="auto"/>
              <w:right w:val="single" w:sz="4" w:space="0" w:color="auto"/>
            </w:tcBorders>
            <w:shd w:val="clear" w:color="000000" w:fill="E7E6E6"/>
            <w:noWrap/>
            <w:vAlign w:val="bottom"/>
            <w:hideMark/>
          </w:tcPr>
          <w:p w14:paraId="052A3B86" w14:textId="77777777" w:rsidR="009D06ED" w:rsidRPr="00AD737E" w:rsidRDefault="009D06ED" w:rsidP="009D06ED">
            <w:pPr>
              <w:spacing w:after="0" w:line="240" w:lineRule="auto"/>
              <w:rPr>
                <w:rFonts w:eastAsia="Times New Roman"/>
                <w:color w:val="000000"/>
              </w:rPr>
            </w:pPr>
            <w:proofErr w:type="spellStart"/>
            <w:r w:rsidRPr="00AD737E">
              <w:rPr>
                <w:rFonts w:eastAsia="Times New Roman"/>
                <w:color w:val="000000"/>
              </w:rPr>
              <w:t>Prepped_By</w:t>
            </w:r>
            <w:proofErr w:type="spellEnd"/>
          </w:p>
        </w:tc>
        <w:tc>
          <w:tcPr>
            <w:tcW w:w="1167" w:type="dxa"/>
            <w:tcBorders>
              <w:top w:val="nil"/>
              <w:left w:val="nil"/>
              <w:bottom w:val="single" w:sz="4" w:space="0" w:color="auto"/>
              <w:right w:val="single" w:sz="4" w:space="0" w:color="auto"/>
            </w:tcBorders>
            <w:shd w:val="clear" w:color="000000" w:fill="E7E6E6"/>
            <w:noWrap/>
            <w:vAlign w:val="bottom"/>
            <w:hideMark/>
          </w:tcPr>
          <w:p w14:paraId="403A3309" w14:textId="77777777" w:rsidR="009D06ED" w:rsidRPr="00AD737E" w:rsidRDefault="009D06ED" w:rsidP="009D06ED">
            <w:pPr>
              <w:spacing w:after="0" w:line="240" w:lineRule="auto"/>
              <w:jc w:val="center"/>
              <w:rPr>
                <w:rFonts w:eastAsia="Times New Roman"/>
                <w:color w:val="000000"/>
              </w:rPr>
            </w:pPr>
            <w:r w:rsidRPr="00AD737E">
              <w:rPr>
                <w:rFonts w:eastAsia="Times New Roman"/>
                <w:color w:val="000000"/>
              </w:rPr>
              <w:t>AK</w:t>
            </w:r>
          </w:p>
        </w:tc>
        <w:tc>
          <w:tcPr>
            <w:tcW w:w="4367" w:type="dxa"/>
            <w:tcBorders>
              <w:top w:val="nil"/>
              <w:left w:val="nil"/>
              <w:bottom w:val="single" w:sz="4" w:space="0" w:color="auto"/>
              <w:right w:val="single" w:sz="4" w:space="0" w:color="auto"/>
            </w:tcBorders>
            <w:shd w:val="clear" w:color="000000" w:fill="E7E6E6"/>
            <w:noWrap/>
            <w:vAlign w:val="bottom"/>
            <w:hideMark/>
          </w:tcPr>
          <w:p w14:paraId="13C4B252" w14:textId="77777777" w:rsidR="009D06ED" w:rsidRPr="00AD737E" w:rsidRDefault="009D06ED" w:rsidP="009D06ED">
            <w:pPr>
              <w:spacing w:after="0" w:line="240" w:lineRule="auto"/>
              <w:rPr>
                <w:rFonts w:eastAsia="Times New Roman"/>
                <w:color w:val="000000"/>
              </w:rPr>
            </w:pPr>
            <w:r w:rsidRPr="00AD737E">
              <w:rPr>
                <w:rFonts w:eastAsia="Times New Roman"/>
                <w:color w:val="000000"/>
              </w:rPr>
              <w:t>Initials of staff who performed prep</w:t>
            </w:r>
          </w:p>
        </w:tc>
      </w:tr>
    </w:tbl>
    <w:p w14:paraId="274E0973" w14:textId="77777777" w:rsidR="00047AEE" w:rsidRDefault="00047AEE">
      <w:pPr>
        <w:rPr>
          <w:rFonts w:ascii="Times New Roman" w:eastAsia="Times New Roman" w:hAnsi="Times New Roman" w:cs="Times New Roman"/>
          <w:sz w:val="24"/>
          <w:szCs w:val="24"/>
        </w:rPr>
      </w:pPr>
    </w:p>
    <w:p w14:paraId="6ED0F62F" w14:textId="2F18AFE1" w:rsidR="009D21EA" w:rsidRDefault="000A0BCE">
      <w:pPr>
        <w:rPr>
          <w:rFonts w:ascii="Times New Roman" w:eastAsia="Times New Roman" w:hAnsi="Times New Roman" w:cs="Times New Roman"/>
          <w:sz w:val="24"/>
          <w:szCs w:val="24"/>
        </w:rPr>
      </w:pPr>
      <w:r>
        <w:rPr>
          <w:rFonts w:ascii="Times New Roman" w:eastAsia="Times New Roman" w:hAnsi="Times New Roman" w:cs="Times New Roman"/>
          <w:sz w:val="24"/>
          <w:szCs w:val="24"/>
        </w:rPr>
        <w:t>Geoprocessing Tool Steps</w:t>
      </w:r>
      <w:r w:rsidR="009D21EA">
        <w:rPr>
          <w:rFonts w:ascii="Times New Roman" w:eastAsia="Times New Roman" w:hAnsi="Times New Roman" w:cs="Times New Roman"/>
          <w:sz w:val="24"/>
          <w:szCs w:val="24"/>
        </w:rPr>
        <w:t>:</w:t>
      </w:r>
    </w:p>
    <w:p w14:paraId="5C4E5A34" w14:textId="26902851" w:rsidR="008E14AE" w:rsidRDefault="009D21EA">
      <w:pPr>
        <w:rPr>
          <w:rFonts w:ascii="Times New Roman" w:eastAsia="Times New Roman" w:hAnsi="Times New Roman" w:cs="Times New Roman"/>
          <w:sz w:val="24"/>
          <w:szCs w:val="24"/>
        </w:rPr>
      </w:pPr>
      <w:r w:rsidRPr="009D21EA">
        <w:rPr>
          <w:rFonts w:ascii="Times New Roman" w:eastAsia="Times New Roman" w:hAnsi="Times New Roman" w:cs="Times New Roman"/>
          <w:i/>
          <w:iCs/>
          <w:sz w:val="24"/>
          <w:szCs w:val="24"/>
        </w:rPr>
        <w:t>note these steps are automated and batched by folder in the latest custom geoprocessing toolbox.</w:t>
      </w:r>
      <w:r w:rsidR="000A0BCE" w:rsidRPr="009D21EA">
        <w:rPr>
          <w:rFonts w:ascii="Times New Roman" w:eastAsia="Times New Roman" w:hAnsi="Times New Roman" w:cs="Times New Roman"/>
          <w:i/>
          <w:iCs/>
          <w:sz w:val="24"/>
          <w:szCs w:val="24"/>
        </w:rPr>
        <w:br/>
      </w:r>
      <w:r w:rsidR="000A0BCE" w:rsidRPr="009D21EA">
        <w:rPr>
          <w:rFonts w:ascii="Times New Roman" w:eastAsia="Times New Roman" w:hAnsi="Times New Roman" w:cs="Times New Roman"/>
          <w:i/>
          <w:iCs/>
          <w:sz w:val="24"/>
          <w:szCs w:val="24"/>
        </w:rPr>
        <w:br/>
      </w:r>
      <w:r w:rsidR="000A0BCE">
        <w:rPr>
          <w:rFonts w:ascii="Times New Roman" w:eastAsia="Times New Roman" w:hAnsi="Times New Roman" w:cs="Times New Roman"/>
          <w:sz w:val="24"/>
          <w:szCs w:val="24"/>
        </w:rPr>
        <w:t>Note: Right click on the geoprocessing tool and select batch in order to speed up the process by running tool on multiple layers sequentially. Make sure to use names that you will remember what they mean. In file naming %Name% will be part of the old file name so use name such as “</w:t>
      </w:r>
      <w:proofErr w:type="spellStart"/>
      <w:r w:rsidR="000A0BCE">
        <w:rPr>
          <w:rFonts w:ascii="Times New Roman" w:eastAsia="Times New Roman" w:hAnsi="Times New Roman" w:cs="Times New Roman"/>
          <w:sz w:val="24"/>
          <w:szCs w:val="24"/>
        </w:rPr>
        <w:t>Proj</w:t>
      </w:r>
      <w:proofErr w:type="spellEnd"/>
      <w:r w:rsidR="000A0BCE">
        <w:rPr>
          <w:rFonts w:ascii="Times New Roman" w:eastAsia="Times New Roman" w:hAnsi="Times New Roman" w:cs="Times New Roman"/>
          <w:sz w:val="24"/>
          <w:szCs w:val="24"/>
        </w:rPr>
        <w:t xml:space="preserve">_%Name%” to keep track of layers after a batch projection. </w:t>
      </w:r>
    </w:p>
    <w:p w14:paraId="5C4E5A35" w14:textId="03AE8974" w:rsidR="008E14AE" w:rsidRDefault="009D35C4">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(Conditional) </w:t>
      </w:r>
      <w:r w:rsidR="000A0BCE">
        <w:rPr>
          <w:rFonts w:ascii="Times New Roman" w:eastAsia="Times New Roman" w:hAnsi="Times New Roman" w:cs="Times New Roman"/>
          <w:color w:val="000000"/>
          <w:sz w:val="24"/>
          <w:szCs w:val="24"/>
        </w:rPr>
        <w:t>Line to Polygon (only if file in line format)</w:t>
      </w:r>
    </w:p>
    <w:p w14:paraId="5C4E5A36" w14:textId="77777777" w:rsidR="008E14AE" w:rsidRDefault="000A0BCE">
      <w:pPr>
        <w:numPr>
          <w:ilvl w:val="1"/>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Only if applicable – hopefully already in polygon format. If in line format may require additional tweaking to work but try this tool</w:t>
      </w:r>
    </w:p>
    <w:p w14:paraId="5C4E5A37" w14:textId="77777777" w:rsidR="008E14AE" w:rsidRDefault="008E14AE">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
    <w:p w14:paraId="5C4E5A38" w14:textId="77777777" w:rsidR="008E14AE" w:rsidRDefault="000A0BCE">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w:t>
      </w:r>
    </w:p>
    <w:p w14:paraId="5C4E5A39" w14:textId="77777777" w:rsidR="008E14AE" w:rsidRDefault="000A0BCE">
      <w:pPr>
        <w:numPr>
          <w:ilvl w:val="1"/>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Project from existing projection to WGS 1984 Web Mercator (auxiliary sphere) EPSG 387</w:t>
      </w:r>
    </w:p>
    <w:p w14:paraId="5C4E5A3A" w14:textId="77777777" w:rsidR="008E14AE" w:rsidRDefault="008E14AE">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
    <w:p w14:paraId="5C4E5A3B" w14:textId="77777777" w:rsidR="008E14AE" w:rsidRDefault="000A0BCE">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Dissolve </w:t>
      </w:r>
    </w:p>
    <w:p w14:paraId="5C4E5A3D" w14:textId="43696CE4" w:rsidR="008E14AE" w:rsidRPr="00024619" w:rsidRDefault="000A0BCE" w:rsidP="00024619">
      <w:pPr>
        <w:numPr>
          <w:ilvl w:val="1"/>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multiple features in attribute table</w:t>
      </w:r>
      <w:r w:rsidR="00024619">
        <w:rPr>
          <w:rFonts w:ascii="Times New Roman" w:eastAsia="Times New Roman" w:hAnsi="Times New Roman" w:cs="Times New Roman"/>
          <w:color w:val="000000"/>
          <w:sz w:val="24"/>
          <w:szCs w:val="24"/>
        </w:rPr>
        <w:t>, o</w:t>
      </w:r>
      <w:r w:rsidRPr="00024619">
        <w:rPr>
          <w:rFonts w:ascii="Times New Roman" w:eastAsia="Times New Roman" w:hAnsi="Times New Roman" w:cs="Times New Roman"/>
          <w:color w:val="000000"/>
          <w:sz w:val="24"/>
          <w:szCs w:val="24"/>
        </w:rPr>
        <w:t>r just dissolve all layers to be sure</w:t>
      </w:r>
    </w:p>
    <w:p w14:paraId="634B9EFC" w14:textId="26400C60" w:rsidR="00AE4024" w:rsidRDefault="00024619">
      <w:pPr>
        <w:numPr>
          <w:ilvl w:val="1"/>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 not select a dissolve field (leave this option blank)</w:t>
      </w:r>
    </w:p>
    <w:p w14:paraId="02277D25" w14:textId="32241EF8" w:rsidR="00842C99" w:rsidRDefault="00842C99" w:rsidP="00842C99">
      <w:pPr>
        <w:numPr>
          <w:ilvl w:val="1"/>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Check multi-part features box</w:t>
      </w:r>
    </w:p>
    <w:p w14:paraId="5C4E5A3E" w14:textId="77777777" w:rsidR="008E14AE" w:rsidRDefault="008E14AE">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
    <w:p w14:paraId="5C4E5A3F" w14:textId="003BDDC5" w:rsidR="008E14AE" w:rsidRDefault="000A0BCE">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Append (no batch needed, already allows multiple inputs)</w:t>
      </w:r>
    </w:p>
    <w:p w14:paraId="5C4E5A40" w14:textId="77777777" w:rsidR="008E14AE" w:rsidRDefault="000A0BCE">
      <w:pPr>
        <w:numPr>
          <w:ilvl w:val="1"/>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Append to Cumulative DBIZ Feature Class </w:t>
      </w:r>
    </w:p>
    <w:p w14:paraId="5C4E5A41" w14:textId="77777777" w:rsidR="008E14AE" w:rsidRDefault="000A0BCE">
      <w:pPr>
        <w:numPr>
          <w:ilvl w:val="2"/>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Required Setting: “</w:t>
      </w:r>
      <w:r>
        <w:rPr>
          <w:rFonts w:ascii="Times New Roman" w:eastAsia="Times New Roman" w:hAnsi="Times New Roman" w:cs="Times New Roman"/>
          <w:color w:val="000000"/>
          <w:sz w:val="24"/>
          <w:szCs w:val="24"/>
          <w:highlight w:val="white"/>
        </w:rPr>
        <w:t>Use the field map to reconcile field differences”</w:t>
      </w:r>
    </w:p>
    <w:p w14:paraId="5C4E5A42" w14:textId="77777777" w:rsidR="008E14AE" w:rsidRDefault="000A0BCE">
      <w:pPr>
        <w:numPr>
          <w:ilvl w:val="2"/>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batched, newly added rows will match order of input list you provided. Helpful to keep in mind when editing flood type</w:t>
      </w:r>
    </w:p>
    <w:p w14:paraId="5C4E5A43" w14:textId="77777777" w:rsidR="008E14AE" w:rsidRDefault="008E14AE">
      <w:pPr>
        <w:pBdr>
          <w:top w:val="nil"/>
          <w:left w:val="nil"/>
          <w:bottom w:val="nil"/>
          <w:right w:val="nil"/>
          <w:between w:val="nil"/>
        </w:pBdr>
        <w:spacing w:after="0"/>
        <w:ind w:left="2160"/>
        <w:rPr>
          <w:rFonts w:ascii="Times New Roman" w:eastAsia="Times New Roman" w:hAnsi="Times New Roman" w:cs="Times New Roman"/>
          <w:color w:val="000000"/>
          <w:sz w:val="24"/>
          <w:szCs w:val="24"/>
        </w:rPr>
      </w:pPr>
    </w:p>
    <w:p w14:paraId="5C4E5A44" w14:textId="77777777" w:rsidR="008E14AE" w:rsidRDefault="000A0BCE">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Edit </w:t>
      </w:r>
      <w:proofErr w:type="spellStart"/>
      <w:r>
        <w:rPr>
          <w:rFonts w:ascii="Times New Roman" w:eastAsia="Times New Roman" w:hAnsi="Times New Roman" w:cs="Times New Roman"/>
          <w:color w:val="000000"/>
          <w:sz w:val="24"/>
          <w:szCs w:val="24"/>
        </w:rPr>
        <w:t>InvNum</w:t>
      </w:r>
      <w:proofErr w:type="spellEnd"/>
      <w:r>
        <w:rPr>
          <w:rFonts w:ascii="Times New Roman" w:eastAsia="Times New Roman" w:hAnsi="Times New Roman" w:cs="Times New Roman"/>
          <w:color w:val="000000"/>
          <w:sz w:val="24"/>
          <w:szCs w:val="24"/>
        </w:rPr>
        <w:t xml:space="preserve"> in Cumulative DBIZ Feature Class Attribute Table</w:t>
      </w:r>
    </w:p>
    <w:p w14:paraId="5C4E5A45" w14:textId="77777777" w:rsidR="008E14AE" w:rsidRDefault="000A0BCE">
      <w:pPr>
        <w:numPr>
          <w:ilvl w:val="1"/>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Dam Inventory Number, you can copy paste it into the rows</w:t>
      </w:r>
    </w:p>
    <w:p w14:paraId="5C4E5A46" w14:textId="77777777" w:rsidR="008E14AE" w:rsidRDefault="008E14AE">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
    <w:p w14:paraId="5C4E5A47" w14:textId="77777777" w:rsidR="008E14AE" w:rsidRDefault="000A0BCE">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Edit Type in Cumulative DBIZ Feature Class attribute table</w:t>
      </w:r>
    </w:p>
    <w:p w14:paraId="5C4E5A48" w14:textId="77777777" w:rsidR="008E14AE" w:rsidRDefault="000A0BCE">
      <w:pPr>
        <w:numPr>
          <w:ilvl w:val="1"/>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 of Flood Types:</w:t>
      </w:r>
    </w:p>
    <w:p w14:paraId="5C4E5A49" w14:textId="548018F2" w:rsidR="008E14AE" w:rsidRDefault="000A0BCE">
      <w:pPr>
        <w:numPr>
          <w:ilvl w:val="2"/>
          <w:numId w:val="1"/>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SunDayBr</w:t>
      </w:r>
      <w:proofErr w:type="spellEnd"/>
      <w:r>
        <w:rPr>
          <w:rFonts w:ascii="Times New Roman" w:eastAsia="Times New Roman" w:hAnsi="Times New Roman" w:cs="Times New Roman"/>
          <w:color w:val="000000"/>
          <w:sz w:val="24"/>
          <w:szCs w:val="24"/>
        </w:rPr>
        <w:t xml:space="preserve">, SDF, </w:t>
      </w:r>
      <w:proofErr w:type="spellStart"/>
      <w:r>
        <w:rPr>
          <w:rFonts w:ascii="Times New Roman" w:eastAsia="Times New Roman" w:hAnsi="Times New Roman" w:cs="Times New Roman"/>
          <w:color w:val="000000"/>
          <w:sz w:val="24"/>
          <w:szCs w:val="24"/>
        </w:rPr>
        <w:t>SDFwBr</w:t>
      </w:r>
      <w:proofErr w:type="spellEnd"/>
      <w:r>
        <w:rPr>
          <w:rFonts w:ascii="Times New Roman" w:eastAsia="Times New Roman" w:hAnsi="Times New Roman" w:cs="Times New Roman"/>
          <w:color w:val="000000"/>
          <w:sz w:val="24"/>
          <w:szCs w:val="24"/>
        </w:rPr>
        <w:t xml:space="preserve">, PMF, </w:t>
      </w:r>
      <w:proofErr w:type="spellStart"/>
      <w:r>
        <w:rPr>
          <w:rFonts w:ascii="Times New Roman" w:eastAsia="Times New Roman" w:hAnsi="Times New Roman" w:cs="Times New Roman"/>
          <w:color w:val="000000"/>
          <w:sz w:val="24"/>
          <w:szCs w:val="24"/>
        </w:rPr>
        <w:t>PMFwBr</w:t>
      </w:r>
      <w:proofErr w:type="spellEnd"/>
    </w:p>
    <w:p w14:paraId="5149DFA5" w14:textId="4B2DBE4E" w:rsidR="002A6677" w:rsidRDefault="002A6677" w:rsidP="002A6677">
      <w:pPr>
        <w:numPr>
          <w:ilvl w:val="3"/>
          <w:numId w:val="1"/>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SunDayBr</w:t>
      </w:r>
      <w:proofErr w:type="spellEnd"/>
      <w:r>
        <w:rPr>
          <w:rFonts w:ascii="Times New Roman" w:eastAsia="Times New Roman" w:hAnsi="Times New Roman" w:cs="Times New Roman"/>
          <w:color w:val="000000"/>
          <w:sz w:val="24"/>
          <w:szCs w:val="24"/>
        </w:rPr>
        <w:t xml:space="preserve"> – Sunny Day “Piping” Failure</w:t>
      </w:r>
      <w:r w:rsidR="000F32DE">
        <w:rPr>
          <w:rFonts w:ascii="Times New Roman" w:eastAsia="Times New Roman" w:hAnsi="Times New Roman" w:cs="Times New Roman"/>
          <w:color w:val="000000"/>
          <w:sz w:val="24"/>
          <w:szCs w:val="24"/>
        </w:rPr>
        <w:t xml:space="preserve"> (smaller flood)</w:t>
      </w:r>
    </w:p>
    <w:p w14:paraId="5C4E5A4A" w14:textId="1E53F3B0" w:rsidR="008E14AE" w:rsidRDefault="000A0BCE">
      <w:pPr>
        <w:numPr>
          <w:ilvl w:val="3"/>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SDF </w:t>
      </w:r>
      <w:r w:rsidR="00E1799E">
        <w:rPr>
          <w:rFonts w:ascii="Times New Roman" w:eastAsia="Times New Roman" w:hAnsi="Times New Roman" w:cs="Times New Roman"/>
          <w:color w:val="000000"/>
          <w:sz w:val="24"/>
          <w:szCs w:val="24"/>
        </w:rPr>
        <w:t>– Spillway Design Flood</w:t>
      </w:r>
      <w:r w:rsidR="000F32DE">
        <w:rPr>
          <w:rFonts w:ascii="Times New Roman" w:eastAsia="Times New Roman" w:hAnsi="Times New Roman" w:cs="Times New Roman"/>
          <w:color w:val="000000"/>
          <w:sz w:val="24"/>
          <w:szCs w:val="24"/>
        </w:rPr>
        <w:t xml:space="preserve"> (smaller flood)</w:t>
      </w:r>
      <w:r w:rsidR="00E1799E">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color w:val="000000"/>
          <w:sz w:val="24"/>
          <w:szCs w:val="24"/>
        </w:rPr>
        <w:t>may be called 100-year flood, 0.</w:t>
      </w:r>
      <w:r w:rsidR="00E12458">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PMF/0.</w:t>
      </w:r>
      <w:r w:rsidR="00E12458">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 xml:space="preserve">PMP, 0.9PMF, </w:t>
      </w:r>
      <w:proofErr w:type="spellStart"/>
      <w:r>
        <w:rPr>
          <w:rFonts w:ascii="Times New Roman" w:eastAsia="Times New Roman" w:hAnsi="Times New Roman" w:cs="Times New Roman"/>
          <w:color w:val="000000"/>
          <w:sz w:val="24"/>
          <w:szCs w:val="24"/>
        </w:rPr>
        <w:t>etc</w:t>
      </w:r>
      <w:proofErr w:type="spellEnd"/>
    </w:p>
    <w:p w14:paraId="46097C49" w14:textId="4CCB3276" w:rsidR="008A3EAA" w:rsidRDefault="008A3EAA">
      <w:pPr>
        <w:numPr>
          <w:ilvl w:val="3"/>
          <w:numId w:val="1"/>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SDF</w:t>
      </w:r>
      <w:r w:rsidR="00BE0DE6">
        <w:rPr>
          <w:rFonts w:ascii="Times New Roman" w:eastAsia="Times New Roman" w:hAnsi="Times New Roman" w:cs="Times New Roman"/>
          <w:color w:val="000000"/>
          <w:sz w:val="24"/>
          <w:szCs w:val="24"/>
        </w:rPr>
        <w:t>wBr</w:t>
      </w:r>
      <w:proofErr w:type="spellEnd"/>
      <w:r w:rsidR="00BE0DE6">
        <w:rPr>
          <w:rFonts w:ascii="Times New Roman" w:eastAsia="Times New Roman" w:hAnsi="Times New Roman" w:cs="Times New Roman"/>
          <w:color w:val="000000"/>
          <w:sz w:val="24"/>
          <w:szCs w:val="24"/>
        </w:rPr>
        <w:t xml:space="preserve"> </w:t>
      </w:r>
      <w:r w:rsidR="00340962">
        <w:rPr>
          <w:rFonts w:ascii="Times New Roman" w:eastAsia="Times New Roman" w:hAnsi="Times New Roman" w:cs="Times New Roman"/>
          <w:color w:val="000000"/>
          <w:sz w:val="24"/>
          <w:szCs w:val="24"/>
        </w:rPr>
        <w:t>–</w:t>
      </w:r>
      <w:r w:rsidR="00BE0DE6">
        <w:rPr>
          <w:rFonts w:ascii="Times New Roman" w:eastAsia="Times New Roman" w:hAnsi="Times New Roman" w:cs="Times New Roman"/>
          <w:color w:val="000000"/>
          <w:sz w:val="24"/>
          <w:szCs w:val="24"/>
        </w:rPr>
        <w:t xml:space="preserve"> </w:t>
      </w:r>
      <w:r w:rsidR="00340962">
        <w:rPr>
          <w:rFonts w:ascii="Times New Roman" w:eastAsia="Times New Roman" w:hAnsi="Times New Roman" w:cs="Times New Roman"/>
          <w:color w:val="000000"/>
          <w:sz w:val="24"/>
          <w:szCs w:val="24"/>
        </w:rPr>
        <w:t>Spillway Design with Failure</w:t>
      </w:r>
      <w:r w:rsidR="000F32DE">
        <w:rPr>
          <w:rFonts w:ascii="Times New Roman" w:eastAsia="Times New Roman" w:hAnsi="Times New Roman" w:cs="Times New Roman"/>
          <w:color w:val="000000"/>
          <w:sz w:val="24"/>
          <w:szCs w:val="24"/>
        </w:rPr>
        <w:t xml:space="preserve"> (usually 2</w:t>
      </w:r>
      <w:r w:rsidR="000F32DE" w:rsidRPr="000F32DE">
        <w:rPr>
          <w:rFonts w:ascii="Times New Roman" w:eastAsia="Times New Roman" w:hAnsi="Times New Roman" w:cs="Times New Roman"/>
          <w:color w:val="000000"/>
          <w:sz w:val="24"/>
          <w:szCs w:val="24"/>
          <w:vertAlign w:val="superscript"/>
        </w:rPr>
        <w:t>nd</w:t>
      </w:r>
      <w:r w:rsidR="000F32DE">
        <w:rPr>
          <w:rFonts w:ascii="Times New Roman" w:eastAsia="Times New Roman" w:hAnsi="Times New Roman" w:cs="Times New Roman"/>
          <w:color w:val="000000"/>
          <w:sz w:val="24"/>
          <w:szCs w:val="24"/>
        </w:rPr>
        <w:t xml:space="preserve"> largest flood)</w:t>
      </w:r>
    </w:p>
    <w:p w14:paraId="6609741D" w14:textId="2CC766C9" w:rsidR="00340962" w:rsidRDefault="00BF1B74">
      <w:pPr>
        <w:numPr>
          <w:ilvl w:val="3"/>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PMF – Probable Maximum Flood</w:t>
      </w:r>
      <w:r w:rsidR="00855F8A">
        <w:rPr>
          <w:rFonts w:ascii="Times New Roman" w:eastAsia="Times New Roman" w:hAnsi="Times New Roman" w:cs="Times New Roman"/>
          <w:color w:val="000000"/>
          <w:sz w:val="24"/>
          <w:szCs w:val="24"/>
        </w:rPr>
        <w:t xml:space="preserve"> (always bigger than SDF)</w:t>
      </w:r>
    </w:p>
    <w:p w14:paraId="2AE33D49" w14:textId="280E98D6" w:rsidR="00BF1B74" w:rsidRDefault="00BF1B74">
      <w:pPr>
        <w:numPr>
          <w:ilvl w:val="3"/>
          <w:numId w:val="1"/>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PMFwBr</w:t>
      </w:r>
      <w:proofErr w:type="spellEnd"/>
      <w:r>
        <w:rPr>
          <w:rFonts w:ascii="Times New Roman" w:eastAsia="Times New Roman" w:hAnsi="Times New Roman" w:cs="Times New Roman"/>
          <w:color w:val="000000"/>
          <w:sz w:val="24"/>
          <w:szCs w:val="24"/>
        </w:rPr>
        <w:t xml:space="preserve"> – PMF with dam failure</w:t>
      </w:r>
      <w:r w:rsidR="000F32DE">
        <w:rPr>
          <w:rFonts w:ascii="Times New Roman" w:eastAsia="Times New Roman" w:hAnsi="Times New Roman" w:cs="Times New Roman"/>
          <w:color w:val="000000"/>
          <w:sz w:val="24"/>
          <w:szCs w:val="24"/>
        </w:rPr>
        <w:t xml:space="preserve"> (largest flood)</w:t>
      </w:r>
    </w:p>
    <w:p w14:paraId="5C4E5A4B" w14:textId="77777777" w:rsidR="008E14AE" w:rsidRDefault="008E14AE">
      <w:pPr>
        <w:pBdr>
          <w:top w:val="nil"/>
          <w:left w:val="nil"/>
          <w:bottom w:val="nil"/>
          <w:right w:val="nil"/>
          <w:between w:val="nil"/>
        </w:pBdr>
        <w:spacing w:after="0"/>
        <w:ind w:left="2880"/>
        <w:rPr>
          <w:rFonts w:ascii="Times New Roman" w:eastAsia="Times New Roman" w:hAnsi="Times New Roman" w:cs="Times New Roman"/>
          <w:color w:val="000000"/>
          <w:sz w:val="24"/>
          <w:szCs w:val="24"/>
        </w:rPr>
      </w:pPr>
    </w:p>
    <w:p w14:paraId="5C4E5A4C" w14:textId="77777777" w:rsidR="008E14AE" w:rsidRDefault="000A0BCE">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 SAVE (editor ribbon) – after editing the Cumulative DBIZ Feature Class attribute table</w:t>
      </w:r>
    </w:p>
    <w:p w14:paraId="5C4E5A4D" w14:textId="77777777" w:rsidR="008E14AE" w:rsidRDefault="008E14AE">
      <w:pPr>
        <w:pBdr>
          <w:top w:val="nil"/>
          <w:left w:val="nil"/>
          <w:bottom w:val="nil"/>
          <w:right w:val="nil"/>
          <w:between w:val="nil"/>
        </w:pBdr>
        <w:rPr>
          <w:rFonts w:ascii="Times New Roman" w:eastAsia="Times New Roman" w:hAnsi="Times New Roman" w:cs="Times New Roman"/>
          <w:sz w:val="24"/>
          <w:szCs w:val="24"/>
        </w:rPr>
      </w:pPr>
    </w:p>
    <w:p w14:paraId="5C4E5A4E" w14:textId="77777777" w:rsidR="008E14AE" w:rsidRDefault="000A0BC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Troubleshooting or Tricky Scenarios:</w:t>
      </w:r>
      <w:r>
        <w:rPr>
          <w:rFonts w:ascii="Times New Roman" w:eastAsia="Times New Roman" w:hAnsi="Times New Roman" w:cs="Times New Roman"/>
          <w:sz w:val="24"/>
          <w:szCs w:val="24"/>
        </w:rPr>
        <w:br/>
      </w:r>
    </w:p>
    <w:p w14:paraId="5C4E5A4F" w14:textId="77777777" w:rsidR="008E14AE" w:rsidRDefault="000A0BCE">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Polylines with interior holes (donuts holes)</w:t>
      </w:r>
    </w:p>
    <w:p w14:paraId="5C4E5A50" w14:textId="77777777" w:rsidR="008E14AE" w:rsidRDefault="000A0BC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After converting a line FC using “Feature to Polygon” you may end up with a geometry that has filled in interior donut holes as pictured below:</w:t>
      </w:r>
    </w:p>
    <w:p w14:paraId="5C4E5A51" w14:textId="77777777" w:rsidR="008E14AE" w:rsidRDefault="000A0BC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C4E5A54" wp14:editId="5C4E5A55">
            <wp:extent cx="2667000" cy="3495675"/>
            <wp:effectExtent l="12700" t="12700" r="12700" b="12700"/>
            <wp:docPr id="1" name="Picture 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667000" cy="3495675"/>
                    </a:xfrm>
                    <a:prstGeom prst="rect">
                      <a:avLst/>
                    </a:prstGeom>
                    <a:ln w="12700">
                      <a:solidFill>
                        <a:srgbClr val="000000"/>
                      </a:solidFill>
                      <a:prstDash val="solid"/>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5C4E5A56" wp14:editId="5C4E5A57">
            <wp:extent cx="2928131" cy="2814638"/>
            <wp:effectExtent l="12700" t="12700" r="12700" b="12700"/>
            <wp:docPr id="2" name="Picture 2"/>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928131" cy="2814638"/>
                    </a:xfrm>
                    <a:prstGeom prst="rect">
                      <a:avLst/>
                    </a:prstGeom>
                    <a:ln w="12700">
                      <a:solidFill>
                        <a:srgbClr val="000000"/>
                      </a:solidFill>
                      <a:prstDash val="solid"/>
                    </a:ln>
                  </pic:spPr>
                </pic:pic>
              </a:graphicData>
            </a:graphic>
          </wp:inline>
        </w:drawing>
      </w:r>
    </w:p>
    <w:p w14:paraId="5C4E5A52" w14:textId="77777777" w:rsidR="008E14AE" w:rsidRDefault="000A0BCE">
      <w:pPr>
        <w:pBdr>
          <w:top w:val="nil"/>
          <w:left w:val="nil"/>
          <w:bottom w:val="nil"/>
          <w:right w:val="nil"/>
          <w:between w:val="nil"/>
        </w:pBdr>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Before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After</w:t>
      </w:r>
    </w:p>
    <w:p w14:paraId="5C4E5A53" w14:textId="77777777" w:rsidR="008E14AE" w:rsidRDefault="000A0BC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the attribute table for the new polygon, sort by </w:t>
      </w:r>
      <w:proofErr w:type="spellStart"/>
      <w:r>
        <w:rPr>
          <w:rFonts w:ascii="Times New Roman" w:eastAsia="Times New Roman" w:hAnsi="Times New Roman" w:cs="Times New Roman"/>
          <w:sz w:val="24"/>
          <w:szCs w:val="24"/>
        </w:rPr>
        <w:t>Shape_Area</w:t>
      </w:r>
      <w:proofErr w:type="spellEnd"/>
      <w:r>
        <w:rPr>
          <w:rFonts w:ascii="Times New Roman" w:eastAsia="Times New Roman" w:hAnsi="Times New Roman" w:cs="Times New Roman"/>
          <w:sz w:val="24"/>
          <w:szCs w:val="24"/>
        </w:rPr>
        <w:t xml:space="preserve"> and select all but the 1st largest area. Right Click and Delete selected rows. This will remove all the small donut holes and make them open as they should be. However keep in mind that if the geometry should be split across multiple rows, then you should retain all correct polygons that should be flooded. Most of the time it is one large continuous polygon but sometimes it might be split across 2-3. </w:t>
      </w:r>
    </w:p>
    <w:sectPr w:rsidR="008E14AE">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29E5D" w14:textId="77777777" w:rsidR="00DC66AA" w:rsidRDefault="00DC66AA" w:rsidP="00B25972">
      <w:pPr>
        <w:spacing w:after="0" w:line="240" w:lineRule="auto"/>
      </w:pPr>
      <w:r>
        <w:separator/>
      </w:r>
    </w:p>
  </w:endnote>
  <w:endnote w:type="continuationSeparator" w:id="0">
    <w:p w14:paraId="7D38740F" w14:textId="77777777" w:rsidR="00DC66AA" w:rsidRDefault="00DC66AA" w:rsidP="00B25972">
      <w:pPr>
        <w:spacing w:after="0" w:line="240" w:lineRule="auto"/>
      </w:pPr>
      <w:r>
        <w:continuationSeparator/>
      </w:r>
    </w:p>
  </w:endnote>
  <w:endnote w:type="continuationNotice" w:id="1">
    <w:p w14:paraId="3E6B2A8E" w14:textId="77777777" w:rsidR="00DC66AA" w:rsidRDefault="00DC66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382D2" w14:textId="77777777" w:rsidR="00B25972" w:rsidRDefault="00B259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4B69C" w14:textId="77777777" w:rsidR="00B25972" w:rsidRDefault="00B259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E2F60" w14:textId="77777777" w:rsidR="00B25972" w:rsidRDefault="00B25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0B0F6" w14:textId="77777777" w:rsidR="00DC66AA" w:rsidRDefault="00DC66AA" w:rsidP="00B25972">
      <w:pPr>
        <w:spacing w:after="0" w:line="240" w:lineRule="auto"/>
      </w:pPr>
      <w:r>
        <w:separator/>
      </w:r>
    </w:p>
  </w:footnote>
  <w:footnote w:type="continuationSeparator" w:id="0">
    <w:p w14:paraId="3DF7C60A" w14:textId="77777777" w:rsidR="00DC66AA" w:rsidRDefault="00DC66AA" w:rsidP="00B25972">
      <w:pPr>
        <w:spacing w:after="0" w:line="240" w:lineRule="auto"/>
      </w:pPr>
      <w:r>
        <w:continuationSeparator/>
      </w:r>
    </w:p>
  </w:footnote>
  <w:footnote w:type="continuationNotice" w:id="1">
    <w:p w14:paraId="5C050401" w14:textId="77777777" w:rsidR="00DC66AA" w:rsidRDefault="00DC66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28B32" w14:textId="77777777" w:rsidR="00B25972" w:rsidRDefault="00B259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1B6D8" w14:textId="77777777" w:rsidR="00B25972" w:rsidRDefault="00B259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7AA7C" w14:textId="77777777" w:rsidR="00B25972" w:rsidRDefault="00B259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675D1"/>
    <w:multiLevelType w:val="multilevel"/>
    <w:tmpl w:val="470AD3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A042D89"/>
    <w:multiLevelType w:val="hybridMultilevel"/>
    <w:tmpl w:val="A9BAE53E"/>
    <w:lvl w:ilvl="0" w:tplc="07A491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9538581">
    <w:abstractNumId w:val="0"/>
  </w:num>
  <w:num w:numId="2" w16cid:durableId="1344478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4AE"/>
    <w:rsid w:val="00024619"/>
    <w:rsid w:val="00047AEE"/>
    <w:rsid w:val="000A0BCE"/>
    <w:rsid w:val="000E1FBD"/>
    <w:rsid w:val="000F32DE"/>
    <w:rsid w:val="00157B1E"/>
    <w:rsid w:val="0018351D"/>
    <w:rsid w:val="001974F7"/>
    <w:rsid w:val="001A01BC"/>
    <w:rsid w:val="001A4CB0"/>
    <w:rsid w:val="00294EAC"/>
    <w:rsid w:val="00295BB1"/>
    <w:rsid w:val="002A6677"/>
    <w:rsid w:val="00340962"/>
    <w:rsid w:val="0036336C"/>
    <w:rsid w:val="00425038"/>
    <w:rsid w:val="004628E4"/>
    <w:rsid w:val="004714D2"/>
    <w:rsid w:val="00514B3D"/>
    <w:rsid w:val="00541EC0"/>
    <w:rsid w:val="00585262"/>
    <w:rsid w:val="005C515E"/>
    <w:rsid w:val="005D5A4C"/>
    <w:rsid w:val="00635A36"/>
    <w:rsid w:val="006E584D"/>
    <w:rsid w:val="0072273C"/>
    <w:rsid w:val="00731994"/>
    <w:rsid w:val="00795323"/>
    <w:rsid w:val="00842C99"/>
    <w:rsid w:val="00855F8A"/>
    <w:rsid w:val="00883763"/>
    <w:rsid w:val="008A3EAA"/>
    <w:rsid w:val="008B2526"/>
    <w:rsid w:val="008E14AE"/>
    <w:rsid w:val="00933189"/>
    <w:rsid w:val="0096299E"/>
    <w:rsid w:val="009A1F8A"/>
    <w:rsid w:val="009B0906"/>
    <w:rsid w:val="009D06ED"/>
    <w:rsid w:val="009D08DB"/>
    <w:rsid w:val="009D21EA"/>
    <w:rsid w:val="009D35C4"/>
    <w:rsid w:val="00A53C23"/>
    <w:rsid w:val="00A759F4"/>
    <w:rsid w:val="00AA47E0"/>
    <w:rsid w:val="00AC0F28"/>
    <w:rsid w:val="00AD737E"/>
    <w:rsid w:val="00AE4024"/>
    <w:rsid w:val="00B25972"/>
    <w:rsid w:val="00BE0DE6"/>
    <w:rsid w:val="00BF1B74"/>
    <w:rsid w:val="00CC4C6F"/>
    <w:rsid w:val="00D03209"/>
    <w:rsid w:val="00D54188"/>
    <w:rsid w:val="00DC66AA"/>
    <w:rsid w:val="00E12458"/>
    <w:rsid w:val="00E1799E"/>
    <w:rsid w:val="00F44555"/>
    <w:rsid w:val="00FA45B1"/>
    <w:rsid w:val="00FC42EB"/>
    <w:rsid w:val="00FD1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E5A33"/>
  <w15:docId w15:val="{9E314B02-6C9B-4EBB-9CFA-E9DB4C80B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8341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B259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972"/>
  </w:style>
  <w:style w:type="paragraph" w:styleId="Footer">
    <w:name w:val="footer"/>
    <w:basedOn w:val="Normal"/>
    <w:link w:val="FooterChar"/>
    <w:uiPriority w:val="99"/>
    <w:unhideWhenUsed/>
    <w:rsid w:val="00B25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77721">
      <w:bodyDiv w:val="1"/>
      <w:marLeft w:val="0"/>
      <w:marRight w:val="0"/>
      <w:marTop w:val="0"/>
      <w:marBottom w:val="0"/>
      <w:divBdr>
        <w:top w:val="none" w:sz="0" w:space="0" w:color="auto"/>
        <w:left w:val="none" w:sz="0" w:space="0" w:color="auto"/>
        <w:bottom w:val="none" w:sz="0" w:space="0" w:color="auto"/>
        <w:right w:val="none" w:sz="0" w:space="0" w:color="auto"/>
      </w:divBdr>
    </w:div>
    <w:div w:id="452677660">
      <w:bodyDiv w:val="1"/>
      <w:marLeft w:val="0"/>
      <w:marRight w:val="0"/>
      <w:marTop w:val="0"/>
      <w:marBottom w:val="0"/>
      <w:divBdr>
        <w:top w:val="none" w:sz="0" w:space="0" w:color="auto"/>
        <w:left w:val="none" w:sz="0" w:space="0" w:color="auto"/>
        <w:bottom w:val="none" w:sz="0" w:space="0" w:color="auto"/>
        <w:right w:val="none" w:sz="0" w:space="0" w:color="auto"/>
      </w:divBdr>
    </w:div>
    <w:div w:id="12858414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83CF07E2071741BFB88759396349F3" ma:contentTypeVersion="15" ma:contentTypeDescription="Create a new document." ma:contentTypeScope="" ma:versionID="a433581476698fe0919a450b493585ad">
  <xsd:schema xmlns:xsd="http://www.w3.org/2001/XMLSchema" xmlns:xs="http://www.w3.org/2001/XMLSchema" xmlns:p="http://schemas.microsoft.com/office/2006/metadata/properties" xmlns:ns2="7dff0276-1a18-4a0a-a1b9-413c8d1321ef" xmlns:ns3="bfa5c831-db00-4542-aa15-6b94aa1d4d14" targetNamespace="http://schemas.microsoft.com/office/2006/metadata/properties" ma:root="true" ma:fieldsID="6c7c23eee405c35a399f715cc76e501b" ns2:_="" ns3:_="">
    <xsd:import namespace="7dff0276-1a18-4a0a-a1b9-413c8d1321ef"/>
    <xsd:import namespace="bfa5c831-db00-4542-aa15-6b94aa1d4d1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CR" minOccurs="0"/>
                <xsd:element ref="ns2:MediaLengthInSeconds"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ff0276-1a18-4a0a-a1b9-413c8d1321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0920e099-540f-4e49-b54d-0e500676ccf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a5c831-db00-4542-aa15-6b94aa1d4d1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f4358b3-6ffe-47d9-b50f-f8eb55f31087}" ma:internalName="TaxCatchAll" ma:showField="CatchAllData" ma:web="bfa5c831-db00-4542-aa15-6b94aa1d4d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h/9lP4cpuVd0LSKipuyuVJ2Xep+g==">AMUW2mXB7ThgIrRU7hku9otv0+aTlsnH1TcZ1m4TVtv97KwO6uFGg+k0M7V0F5EBQRNsyFmd9+QtW+27dJsxGYMxRmDgeTEgJHRzCNCSXbsZsfllcMiGStsKi3tWUuKFfJzFDibyY52n</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dff0276-1a18-4a0a-a1b9-413c8d1321ef">
      <Terms xmlns="http://schemas.microsoft.com/office/infopath/2007/PartnerControls"/>
    </lcf76f155ced4ddcb4097134ff3c332f>
    <TaxCatchAll xmlns="bfa5c831-db00-4542-aa15-6b94aa1d4d14" xsi:nil="true"/>
    <SharedWithUsers xmlns="bfa5c831-db00-4542-aa15-6b94aa1d4d14">
      <UserInfo>
        <DisplayName/>
        <AccountId xsi:nil="true"/>
        <AccountType/>
      </UserInfo>
    </SharedWithUsers>
    <MediaLengthInSeconds xmlns="7dff0276-1a18-4a0a-a1b9-413c8d1321e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BC242D-A6D1-433B-8D66-45EAC6A067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ff0276-1a18-4a0a-a1b9-413c8d1321ef"/>
    <ds:schemaRef ds:uri="bfa5c831-db00-4542-aa15-6b94aa1d4d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75C31B96-5E77-4C57-A6ED-D573C5A40719}">
  <ds:schemaRefs>
    <ds:schemaRef ds:uri="http://schemas.microsoft.com/office/2006/metadata/properties"/>
    <ds:schemaRef ds:uri="http://schemas.microsoft.com/office/infopath/2007/PartnerControls"/>
    <ds:schemaRef ds:uri="7dff0276-1a18-4a0a-a1b9-413c8d1321ef"/>
    <ds:schemaRef ds:uri="bfa5c831-db00-4542-aa15-6b94aa1d4d14"/>
  </ds:schemaRefs>
</ds:datastoreItem>
</file>

<file path=customXml/itemProps4.xml><?xml version="1.0" encoding="utf-8"?>
<ds:datastoreItem xmlns:ds="http://schemas.openxmlformats.org/officeDocument/2006/customXml" ds:itemID="{1E5A1089-F1A9-47FD-B197-25121EF7C6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3</Pages>
  <Words>524</Words>
  <Characters>2987</Characters>
  <Application>Microsoft Office Word</Application>
  <DocSecurity>0</DocSecurity>
  <Lines>24</Lines>
  <Paragraphs>7</Paragraphs>
  <ScaleCrop>false</ScaleCrop>
  <Company>VITA</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Arthur_Kay</dc:creator>
  <cp:keywords/>
  <cp:lastModifiedBy>Kay, Arthur (DCR)</cp:lastModifiedBy>
  <cp:revision>53</cp:revision>
  <dcterms:created xsi:type="dcterms:W3CDTF">2021-09-29T23:32:00Z</dcterms:created>
  <dcterms:modified xsi:type="dcterms:W3CDTF">2025-01-16T02:57:00Z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0x0101000883CF07E2071741BFB88759396349F3</vt:lpwstr>
  </property>
  <property fmtid="{D5CDD505-2E9C-101B-9397-08002B2CF9AE}" pid="3" name="FileHash">
    <vt:lpwstr>36b9fe967d41e71d74aef3ef3b1dfe767bb16459</vt:lpwstr>
  </property>
  <property fmtid="{D5CDD505-2E9C-101B-9397-08002B2CF9AE}" pid="4" name="Order">
    <vt:r8>129100</vt:r8>
  </property>
  <property fmtid="{D5CDD505-2E9C-101B-9397-08002B2CF9AE}" pid="5" name="CloudMigratorOriginId">
    <vt:lpwstr>1Of6WiQ00bRX9hoYQz4rVUeRb2_cZW3GS</vt:lpwstr>
  </property>
  <property fmtid="{D5CDD505-2E9C-101B-9397-08002B2CF9AE}" pid="6" name="CloudMigratorVersion">
    <vt:lpwstr>3.38.17.13584</vt:lpwstr>
  </property>
  <property fmtid="{D5CDD505-2E9C-101B-9397-08002B2CF9AE}" pid="7" name="TriggerFlowInfo">
    <vt:lpwstr/>
  </property>
  <property fmtid="{D5CDD505-2E9C-101B-9397-08002B2CF9AE}" pid="8" name="ComplianceAssetId">
    <vt:lpwstr/>
  </property>
  <property fmtid="{D5CDD505-2E9C-101B-9397-08002B2CF9AE}" pid="9" name="_ExtendedDescription">
    <vt:lpwstr/>
  </property>
  <property fmtid="{D5CDD505-2E9C-101B-9397-08002B2CF9AE}" pid="10" name="MediaServiceImageTags">
    <vt:lpwstr/>
  </property>
</Properties>
</file>