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6C3F4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6C3F4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62732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62732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7D371984" w:rsidR="00FA345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 Standards</w:t>
                                </w:r>
                              </w:p>
                              <w:p w14:paraId="5709D450" w14:textId="1E0DCD52" w:rsidR="002F163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7D371984" w:rsidR="00FA345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 Standards</w:t>
                          </w:r>
                        </w:p>
                        <w:p w14:paraId="5709D450" w14:textId="1E0DCD52" w:rsidR="002F163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6C3F4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8A8E37F" w14:textId="77777777" w:rsidR="005C0350"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bookmarkStart w:id="10" w:name="_Toc31977978"/>
      <w:r w:rsidR="00D36C46">
        <w:t>Table of Content</w:t>
      </w:r>
      <w:bookmarkEnd w:id="1"/>
      <w:bookmarkEnd w:id="2"/>
      <w:bookmarkEnd w:id="3"/>
      <w:bookmarkEnd w:id="4"/>
      <w:bookmarkEnd w:id="5"/>
      <w:bookmarkEnd w:id="6"/>
      <w:bookmarkEnd w:id="7"/>
      <w:bookmarkEnd w:id="8"/>
      <w:bookmarkEnd w:id="9"/>
      <w:bookmarkEnd w:id="10"/>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22C77B3" w14:textId="77777777" w:rsidR="005C0350" w:rsidRDefault="005C0350">
      <w:pPr>
        <w:pStyle w:val="TOC1"/>
        <w:rPr>
          <w:rFonts w:asciiTheme="minorHAnsi" w:eastAsiaTheme="minorEastAsia" w:hAnsiTheme="minorHAnsi" w:cstheme="minorBidi"/>
          <w:b w:val="0"/>
          <w:caps w:val="0"/>
          <w:noProof/>
          <w:color w:val="auto"/>
          <w:sz w:val="22"/>
          <w:szCs w:val="22"/>
          <w:lang w:eastAsia="en-US"/>
        </w:rPr>
      </w:pPr>
      <w:bookmarkStart w:id="11" w:name="_GoBack"/>
      <w:bookmarkEnd w:id="11"/>
      <w:r>
        <w:rPr>
          <w:noProof/>
        </w:rPr>
        <w:t>Table of Content</w:t>
      </w:r>
    </w:p>
    <w:p w14:paraId="6EF8CB77"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9A29255" w14:textId="77777777" w:rsidR="005C0350" w:rsidRDefault="005C0350">
      <w:pPr>
        <w:pStyle w:val="TOC2"/>
        <w:tabs>
          <w:tab w:val="left" w:pos="1200"/>
        </w:tabs>
        <w:rPr>
          <w:rFonts w:asciiTheme="minorHAnsi" w:eastAsiaTheme="minorEastAsia" w:hAnsiTheme="minorHAnsi" w:cstheme="minorBidi"/>
          <w:smallCaps w:val="0"/>
          <w:noProof/>
          <w:color w:val="auto"/>
          <w:sz w:val="22"/>
          <w:szCs w:val="22"/>
          <w:lang w:eastAsia="en-US"/>
        </w:rPr>
      </w:pPr>
      <w:r w:rsidRPr="00F603F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603F9">
        <w:rPr>
          <w:noProof/>
        </w:rPr>
        <w:t>Application Characteristics</w:t>
      </w:r>
    </w:p>
    <w:p w14:paraId="4CD4BBB1"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C-CPP Standards Summary</w:t>
      </w:r>
    </w:p>
    <w:p w14:paraId="183155F6"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3.</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for AUTOSAR-CPP-2014</w:t>
      </w:r>
    </w:p>
    <w:p w14:paraId="37BB7DFB"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4.</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for MISRA-C-2012</w:t>
      </w:r>
    </w:p>
    <w:p w14:paraId="2EDCE831"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5.</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for MISRA-CPP-2008</w:t>
      </w:r>
    </w:p>
    <w:p w14:paraId="6BC469C1"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6.</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Details for AUTOSAR-CPP-2014</w:t>
      </w:r>
    </w:p>
    <w:p w14:paraId="6919F5AA"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7.</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Details for MISRA-C-2012</w:t>
      </w:r>
    </w:p>
    <w:p w14:paraId="23F271F9"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8.</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Details for MISRA-CPP-2008</w:t>
      </w:r>
    </w:p>
    <w:p w14:paraId="270B108F"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9.</w:t>
      </w:r>
      <w:r>
        <w:rPr>
          <w:rFonts w:asciiTheme="minorHAnsi" w:eastAsiaTheme="minorEastAsia" w:hAnsiTheme="minorHAnsi" w:cstheme="minorBidi"/>
          <w:b w:val="0"/>
          <w:caps w:val="0"/>
          <w:noProof/>
          <w:color w:val="auto"/>
          <w:sz w:val="22"/>
          <w:szCs w:val="22"/>
          <w:lang w:eastAsia="en-US"/>
        </w:rPr>
        <w:tab/>
      </w:r>
      <w:r>
        <w:rPr>
          <w:noProof/>
        </w:rPr>
        <w:t>Appendix</w:t>
      </w:r>
    </w:p>
    <w:p w14:paraId="6E871324" w14:textId="77777777" w:rsidR="005C0350" w:rsidRDefault="005C0350">
      <w:pPr>
        <w:pStyle w:val="TOC2"/>
        <w:tabs>
          <w:tab w:val="left" w:pos="1200"/>
        </w:tabs>
        <w:rPr>
          <w:rFonts w:asciiTheme="minorHAnsi" w:eastAsiaTheme="minorEastAsia" w:hAnsiTheme="minorHAnsi" w:cstheme="minorBidi"/>
          <w:smallCaps w:val="0"/>
          <w:noProof/>
          <w:color w:val="auto"/>
          <w:sz w:val="22"/>
          <w:szCs w:val="22"/>
          <w:lang w:eastAsia="en-US"/>
        </w:rPr>
      </w:pPr>
      <w:r w:rsidRPr="00F603F9">
        <w:rPr>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color w:val="auto"/>
          <w:sz w:val="22"/>
          <w:szCs w:val="22"/>
          <w:lang w:eastAsia="en-US"/>
        </w:rPr>
        <w:tab/>
      </w:r>
      <w:r w:rsidRPr="00F603F9">
        <w:rPr>
          <w:noProof/>
        </w:rPr>
        <w:t>About CAST Software Intelligence</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2" w:name="_Toc531862351"/>
      <w:bookmarkStart w:id="13" w:name="_Toc14696275"/>
      <w:bookmarkStart w:id="14" w:name="_Toc14781140"/>
      <w:bookmarkStart w:id="15" w:name="_Toc14781348"/>
      <w:bookmarkStart w:id="16" w:name="_Toc15304604"/>
      <w:bookmarkStart w:id="17" w:name="_Toc21078012"/>
      <w:bookmarkStart w:id="18" w:name="_Toc21078058"/>
      <w:bookmarkStart w:id="19" w:name="_Toc25240404"/>
      <w:bookmarkStart w:id="20" w:name="_Toc25309747"/>
      <w:bookmarkStart w:id="21" w:name="_Toc31977979"/>
      <w:r w:rsidR="005773E4">
        <w:t>Introduction</w:t>
      </w:r>
      <w:bookmarkEnd w:id="12"/>
      <w:bookmarkEnd w:id="13"/>
      <w:bookmarkEnd w:id="14"/>
      <w:bookmarkEnd w:id="15"/>
      <w:bookmarkEnd w:id="16"/>
      <w:bookmarkEnd w:id="17"/>
      <w:bookmarkEnd w:id="18"/>
      <w:bookmarkEnd w:id="19"/>
      <w:bookmarkEnd w:id="20"/>
      <w:bookmarkEnd w:id="21"/>
    </w:p>
    <w:p w14:paraId="34CF3A1B" w14:textId="3D1AD526" w:rsidR="0087076A" w:rsidRPr="0087076A" w:rsidRDefault="0087076A" w:rsidP="0087076A">
      <w:pPr>
        <w:ind w:right="657"/>
      </w:pPr>
      <w:bookmarkStart w:id="22" w:name="_Toc380677725"/>
      <w:r>
        <w:t xml:space="preserve">This assessment is an effort to determine the overall quality of the said applications against </w:t>
      </w:r>
      <w:r w:rsidR="00F4296B">
        <w:t xml:space="preserve">C-CPP standards </w:t>
      </w:r>
      <w:r>
        <w:t xml:space="preserve">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3B4DE49" w:rsidR="008A6910" w:rsidRPr="00755F5D" w:rsidRDefault="008A6910" w:rsidP="008A6910">
      <w:pPr>
        <w:ind w:right="657"/>
      </w:pPr>
      <w:bookmarkStart w:id="23" w:name="_Toc531862352"/>
      <w:bookmarkStart w:id="24" w:name="_Toc14696276"/>
      <w:bookmarkStart w:id="25" w:name="_Toc14781141"/>
      <w:bookmarkStart w:id="26" w:name="_Toc14781349"/>
      <w:bookmarkStart w:id="27" w:name="_Toc15304605"/>
      <w:r w:rsidRPr="005773E4">
        <w:t xml:space="preserve">CAST AIP </w:t>
      </w:r>
      <w:r>
        <w:t>adapts the quality rules from best-in-class industry standards (OWASP, CWE, CISQ, STIG, PCI, NIST, OMG-ASCQM</w:t>
      </w:r>
      <w:r w:rsidR="00F4296B">
        <w:t>, MISRA</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8" w:name="_Toc21078013"/>
      <w:bookmarkStart w:id="29" w:name="_Toc21078059"/>
      <w:bookmarkStart w:id="30" w:name="_Toc25240405"/>
      <w:bookmarkStart w:id="31" w:name="_Toc25309748"/>
      <w:bookmarkStart w:id="32" w:name="_Toc31977980"/>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3C55BF91" w14:textId="77777777" w:rsidR="004E7926" w:rsidRPr="005773E4" w:rsidRDefault="004E7926" w:rsidP="004E7926">
      <w:pPr>
        <w:pStyle w:val="Heading1"/>
        <w:ind w:right="657"/>
        <w:rPr>
          <w:rFonts w:asciiTheme="minorHAnsi" w:hAnsiTheme="minorHAnsi"/>
          <w:noProof/>
          <w:sz w:val="22"/>
        </w:rPr>
      </w:pPr>
      <w:bookmarkStart w:id="33" w:name="_Toc531862353"/>
      <w:bookmarkStart w:id="34" w:name="_Toc14696277"/>
      <w:bookmarkStart w:id="35" w:name="_Toc14781142"/>
      <w:bookmarkStart w:id="36" w:name="_Toc14781350"/>
      <w:bookmarkStart w:id="37" w:name="_Toc15304606"/>
      <w:bookmarkStart w:id="38" w:name="_Toc21078014"/>
      <w:bookmarkStart w:id="39" w:name="_Toc21078060"/>
      <w:bookmarkStart w:id="40" w:name="_Toc31977226"/>
      <w:bookmarkStart w:id="41" w:name="_Toc31977569"/>
      <w:bookmarkStart w:id="42" w:name="_Toc25240411"/>
      <w:bookmarkStart w:id="43" w:name="_Toc25309754"/>
      <w:bookmarkStart w:id="44" w:name="_Toc31977981"/>
      <w:r>
        <w:lastRenderedPageBreak/>
        <w:t xml:space="preserve">C-CPP </w:t>
      </w:r>
      <w:bookmarkEnd w:id="33"/>
      <w:bookmarkEnd w:id="34"/>
      <w:r>
        <w:t>Standards Summary</w:t>
      </w:r>
      <w:bookmarkEnd w:id="35"/>
      <w:bookmarkEnd w:id="36"/>
      <w:bookmarkEnd w:id="37"/>
      <w:bookmarkEnd w:id="38"/>
      <w:bookmarkEnd w:id="39"/>
      <w:bookmarkEnd w:id="40"/>
      <w:bookmarkEnd w:id="41"/>
      <w:bookmarkEnd w:id="44"/>
    </w:p>
    <w:p w14:paraId="40A2F232" w14:textId="77777777" w:rsidR="004E7926" w:rsidRPr="00D61A21" w:rsidRDefault="004E7926" w:rsidP="004E7926">
      <w:pPr>
        <w:ind w:left="0" w:right="657"/>
        <w:jc w:val="left"/>
        <w:rPr>
          <w:noProof/>
          <w:szCs w:val="18"/>
        </w:rPr>
      </w:pPr>
      <w:r w:rsidRPr="00D61A21">
        <w:rPr>
          <w:noProof/>
          <w:szCs w:val="18"/>
        </w:rPr>
        <w:t>This section provide</w:t>
      </w:r>
      <w:r>
        <w:rPr>
          <w:noProof/>
          <w:szCs w:val="18"/>
        </w:rPr>
        <w:t>s</w:t>
      </w:r>
      <w:r w:rsidRPr="00D61A21">
        <w:rPr>
          <w:noProof/>
          <w:szCs w:val="18"/>
        </w:rPr>
        <w:t xml:space="preserve"> a summary of the </w:t>
      </w:r>
      <w:r>
        <w:rPr>
          <w:noProof/>
          <w:szCs w:val="18"/>
        </w:rPr>
        <w:t>C-CPP</w:t>
      </w:r>
      <w:r w:rsidRPr="00D61A21">
        <w:rPr>
          <w:noProof/>
          <w:szCs w:val="18"/>
        </w:rPr>
        <w:t xml:space="preserve"> </w:t>
      </w:r>
      <w:r>
        <w:rPr>
          <w:noProof/>
          <w:szCs w:val="18"/>
        </w:rPr>
        <w:t xml:space="preserve">standards </w:t>
      </w:r>
      <w:r w:rsidRPr="00D61A21">
        <w:rPr>
          <w:noProof/>
          <w:szCs w:val="18"/>
        </w:rPr>
        <w:t>vulnerability identified in the structural quality analysis and me</w:t>
      </w:r>
      <w:r>
        <w:rPr>
          <w:noProof/>
          <w:szCs w:val="18"/>
        </w:rPr>
        <w:t>a</w:t>
      </w:r>
      <w:r w:rsidRPr="00D61A21">
        <w:rPr>
          <w:noProof/>
          <w:szCs w:val="18"/>
        </w:rPr>
        <w:t xml:space="preserve">surement by CAST AIP. </w:t>
      </w:r>
    </w:p>
    <w:p w14:paraId="46323DCF" w14:textId="77777777" w:rsidR="004E7926" w:rsidRDefault="004E7926" w:rsidP="004E7926">
      <w:pPr>
        <w:ind w:left="0" w:right="657"/>
        <w:jc w:val="left"/>
        <w:rPr>
          <w:rFonts w:asciiTheme="minorHAnsi" w:hAnsiTheme="minorHAnsi"/>
          <w:noProof/>
          <w:sz w:val="20"/>
        </w:rPr>
      </w:pPr>
    </w:p>
    <w:p w14:paraId="1079F948" w14:textId="77777777" w:rsidR="004E7926" w:rsidRDefault="004E7926" w:rsidP="004E7926">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C-CPP</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CPP,LBL=violations,MORE=true"/>
      </w:tblPr>
      <w:tblGrid>
        <w:gridCol w:w="4675"/>
        <w:gridCol w:w="1350"/>
        <w:gridCol w:w="1530"/>
        <w:gridCol w:w="1445"/>
      </w:tblGrid>
      <w:tr w:rsidR="004E7926" w:rsidRPr="00D667AB" w14:paraId="065741B3"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CF2C8" w14:textId="77777777" w:rsidR="004E7926" w:rsidRPr="00D667AB" w:rsidRDefault="004E7926" w:rsidP="00E71173">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32DAC244" w14:textId="77777777" w:rsidR="004E7926" w:rsidRPr="00D667AB"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0D5B7BDB" w14:textId="77777777" w:rsidR="004E7926" w:rsidRPr="00D667AB"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09AB292C" w14:textId="77777777" w:rsidR="004E7926" w:rsidRPr="00D667AB"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4E7926" w:rsidRPr="00D667AB" w14:paraId="35BE96BB"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012CB"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1</w:t>
            </w:r>
          </w:p>
        </w:tc>
        <w:tc>
          <w:tcPr>
            <w:tcW w:w="1350" w:type="dxa"/>
          </w:tcPr>
          <w:p w14:paraId="385DDA6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038F6C8C"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3043D7E7"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6E24F86E"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A9474B"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2</w:t>
            </w:r>
          </w:p>
        </w:tc>
        <w:tc>
          <w:tcPr>
            <w:tcW w:w="1350" w:type="dxa"/>
          </w:tcPr>
          <w:p w14:paraId="5820ED66"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0240444A"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688836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483B0010"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5B7CCA"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3</w:t>
            </w:r>
          </w:p>
        </w:tc>
        <w:tc>
          <w:tcPr>
            <w:tcW w:w="1350" w:type="dxa"/>
          </w:tcPr>
          <w:p w14:paraId="1FCF095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4A6B5D5"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A9A9B0C"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259B2E8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7E4473"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4</w:t>
            </w:r>
          </w:p>
        </w:tc>
        <w:tc>
          <w:tcPr>
            <w:tcW w:w="1350" w:type="dxa"/>
          </w:tcPr>
          <w:p w14:paraId="7914B30F"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264B0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1A17FEE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2E036FCD"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54AA83"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5</w:t>
            </w:r>
          </w:p>
        </w:tc>
        <w:tc>
          <w:tcPr>
            <w:tcW w:w="1350" w:type="dxa"/>
          </w:tcPr>
          <w:p w14:paraId="441E49A4"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8FC018D"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6D46A6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54E4D8A6" w14:textId="77777777" w:rsidR="004E7926" w:rsidRDefault="004E7926" w:rsidP="004E7926">
      <w:pPr>
        <w:ind w:left="0" w:right="657"/>
        <w:rPr>
          <w:i/>
          <w:sz w:val="14"/>
        </w:rPr>
      </w:pPr>
    </w:p>
    <w:p w14:paraId="6A583597" w14:textId="77777777" w:rsidR="004E7926" w:rsidRDefault="004E7926" w:rsidP="004E7926">
      <w:pPr>
        <w:ind w:left="0" w:right="657"/>
        <w:rPr>
          <w:i/>
          <w:sz w:val="14"/>
        </w:rPr>
      </w:pPr>
      <w:r>
        <w:rPr>
          <w:i/>
          <w:sz w:val="14"/>
        </w:rPr>
        <w:t xml:space="preserve">Table 2: OMG-ASCQM summary </w:t>
      </w:r>
    </w:p>
    <w:p w14:paraId="550CC12A" w14:textId="77777777" w:rsidR="004E7926" w:rsidRDefault="004E7926" w:rsidP="004E7926">
      <w:pPr>
        <w:pStyle w:val="BodyContent"/>
        <w:ind w:right="657"/>
        <w:jc w:val="center"/>
        <w:rPr>
          <w:rFonts w:ascii="Calibri" w:eastAsia="Calibri" w:hAnsi="Calibri"/>
          <w:bCs/>
          <w:i/>
          <w:noProof/>
          <w:color w:val="auto"/>
          <w:sz w:val="20"/>
          <w:szCs w:val="22"/>
        </w:rPr>
      </w:pPr>
    </w:p>
    <w:p w14:paraId="655B43E5" w14:textId="77777777" w:rsidR="004E7926" w:rsidRDefault="004E7926" w:rsidP="004E7926">
      <w:pPr>
        <w:spacing w:after="0" w:line="240" w:lineRule="auto"/>
        <w:ind w:left="0" w:right="657"/>
        <w:jc w:val="left"/>
        <w:rPr>
          <w:rFonts w:eastAsia="Calibri"/>
          <w:lang w:eastAsia="en-US"/>
        </w:rPr>
      </w:pPr>
      <w:r>
        <w:rPr>
          <w:rFonts w:eastAsia="Calibri"/>
          <w:lang w:eastAsia="en-US"/>
        </w:rPr>
        <w:br w:type="page"/>
      </w:r>
    </w:p>
    <w:p w14:paraId="794887A6" w14:textId="77777777" w:rsidR="004E7926" w:rsidRPr="0087076A" w:rsidRDefault="004E7926" w:rsidP="004E7926">
      <w:pPr>
        <w:pStyle w:val="Heading1"/>
        <w:rPr>
          <w:rFonts w:eastAsia="Calibri"/>
        </w:rPr>
      </w:pPr>
      <w:bookmarkStart w:id="45" w:name="_Toc531862361"/>
      <w:bookmarkStart w:id="46" w:name="_Toc14696279"/>
      <w:bookmarkStart w:id="47" w:name="_Toc14781144"/>
      <w:bookmarkStart w:id="48" w:name="_Toc14781352"/>
      <w:bookmarkStart w:id="49" w:name="_Toc15304608"/>
      <w:bookmarkStart w:id="50" w:name="_Toc21078015"/>
      <w:bookmarkStart w:id="51" w:name="_Toc21078061"/>
      <w:bookmarkStart w:id="52" w:name="_Toc31977227"/>
      <w:bookmarkStart w:id="53" w:name="_Toc31977570"/>
      <w:bookmarkStart w:id="54" w:name="_Toc31977982"/>
      <w:r>
        <w:rPr>
          <w:rFonts w:eastAsia="Calibri"/>
        </w:rPr>
        <w:lastRenderedPageBreak/>
        <w:t xml:space="preserve">CAST Findings for </w:t>
      </w:r>
      <w:bookmarkEnd w:id="45"/>
      <w:bookmarkEnd w:id="46"/>
      <w:bookmarkEnd w:id="47"/>
      <w:bookmarkEnd w:id="48"/>
      <w:bookmarkEnd w:id="49"/>
      <w:bookmarkEnd w:id="50"/>
      <w:bookmarkEnd w:id="51"/>
      <w:r>
        <w:rPr>
          <w:rFonts w:eastAsia="Calibri"/>
        </w:rPr>
        <w:t>AUTOSAR-CPP-2014</w:t>
      </w:r>
      <w:bookmarkEnd w:id="52"/>
      <w:bookmarkEnd w:id="53"/>
      <w:bookmarkEnd w:id="54"/>
    </w:p>
    <w:p w14:paraId="6E88D4E0"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AUTOSAR-CPP-2014.</w:t>
      </w:r>
    </w:p>
    <w:tbl>
      <w:tblPr>
        <w:tblStyle w:val="GridTable1Light-Accent1"/>
        <w:tblW w:w="9000" w:type="dxa"/>
        <w:tblLayout w:type="fixed"/>
        <w:tblLook w:val="04A0" w:firstRow="1" w:lastRow="0" w:firstColumn="1" w:lastColumn="0" w:noHBand="0" w:noVBand="1"/>
        <w:tblDescription w:val="TABLE;QUALITY_TAGS_RULES_EVOLUTION;STD=AUTOSAR-CPP-2014,LBL=violations"/>
      </w:tblPr>
      <w:tblGrid>
        <w:gridCol w:w="4675"/>
        <w:gridCol w:w="1350"/>
        <w:gridCol w:w="1530"/>
        <w:gridCol w:w="1445"/>
      </w:tblGrid>
      <w:tr w:rsidR="004E7926" w:rsidRPr="00745398" w14:paraId="74B7AE2E"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25B9308"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5E2464E8"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54011AB"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75F28A7C"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7BC1BA54"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213B8"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Pr>
          <w:p w14:paraId="75DB61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C2B9AF7"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FE4E8B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4AE704CA"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162BA4"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3795079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B523ED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D40D2E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1CA1AB91"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F8750"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37E6B7F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92B750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334D37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1230EA54"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F8EA8"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7E50774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FFBE99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E3DC16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689E3ABE"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9A598D"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316A698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A5F9B96"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E0BC2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940756D" w14:textId="77777777" w:rsidR="004E7926" w:rsidRDefault="004E7926" w:rsidP="004E7926">
      <w:pPr>
        <w:pStyle w:val="BodyContent"/>
        <w:ind w:right="657"/>
        <w:rPr>
          <w:rFonts w:ascii="Verdana" w:hAnsi="Verdana"/>
          <w:i/>
          <w:sz w:val="14"/>
        </w:rPr>
      </w:pPr>
    </w:p>
    <w:p w14:paraId="58E58760"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AUTOSAR-CPP-2014 rules</w:t>
      </w:r>
    </w:p>
    <w:p w14:paraId="7887513A" w14:textId="77777777" w:rsidR="004E7926" w:rsidRDefault="004E7926" w:rsidP="004E7926">
      <w:pPr>
        <w:spacing w:after="0" w:line="240" w:lineRule="auto"/>
        <w:ind w:left="0"/>
        <w:jc w:val="left"/>
        <w:rPr>
          <w:i/>
          <w:sz w:val="14"/>
        </w:rPr>
      </w:pPr>
      <w:r>
        <w:rPr>
          <w:i/>
          <w:sz w:val="14"/>
        </w:rPr>
        <w:br w:type="page"/>
      </w:r>
    </w:p>
    <w:p w14:paraId="7A4418BA" w14:textId="77777777" w:rsidR="004E7926" w:rsidRPr="0087076A" w:rsidRDefault="004E7926" w:rsidP="004E7926">
      <w:pPr>
        <w:pStyle w:val="Heading1"/>
        <w:rPr>
          <w:rFonts w:eastAsia="Calibri"/>
        </w:rPr>
      </w:pPr>
      <w:bookmarkStart w:id="55" w:name="_Toc531862380"/>
      <w:bookmarkStart w:id="56" w:name="_Toc14696280"/>
      <w:bookmarkStart w:id="57" w:name="_Toc14781145"/>
      <w:bookmarkStart w:id="58" w:name="_Toc14781353"/>
      <w:bookmarkStart w:id="59" w:name="_Toc15304609"/>
      <w:bookmarkStart w:id="60" w:name="_Toc21078016"/>
      <w:bookmarkStart w:id="61" w:name="_Toc21078062"/>
      <w:bookmarkStart w:id="62" w:name="_Toc31977228"/>
      <w:bookmarkStart w:id="63" w:name="_Toc31977571"/>
      <w:bookmarkStart w:id="64" w:name="_Toc31977983"/>
      <w:r>
        <w:rPr>
          <w:rFonts w:eastAsia="Calibri"/>
        </w:rPr>
        <w:lastRenderedPageBreak/>
        <w:t>CAST Findings for MISRA</w:t>
      </w:r>
      <w:bookmarkEnd w:id="55"/>
      <w:bookmarkEnd w:id="56"/>
      <w:bookmarkEnd w:id="57"/>
      <w:bookmarkEnd w:id="58"/>
      <w:bookmarkEnd w:id="59"/>
      <w:bookmarkEnd w:id="60"/>
      <w:bookmarkEnd w:id="61"/>
      <w:r>
        <w:rPr>
          <w:rFonts w:eastAsia="Calibri"/>
        </w:rPr>
        <w:t>-C-2012</w:t>
      </w:r>
      <w:bookmarkEnd w:id="62"/>
      <w:bookmarkEnd w:id="63"/>
      <w:bookmarkEnd w:id="64"/>
    </w:p>
    <w:p w14:paraId="21757EC0"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MISRA-C-2012.</w:t>
      </w:r>
    </w:p>
    <w:tbl>
      <w:tblPr>
        <w:tblStyle w:val="GridTable1Light-Accent1"/>
        <w:tblW w:w="9000" w:type="dxa"/>
        <w:tblLayout w:type="fixed"/>
        <w:tblLook w:val="04A0" w:firstRow="1" w:lastRow="0" w:firstColumn="1" w:lastColumn="0" w:noHBand="0" w:noVBand="1"/>
        <w:tblDescription w:val="TABLE;QUALITY_TAGS_RULES_EVOLUTION;STD=MISRA-C-2012,LBL=violations"/>
      </w:tblPr>
      <w:tblGrid>
        <w:gridCol w:w="4675"/>
        <w:gridCol w:w="1350"/>
        <w:gridCol w:w="1530"/>
        <w:gridCol w:w="1445"/>
      </w:tblGrid>
      <w:tr w:rsidR="004E7926" w:rsidRPr="00745398" w14:paraId="32786BEE"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38C43DF"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27149DBA"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5CF3A8A2"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A99344F"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5B5D298C"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D149E6"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Pr>
          <w:p w14:paraId="080CDE7D"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C02465"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6411F5E"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6B70705"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0FB5E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15C1404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1CC68F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9E4B9C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3358CD6"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94FF7D"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2D1A52D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5E9330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E56CE4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0210CEE8"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68A2F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413FD00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81CFD5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B2F565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F86A863"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DE58B2"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41FD8A45"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6AE4F3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822864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BF6C033" w14:textId="77777777" w:rsidR="004E7926" w:rsidRDefault="004E7926" w:rsidP="004E7926">
      <w:pPr>
        <w:pStyle w:val="BodyContent"/>
        <w:ind w:right="657"/>
        <w:rPr>
          <w:rFonts w:ascii="Verdana" w:hAnsi="Verdana"/>
          <w:i/>
          <w:sz w:val="14"/>
        </w:rPr>
      </w:pPr>
    </w:p>
    <w:p w14:paraId="34381D06"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MISRA-C-2012 rules</w:t>
      </w:r>
    </w:p>
    <w:p w14:paraId="67BE475E" w14:textId="77777777" w:rsidR="004E7926" w:rsidRDefault="004E7926" w:rsidP="004E7926">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9C4D956" w14:textId="77777777" w:rsidR="004E7926" w:rsidRPr="0087076A" w:rsidRDefault="004E7926" w:rsidP="004E7926">
      <w:pPr>
        <w:pStyle w:val="Heading1"/>
        <w:rPr>
          <w:rFonts w:eastAsia="Calibri"/>
        </w:rPr>
      </w:pPr>
      <w:bookmarkStart w:id="65" w:name="_Toc531862397"/>
      <w:bookmarkStart w:id="66" w:name="_Toc14696281"/>
      <w:bookmarkStart w:id="67" w:name="_Toc14781146"/>
      <w:bookmarkStart w:id="68" w:name="_Toc14781354"/>
      <w:bookmarkStart w:id="69" w:name="_Toc15304610"/>
      <w:bookmarkStart w:id="70" w:name="_Toc21078017"/>
      <w:bookmarkStart w:id="71" w:name="_Toc21078063"/>
      <w:bookmarkStart w:id="72" w:name="_Toc31977229"/>
      <w:bookmarkStart w:id="73" w:name="_Toc31977572"/>
      <w:bookmarkStart w:id="74" w:name="_Toc31977984"/>
      <w:r>
        <w:rPr>
          <w:rFonts w:eastAsia="Calibri"/>
        </w:rPr>
        <w:lastRenderedPageBreak/>
        <w:t xml:space="preserve">CAST Findings for </w:t>
      </w:r>
      <w:bookmarkEnd w:id="65"/>
      <w:bookmarkEnd w:id="66"/>
      <w:bookmarkEnd w:id="67"/>
      <w:bookmarkEnd w:id="68"/>
      <w:bookmarkEnd w:id="69"/>
      <w:bookmarkEnd w:id="70"/>
      <w:bookmarkEnd w:id="71"/>
      <w:r>
        <w:rPr>
          <w:rFonts w:eastAsia="Calibri"/>
        </w:rPr>
        <w:t>MISRA-CPP-2008</w:t>
      </w:r>
      <w:bookmarkEnd w:id="72"/>
      <w:bookmarkEnd w:id="73"/>
      <w:bookmarkEnd w:id="74"/>
    </w:p>
    <w:p w14:paraId="5FD27934"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MISRA-CPP-2008.</w:t>
      </w:r>
    </w:p>
    <w:tbl>
      <w:tblPr>
        <w:tblStyle w:val="GridTable1Light-Accent1"/>
        <w:tblW w:w="9000" w:type="dxa"/>
        <w:tblLayout w:type="fixed"/>
        <w:tblLook w:val="04A0" w:firstRow="1" w:lastRow="0" w:firstColumn="1" w:lastColumn="0" w:noHBand="0" w:noVBand="1"/>
        <w:tblDescription w:val="TABLE;QUALITY_TAGS_RULES_EVOLUTION;STD=MISRA-CPP-2008,LBL=violations"/>
      </w:tblPr>
      <w:tblGrid>
        <w:gridCol w:w="4675"/>
        <w:gridCol w:w="1350"/>
        <w:gridCol w:w="1530"/>
        <w:gridCol w:w="1445"/>
      </w:tblGrid>
      <w:tr w:rsidR="004E7926" w:rsidRPr="00745398" w14:paraId="713BD981"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880AC3D"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6B5C6CA9"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53C17AB1"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08CB656"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76D8069C"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142905"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Pr>
          <w:p w14:paraId="407661B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89036A0"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F8C5CF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851AD10"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829192"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24177478"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2DBDEA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7FAB7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998BEF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68FA6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365A4497"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0617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4B39CF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4CA0D62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2D569"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2021E228"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EEDD72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64872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8862D1D"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4475DA"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4A6A0450"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0343BE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EEB6B7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E7D8190" w14:textId="77777777" w:rsidR="004E7926" w:rsidRDefault="004E7926" w:rsidP="004E7926">
      <w:pPr>
        <w:pStyle w:val="BodyContent"/>
        <w:ind w:right="657"/>
        <w:rPr>
          <w:rFonts w:ascii="Verdana" w:hAnsi="Verdana"/>
          <w:i/>
          <w:sz w:val="14"/>
        </w:rPr>
      </w:pPr>
    </w:p>
    <w:p w14:paraId="7FE0247C"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MISRA-CPP-2008 rules</w:t>
      </w:r>
    </w:p>
    <w:p w14:paraId="54E4AB92" w14:textId="77777777" w:rsidR="004E7926" w:rsidRDefault="004E7926" w:rsidP="004E7926">
      <w:pPr>
        <w:spacing w:after="0" w:line="240" w:lineRule="auto"/>
        <w:ind w:left="0"/>
        <w:jc w:val="left"/>
        <w:rPr>
          <w:rFonts w:asciiTheme="minorHAnsi" w:eastAsia="Perpetua" w:hAnsiTheme="minorHAnsi" w:cstheme="minorHAnsi"/>
          <w:color w:val="000000"/>
          <w:sz w:val="20"/>
          <w:lang w:eastAsia="en-US"/>
        </w:rPr>
      </w:pPr>
    </w:p>
    <w:p w14:paraId="22E73184" w14:textId="0C10358F" w:rsidR="00D80538" w:rsidRPr="0087076A" w:rsidRDefault="00D80538" w:rsidP="00D80538">
      <w:pPr>
        <w:pStyle w:val="Heading1"/>
        <w:rPr>
          <w:rFonts w:eastAsia="Calibri"/>
        </w:rPr>
      </w:pPr>
      <w:bookmarkStart w:id="75" w:name="_Toc31977985"/>
      <w:r>
        <w:rPr>
          <w:rFonts w:eastAsia="Calibri"/>
        </w:rPr>
        <w:lastRenderedPageBreak/>
        <w:t xml:space="preserve">CAST Findings Details for </w:t>
      </w:r>
      <w:bookmarkEnd w:id="42"/>
      <w:bookmarkEnd w:id="43"/>
      <w:r w:rsidR="004E7926">
        <w:rPr>
          <w:rFonts w:eastAsia="Calibri"/>
        </w:rPr>
        <w:t>AUTOSAR-CPP-2014</w:t>
      </w:r>
      <w:bookmarkEnd w:id="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UTOSAR-CPP-2014,COUNT=50"/>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2080843B" w:rsidR="00663337" w:rsidRPr="0087076A" w:rsidRDefault="00663337" w:rsidP="00663337">
      <w:pPr>
        <w:pStyle w:val="Heading1"/>
        <w:rPr>
          <w:rFonts w:eastAsia="Calibri"/>
        </w:rPr>
      </w:pPr>
      <w:bookmarkStart w:id="76" w:name="_Toc25240412"/>
      <w:bookmarkStart w:id="77" w:name="_Toc25309755"/>
      <w:bookmarkStart w:id="78" w:name="_Toc31977986"/>
      <w:r>
        <w:rPr>
          <w:rFonts w:eastAsia="Calibri"/>
        </w:rPr>
        <w:lastRenderedPageBreak/>
        <w:t xml:space="preserve">CAST Findings Details for </w:t>
      </w:r>
      <w:bookmarkEnd w:id="76"/>
      <w:bookmarkEnd w:id="77"/>
      <w:r w:rsidR="000753B0">
        <w:rPr>
          <w:rFonts w:eastAsia="Calibri"/>
        </w:rPr>
        <w:t>MISRA-C-2012</w:t>
      </w:r>
      <w:bookmarkEnd w:id="78"/>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ISRA-C-2012,COUNT=50"/>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763581DC" w:rsidR="003C1DE7" w:rsidRPr="0087076A" w:rsidRDefault="003C1DE7" w:rsidP="003C1DE7">
      <w:pPr>
        <w:pStyle w:val="Heading1"/>
        <w:rPr>
          <w:rFonts w:eastAsia="Calibri"/>
        </w:rPr>
      </w:pPr>
      <w:bookmarkStart w:id="79" w:name="_Toc25240413"/>
      <w:bookmarkStart w:id="80" w:name="_Toc25309756"/>
      <w:bookmarkStart w:id="81" w:name="_Toc31977987"/>
      <w:r>
        <w:rPr>
          <w:rFonts w:eastAsia="Calibri"/>
        </w:rPr>
        <w:lastRenderedPageBreak/>
        <w:t xml:space="preserve">CAST Findings Details for </w:t>
      </w:r>
      <w:bookmarkEnd w:id="79"/>
      <w:bookmarkEnd w:id="80"/>
      <w:r w:rsidR="0017297E">
        <w:rPr>
          <w:rFonts w:eastAsia="Calibri"/>
        </w:rPr>
        <w:t>MISRA-CPP-2008</w:t>
      </w:r>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ISRA-CPP-2008,COUNT=50"/>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2" w:name="_Toc531862419"/>
      <w:bookmarkStart w:id="83" w:name="_Toc14696283"/>
      <w:bookmarkStart w:id="84" w:name="_Toc14781148"/>
      <w:bookmarkStart w:id="85" w:name="_Toc14781356"/>
      <w:bookmarkStart w:id="86" w:name="_Toc15304612"/>
      <w:bookmarkStart w:id="87" w:name="_Toc21078019"/>
      <w:bookmarkStart w:id="88" w:name="_Toc21078065"/>
      <w:bookmarkStart w:id="89" w:name="_Toc25240415"/>
      <w:bookmarkStart w:id="90" w:name="_Toc25309758"/>
      <w:bookmarkStart w:id="91" w:name="_Toc31977988"/>
      <w:r>
        <w:lastRenderedPageBreak/>
        <w:t>A</w:t>
      </w:r>
      <w:r w:rsidR="00CA74F4">
        <w:t>ppendix</w:t>
      </w:r>
      <w:bookmarkEnd w:id="82"/>
      <w:bookmarkEnd w:id="83"/>
      <w:bookmarkEnd w:id="84"/>
      <w:bookmarkEnd w:id="85"/>
      <w:bookmarkEnd w:id="86"/>
      <w:bookmarkEnd w:id="87"/>
      <w:bookmarkEnd w:id="88"/>
      <w:bookmarkEnd w:id="89"/>
      <w:bookmarkEnd w:id="90"/>
      <w:bookmarkEnd w:id="91"/>
      <w:r w:rsidR="00CA74F4">
        <w:t xml:space="preserve"> </w:t>
      </w:r>
    </w:p>
    <w:p w14:paraId="48916227" w14:textId="1845DF32" w:rsidR="00010552" w:rsidRDefault="00010552" w:rsidP="002638B2">
      <w:pPr>
        <w:pStyle w:val="Heading2"/>
        <w:spacing w:after="0"/>
        <w:ind w:left="540" w:right="657" w:hanging="540"/>
        <w:rPr>
          <w:lang w:val="en-US"/>
        </w:rPr>
      </w:pPr>
      <w:bookmarkStart w:id="92" w:name="_Toc531862420"/>
      <w:bookmarkStart w:id="93" w:name="_Toc14696284"/>
      <w:bookmarkStart w:id="94" w:name="_Toc14781149"/>
      <w:bookmarkStart w:id="95" w:name="_Toc14781357"/>
      <w:bookmarkStart w:id="96" w:name="_Toc15304613"/>
      <w:bookmarkStart w:id="97" w:name="_Toc21078020"/>
      <w:bookmarkStart w:id="98" w:name="_Toc21078066"/>
      <w:bookmarkStart w:id="99" w:name="_Toc25240416"/>
      <w:bookmarkStart w:id="100" w:name="_Toc25309759"/>
      <w:bookmarkStart w:id="101" w:name="_Toc31977989"/>
      <w:r>
        <w:rPr>
          <w:lang w:val="en-US"/>
        </w:rPr>
        <w:t>About CAST Software Intelligence</w:t>
      </w:r>
      <w:bookmarkEnd w:id="92"/>
      <w:bookmarkEnd w:id="93"/>
      <w:bookmarkEnd w:id="94"/>
      <w:bookmarkEnd w:id="95"/>
      <w:bookmarkEnd w:id="96"/>
      <w:bookmarkEnd w:id="97"/>
      <w:bookmarkEnd w:id="98"/>
      <w:bookmarkEnd w:id="99"/>
      <w:bookmarkEnd w:id="100"/>
      <w:bookmarkEnd w:id="101"/>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6C3F43" w:rsidP="004A59A5">
      <w:pPr>
        <w:ind w:right="657"/>
      </w:pPr>
      <w:hyperlink r:id="rId11" w:history="1">
        <w:r w:rsidR="00036206" w:rsidRPr="00036206">
          <w:rPr>
            <w:rStyle w:val="Hyperlink"/>
          </w:rPr>
          <w:t>Click here</w:t>
        </w:r>
      </w:hyperlink>
      <w:r w:rsidR="00036206">
        <w:t xml:space="preserve"> for more information about </w:t>
      </w:r>
      <w:r w:rsidR="00010552">
        <w:t>CAST Software Intelligence</w:t>
      </w:r>
      <w:r w:rsidR="0021373F">
        <w:t>.</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36FE1" w14:textId="77777777" w:rsidR="006C3F43" w:rsidRDefault="006C3F43">
      <w:r>
        <w:separator/>
      </w:r>
    </w:p>
  </w:endnote>
  <w:endnote w:type="continuationSeparator" w:id="0">
    <w:p w14:paraId="27930F72" w14:textId="77777777" w:rsidR="006C3F43" w:rsidRDefault="006C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095BF" w14:textId="77777777" w:rsidR="006C3F43" w:rsidRDefault="006C3F43">
      <w:r>
        <w:separator/>
      </w:r>
    </w:p>
  </w:footnote>
  <w:footnote w:type="continuationSeparator" w:id="0">
    <w:p w14:paraId="04275CD6" w14:textId="77777777" w:rsidR="006C3F43" w:rsidRDefault="006C3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673BCE8" w:rsidR="002F1636" w:rsidRPr="00501CAD" w:rsidRDefault="00F4296B" w:rsidP="00874417">
    <w:pPr>
      <w:spacing w:after="0" w:line="240" w:lineRule="auto"/>
      <w:jc w:val="center"/>
      <w:rPr>
        <w:rFonts w:asciiTheme="majorHAnsi" w:hAnsiTheme="majorHAnsi"/>
        <w:noProof/>
        <w:sz w:val="24"/>
        <w:szCs w:val="24"/>
      </w:rPr>
    </w:pPr>
    <w:r>
      <w:rPr>
        <w:rFonts w:asciiTheme="majorHAnsi" w:hAnsiTheme="majorHAnsi"/>
        <w:noProof/>
        <w:sz w:val="20"/>
        <w:szCs w:val="24"/>
      </w:rPr>
      <w:t>C-CPP Standards 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53B0"/>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97E"/>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0FBB"/>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E7926"/>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350"/>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3F43"/>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C69"/>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6B"/>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3CFD0-6C0C-42E4-B66C-5C170EF8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723</TotalTime>
  <Pages>11</Pages>
  <Words>532</Words>
  <Characters>3036</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121</cp:revision>
  <cp:lastPrinted>2014-04-04T13:22:00Z</cp:lastPrinted>
  <dcterms:created xsi:type="dcterms:W3CDTF">2018-09-23T06:31:00Z</dcterms:created>
  <dcterms:modified xsi:type="dcterms:W3CDTF">2020-02-07T13:26:00Z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