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58240"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107613" w:rsidRDefault="0010761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107613" w:rsidRDefault="00107613">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107613" w:rsidRDefault="00231B5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231B5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107613" w:rsidRDefault="00231B5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231B5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58247"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E3F52F4"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OWASP  20</w:t>
                                </w:r>
                                <w:r w:rsidR="00D009F7">
                                  <w:rPr>
                                    <w:rFonts w:asciiTheme="majorHAnsi" w:hAnsiTheme="majorHAnsi" w:cs="Arial"/>
                                    <w:b/>
                                    <w:color w:val="365F91" w:themeColor="accent1" w:themeShade="BF"/>
                                    <w:sz w:val="56"/>
                                  </w:rPr>
                                  <w:t>21</w:t>
                                </w:r>
                                <w:r>
                                  <w:rPr>
                                    <w:rFonts w:asciiTheme="majorHAnsi" w:hAnsiTheme="majorHAnsi" w:cs="Arial"/>
                                    <w:b/>
                                    <w:color w:val="365F91" w:themeColor="accent1" w:themeShade="BF"/>
                                    <w:sz w:val="56"/>
                                  </w:rPr>
                                  <w:t xml:space="preserve">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E3F52F4"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OWASP  20</w:t>
                          </w:r>
                          <w:r w:rsidR="00D009F7">
                            <w:rPr>
                              <w:rFonts w:asciiTheme="majorHAnsi" w:hAnsiTheme="majorHAnsi" w:cs="Arial"/>
                              <w:b/>
                              <w:color w:val="365F91" w:themeColor="accent1" w:themeShade="BF"/>
                              <w:sz w:val="56"/>
                            </w:rPr>
                            <w:t>21</w:t>
                          </w:r>
                          <w:r>
                            <w:rPr>
                              <w:rFonts w:asciiTheme="majorHAnsi" w:hAnsiTheme="majorHAnsi" w:cs="Arial"/>
                              <w:b/>
                              <w:color w:val="365F91" w:themeColor="accent1" w:themeShade="BF"/>
                              <w:sz w:val="56"/>
                            </w:rPr>
                            <w:t xml:space="preserve">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31B5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61F2A960" w14:textId="77777777" w:rsidR="004F75E1"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bookmarkStart w:id="4" w:name="_Toc86246464"/>
      <w:bookmarkStart w:id="5" w:name="_Toc86247678"/>
      <w:bookmarkStart w:id="6" w:name="_Toc86247811"/>
      <w:bookmarkStart w:id="7" w:name="_Toc86299283"/>
      <w:bookmarkStart w:id="8" w:name="_Toc88633599"/>
      <w:r w:rsidR="00D36C46">
        <w:t>Table of Content</w:t>
      </w:r>
      <w:bookmarkEnd w:id="1"/>
      <w:bookmarkEnd w:id="2"/>
      <w:bookmarkEnd w:id="3"/>
      <w:bookmarkEnd w:id="4"/>
      <w:bookmarkEnd w:id="5"/>
      <w:bookmarkEnd w:id="6"/>
      <w:bookmarkEnd w:id="7"/>
      <w:bookmarkEnd w:id="8"/>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3558B2F3" w14:textId="77777777" w:rsidR="004F75E1" w:rsidRDefault="004F75E1">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26D5DD69" w14:textId="77777777" w:rsidR="004F75E1" w:rsidRDefault="004F75E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59BC368"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013BB">
        <w:rPr>
          <w:noProof/>
        </w:rPr>
        <w:t>Application Characteristics</w:t>
      </w:r>
    </w:p>
    <w:p w14:paraId="73A46ACF" w14:textId="77777777" w:rsidR="004F75E1" w:rsidRDefault="004F75E1">
      <w:pPr>
        <w:pStyle w:val="TOC1"/>
        <w:tabs>
          <w:tab w:val="left" w:pos="737"/>
        </w:tabs>
        <w:rPr>
          <w:rFonts w:asciiTheme="minorHAnsi" w:eastAsiaTheme="minorEastAsia" w:hAnsiTheme="minorHAnsi" w:cstheme="minorBidi"/>
          <w:b w:val="0"/>
          <w:caps w:val="0"/>
          <w:noProof/>
          <w:color w:val="auto"/>
          <w:sz w:val="22"/>
          <w:szCs w:val="22"/>
          <w:lang w:eastAsia="en-US"/>
        </w:rPr>
      </w:pPr>
      <w:r w:rsidRPr="00A013BB">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05A2751F"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013BB">
        <w:rPr>
          <w:rFonts w:eastAsia="Calibri"/>
          <w:noProof/>
        </w:rPr>
        <w:t>OWASP -2021 Top 10 Risk Factor Summary</w:t>
      </w:r>
    </w:p>
    <w:p w14:paraId="4473EBB8"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A013BB">
        <w:rPr>
          <w:rFonts w:eastAsia="Calibri"/>
          <w:noProof/>
        </w:rPr>
        <w:t>OWASP A01:2021 – Broken Access Control</w:t>
      </w:r>
    </w:p>
    <w:p w14:paraId="2E26DA4C"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rFonts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A013BB">
        <w:rPr>
          <w:rFonts w:eastAsia="Calibri"/>
          <w:noProof/>
        </w:rPr>
        <w:t>OWASP A02:2021 – Cryptographic Failures</w:t>
      </w:r>
    </w:p>
    <w:p w14:paraId="23915108"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A013BB">
        <w:rPr>
          <w:rFonts w:eastAsia="Calibri"/>
          <w:noProof/>
        </w:rPr>
        <w:t>OWASP A03:2021 – Injection</w:t>
      </w:r>
    </w:p>
    <w:p w14:paraId="18DE54F5"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A013BB">
        <w:rPr>
          <w:rFonts w:eastAsia="Calibri"/>
          <w:noProof/>
        </w:rPr>
        <w:t>OWASP A04:2021 – Insecure Design</w:t>
      </w:r>
    </w:p>
    <w:p w14:paraId="246E058F"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rFonts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A013BB">
        <w:rPr>
          <w:rFonts w:eastAsia="Calibri"/>
          <w:noProof/>
        </w:rPr>
        <w:t>OWASP A05:2021 – Security Misconfiguration</w:t>
      </w:r>
    </w:p>
    <w:p w14:paraId="2BD80E86"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A013BB">
        <w:rPr>
          <w:rFonts w:eastAsia="Calibri"/>
          <w:noProof/>
        </w:rPr>
        <w:t>OWASP A06:2021 – Vulnerable and Outdated Components</w:t>
      </w:r>
    </w:p>
    <w:p w14:paraId="1AB200C6"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A013BB">
        <w:rPr>
          <w:rFonts w:eastAsia="Calibri"/>
          <w:noProof/>
        </w:rPr>
        <w:t>OWASP A07:2021 – Identification and Authentication Failures</w:t>
      </w:r>
    </w:p>
    <w:p w14:paraId="39D47A75"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A013BB">
        <w:rPr>
          <w:rFonts w:eastAsia="Calibri"/>
          <w:noProof/>
        </w:rPr>
        <w:t>OWASP A08:2021 – Software and Data Integrity Failures</w:t>
      </w:r>
    </w:p>
    <w:p w14:paraId="276A9BC5"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A013BB">
        <w:rPr>
          <w:rFonts w:eastAsia="Calibri"/>
          <w:noProof/>
        </w:rPr>
        <w:t>OWASP A09:2021 – Security Logging and Monitoring Failures</w:t>
      </w:r>
    </w:p>
    <w:p w14:paraId="3FE6900F"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rFonts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A013BB">
        <w:rPr>
          <w:rFonts w:eastAsia="Calibri"/>
          <w:noProof/>
        </w:rPr>
        <w:t>OWASP A10:2021 – Server-Side Request Forgery (SSRF)</w:t>
      </w:r>
    </w:p>
    <w:p w14:paraId="0B3171D5" w14:textId="77777777" w:rsidR="004F75E1" w:rsidRDefault="004F75E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02E8BED1"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A013BB">
        <w:rPr>
          <w:noProof/>
        </w:rPr>
        <w:t>About CAST Software Intelligence</w:t>
      </w:r>
    </w:p>
    <w:p w14:paraId="35ED0183" w14:textId="77777777" w:rsidR="004F75E1" w:rsidRDefault="004F75E1">
      <w:pPr>
        <w:pStyle w:val="TOC2"/>
        <w:tabs>
          <w:tab w:val="left" w:pos="1200"/>
        </w:tabs>
        <w:rPr>
          <w:rFonts w:asciiTheme="minorHAnsi" w:eastAsiaTheme="minorEastAsia" w:hAnsiTheme="minorHAnsi" w:cstheme="minorBidi"/>
          <w:smallCaps w:val="0"/>
          <w:noProof/>
          <w:color w:val="auto"/>
          <w:sz w:val="22"/>
          <w:szCs w:val="22"/>
          <w:lang w:eastAsia="en-US"/>
        </w:rPr>
      </w:pPr>
      <w:r w:rsidRPr="00A013BB">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A013BB">
        <w:rPr>
          <w:noProof/>
        </w:rPr>
        <w:t>About CAST Security</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9" w:name="_Toc531865296"/>
      <w:bookmarkStart w:id="10" w:name="_Toc531949425"/>
      <w:bookmarkStart w:id="11" w:name="_Toc531949635"/>
      <w:bookmarkStart w:id="12" w:name="_Toc86246465"/>
      <w:bookmarkStart w:id="13" w:name="_Toc86247679"/>
      <w:bookmarkStart w:id="14" w:name="_Toc86247812"/>
      <w:bookmarkStart w:id="15" w:name="_Toc86299284"/>
      <w:bookmarkStart w:id="16" w:name="_Toc88633600"/>
      <w:r w:rsidR="005773E4">
        <w:t>Introduction</w:t>
      </w:r>
      <w:bookmarkEnd w:id="9"/>
      <w:bookmarkEnd w:id="10"/>
      <w:bookmarkEnd w:id="11"/>
      <w:bookmarkEnd w:id="12"/>
      <w:bookmarkEnd w:id="13"/>
      <w:bookmarkEnd w:id="14"/>
      <w:bookmarkEnd w:id="15"/>
      <w:bookmarkEnd w:id="16"/>
    </w:p>
    <w:p w14:paraId="1F59F9C9" w14:textId="77777777" w:rsidR="00E870F6" w:rsidRDefault="005773E4" w:rsidP="002638B2">
      <w:pPr>
        <w:spacing w:after="0" w:line="240" w:lineRule="auto"/>
        <w:ind w:right="657"/>
      </w:pPr>
      <w:bookmarkStart w:id="17"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649C1BC1" w:rsidR="00E01AD4" w:rsidRPr="00755F5D" w:rsidRDefault="005773E4" w:rsidP="00E01AD4">
      <w:pPr>
        <w:spacing w:after="0" w:line="240" w:lineRule="auto"/>
        <w:ind w:right="657"/>
      </w:pPr>
      <w:r w:rsidRPr="005773E4">
        <w:t xml:space="preserve">CAST AIP </w:t>
      </w:r>
      <w:r w:rsidR="00E870F6">
        <w:t>adapts the quality rules from best-in-class industry standards (</w:t>
      </w:r>
      <w:r w:rsidR="00D009F7">
        <w:t xml:space="preserve">ISO, CWE, OWASP, PCI DSS, STIG, </w:t>
      </w:r>
      <w:proofErr w:type="gramStart"/>
      <w:r w:rsidR="00D009F7">
        <w:t>NIST,…</w:t>
      </w:r>
      <w:proofErr w:type="gramEnd"/>
      <w:r w:rsidR="00E870F6">
        <w:t xml:space="preserve">). With its unique ability to </w:t>
      </w:r>
      <w:r w:rsidR="00755F5D">
        <w:t>perform</w:t>
      </w:r>
      <w:r w:rsidR="00E870F6">
        <w:t xml:space="preserve"> dataflow and system-level analysis</w:t>
      </w:r>
      <w:r w:rsidR="00755F5D">
        <w:t xml:space="preserve"> (</w:t>
      </w:r>
      <w:r w:rsidR="00D009F7">
        <w:t>f</w:t>
      </w:r>
      <w:r w:rsidR="00E01AD4">
        <w:t xml:space="preserve">rom </w:t>
      </w:r>
      <w:r w:rsidR="00755F5D">
        <w:t>Presentation layer</w:t>
      </w:r>
      <w:r w:rsidR="00D009F7">
        <w:t xml:space="preserve"> or REST exposed services</w:t>
      </w:r>
      <w:r w:rsidR="00755F5D">
        <w:t xml:space="preserve"> </w:t>
      </w:r>
      <w:r w:rsidR="00D009F7">
        <w:t xml:space="preserve">down </w:t>
      </w:r>
      <w:r w:rsidR="00755F5D">
        <w:t>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18" w:name="_Toc380677725"/>
      <w:bookmarkStart w:id="19" w:name="_Toc531865297"/>
      <w:bookmarkStart w:id="20" w:name="_Toc531949426"/>
      <w:bookmarkStart w:id="21" w:name="_Toc531949636"/>
      <w:bookmarkStart w:id="22" w:name="_Toc86246466"/>
      <w:bookmarkStart w:id="23" w:name="_Toc86247680"/>
      <w:bookmarkStart w:id="24" w:name="_Toc86247813"/>
      <w:bookmarkStart w:id="25" w:name="_Toc86299285"/>
      <w:bookmarkStart w:id="26" w:name="_Toc88633601"/>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27" w:name="_Toc531865298"/>
      <w:bookmarkStart w:id="28" w:name="_Toc531949427"/>
      <w:bookmarkStart w:id="29" w:name="_Toc531949637"/>
      <w:bookmarkStart w:id="30" w:name="_Toc86246467"/>
      <w:bookmarkStart w:id="31" w:name="_Toc86247681"/>
      <w:bookmarkStart w:id="32" w:name="_Toc86247814"/>
      <w:bookmarkStart w:id="33" w:name="_Toc86299286"/>
      <w:bookmarkStart w:id="34" w:name="_Toc88633602"/>
      <w:r>
        <w:lastRenderedPageBreak/>
        <w:t>Security Violation Overview</w:t>
      </w:r>
      <w:bookmarkEnd w:id="27"/>
      <w:bookmarkEnd w:id="28"/>
      <w:bookmarkEnd w:id="29"/>
      <w:bookmarkEnd w:id="30"/>
      <w:bookmarkEnd w:id="31"/>
      <w:bookmarkEnd w:id="32"/>
      <w:bookmarkEnd w:id="33"/>
      <w:bookmarkEnd w:id="34"/>
    </w:p>
    <w:p w14:paraId="1F3E08B4" w14:textId="77777777" w:rsidR="0080119A" w:rsidRDefault="0080119A" w:rsidP="0080119A">
      <w:pPr>
        <w:ind w:left="0" w:right="657"/>
        <w:jc w:val="left"/>
        <w:rPr>
          <w:rFonts w:asciiTheme="minorHAnsi" w:hAnsiTheme="minorHAnsi"/>
          <w:noProof/>
          <w:sz w:val="20"/>
        </w:rPr>
      </w:pPr>
      <w:bookmarkStart w:id="35" w:name="_Toc531865308"/>
      <w:bookmarkStart w:id="36" w:name="_Toc531949437"/>
      <w:bookmarkStart w:id="37" w:name="_Toc531949649"/>
      <w:bookmarkStart w:id="38" w:name="_Toc86246479"/>
      <w:bookmarkStart w:id="39" w:name="_Toc86247693"/>
      <w:bookmarkStart w:id="40" w:name="_Toc86247826"/>
      <w:r w:rsidRPr="00E710C3">
        <w:rPr>
          <w:rFonts w:asciiTheme="minorHAnsi" w:hAnsiTheme="minorHAnsi"/>
          <w:noProof/>
          <w:sz w:val="20"/>
        </w:rPr>
        <w:t>This section provide</w:t>
      </w:r>
      <w:r>
        <w:rPr>
          <w:rFonts w:asciiTheme="minorHAnsi" w:hAnsiTheme="minorHAnsi"/>
          <w:noProof/>
          <w:sz w:val="20"/>
        </w:rPr>
        <w:t>s</w:t>
      </w:r>
      <w:r w:rsidRPr="00E710C3">
        <w:rPr>
          <w:rFonts w:asciiTheme="minorHAnsi" w:hAnsiTheme="minorHAnsi"/>
          <w:noProof/>
          <w:sz w:val="20"/>
        </w:rPr>
        <w:t xml:space="preserv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Pr>
          <w:rFonts w:asciiTheme="minorHAnsi" w:hAnsiTheme="minorHAnsi"/>
          <w:noProof/>
          <w:sz w:val="20"/>
        </w:rPr>
        <w:t>a</w:t>
      </w:r>
      <w:r w:rsidRPr="00E710C3">
        <w:rPr>
          <w:rFonts w:asciiTheme="minorHAnsi" w:hAnsiTheme="minorHAnsi"/>
          <w:noProof/>
          <w:sz w:val="20"/>
        </w:rPr>
        <w:t>surement by CAST AIP</w:t>
      </w:r>
      <w:r>
        <w:rPr>
          <w:rFonts w:asciiTheme="minorHAnsi" w:hAnsiTheme="minorHAnsi"/>
          <w:noProof/>
          <w:sz w:val="20"/>
        </w:rPr>
        <w:t xml:space="preserve"> against the OWASP Top 10 2021  standard. Details about OWASP Security Standard can be found </w:t>
      </w:r>
      <w:hyperlink r:id="rId11" w:history="1">
        <w:r w:rsidRPr="00E8205B">
          <w:rPr>
            <w:rStyle w:val="Hyperlink"/>
            <w:rFonts w:asciiTheme="minorHAnsi" w:hAnsiTheme="minorHAnsi"/>
            <w:noProof/>
            <w:sz w:val="20"/>
          </w:rPr>
          <w:t>here</w:t>
        </w:r>
      </w:hyperlink>
      <w:r>
        <w:rPr>
          <w:rFonts w:asciiTheme="minorHAnsi" w:hAnsiTheme="minorHAnsi"/>
          <w:noProof/>
          <w:sz w:val="20"/>
        </w:rPr>
        <w:t>.</w:t>
      </w:r>
    </w:p>
    <w:p w14:paraId="29E0B3AA" w14:textId="77777777" w:rsidR="0080119A" w:rsidRDefault="0080119A" w:rsidP="0080119A">
      <w:pPr>
        <w:ind w:left="0" w:right="657"/>
        <w:jc w:val="left"/>
        <w:rPr>
          <w:rFonts w:asciiTheme="minorHAnsi" w:hAnsiTheme="minorHAnsi"/>
          <w:noProof/>
          <w:sz w:val="20"/>
        </w:rPr>
      </w:pPr>
    </w:p>
    <w:p w14:paraId="2C59452B" w14:textId="77777777" w:rsidR="0080119A" w:rsidRPr="00212651" w:rsidRDefault="0080119A" w:rsidP="0080119A">
      <w:pPr>
        <w:pStyle w:val="Heading2"/>
        <w:spacing w:after="0"/>
        <w:ind w:left="540" w:right="657" w:hanging="540"/>
        <w:rPr>
          <w:rFonts w:eastAsia="Calibri"/>
        </w:rPr>
      </w:pPr>
      <w:bookmarkStart w:id="41" w:name="_Toc531865299"/>
      <w:bookmarkStart w:id="42" w:name="_Toc531949428"/>
      <w:bookmarkStart w:id="43" w:name="_Toc531949638"/>
      <w:bookmarkStart w:id="44" w:name="_Toc86246468"/>
      <w:bookmarkStart w:id="45" w:name="_Toc86247682"/>
      <w:bookmarkStart w:id="46" w:name="_Toc86247815"/>
      <w:bookmarkStart w:id="47" w:name="_Toc86299287"/>
      <w:bookmarkStart w:id="48" w:name="_Toc88633603"/>
      <w:r>
        <w:rPr>
          <w:rFonts w:eastAsia="Calibri"/>
          <w:lang w:val="en-US"/>
        </w:rPr>
        <w:t xml:space="preserve">OWASP -2021 Top 10 </w:t>
      </w:r>
      <w:bookmarkEnd w:id="41"/>
      <w:bookmarkEnd w:id="42"/>
      <w:bookmarkEnd w:id="43"/>
      <w:bookmarkEnd w:id="44"/>
      <w:bookmarkEnd w:id="45"/>
      <w:bookmarkEnd w:id="46"/>
      <w:r w:rsidRPr="00C8046B">
        <w:rPr>
          <w:rFonts w:eastAsia="Calibri"/>
          <w:lang w:val="en-US"/>
        </w:rPr>
        <w:t>Risk Factor Summary</w:t>
      </w:r>
      <w:bookmarkEnd w:id="47"/>
      <w:bookmarkEnd w:id="48"/>
    </w:p>
    <w:p w14:paraId="77BF563D" w14:textId="77777777" w:rsidR="0080119A" w:rsidRDefault="0080119A" w:rsidP="0080119A">
      <w:pPr>
        <w:pStyle w:val="BodyContent"/>
        <w:ind w:right="657"/>
        <w:rPr>
          <w:rFonts w:asciiTheme="minorHAnsi" w:hAnsiTheme="minorHAnsi" w:cstheme="minorHAnsi"/>
          <w:sz w:val="20"/>
          <w:szCs w:val="20"/>
        </w:rPr>
      </w:pPr>
    </w:p>
    <w:p w14:paraId="025C5747" w14:textId="77777777" w:rsidR="0080119A" w:rsidRDefault="0080119A" w:rsidP="0080119A">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2B8CEEAC" w14:textId="77777777" w:rsidR="0080119A" w:rsidRDefault="0080119A" w:rsidP="0080119A">
      <w:pPr>
        <w:pStyle w:val="BodyContent"/>
        <w:ind w:right="657"/>
        <w:rPr>
          <w:rFonts w:asciiTheme="minorHAnsi" w:hAnsiTheme="minorHAnsi" w:cstheme="minorHAnsi"/>
          <w:sz w:val="20"/>
          <w:szCs w:val="20"/>
        </w:rPr>
      </w:pPr>
      <w:r w:rsidRPr="00C8046B">
        <w:rPr>
          <w:rFonts w:asciiTheme="minorHAnsi" w:hAnsiTheme="minorHAnsi" w:cstheme="minorHAnsi"/>
          <w:sz w:val="20"/>
          <w:szCs w:val="20"/>
        </w:rPr>
        <w:t>The following table presents a summary of the 20</w:t>
      </w:r>
      <w:r>
        <w:rPr>
          <w:rFonts w:asciiTheme="minorHAnsi" w:hAnsiTheme="minorHAnsi" w:cstheme="minorHAnsi"/>
          <w:sz w:val="20"/>
          <w:szCs w:val="20"/>
        </w:rPr>
        <w:t xml:space="preserve">21 </w:t>
      </w:r>
      <w:r w:rsidRPr="00C8046B">
        <w:rPr>
          <w:rFonts w:asciiTheme="minorHAnsi" w:hAnsiTheme="minorHAnsi" w:cstheme="minorHAnsi"/>
          <w:sz w:val="20"/>
          <w:szCs w:val="20"/>
        </w:rPr>
        <w:t>Top 10 Application Security Risks</w:t>
      </w:r>
      <w:r>
        <w:rPr>
          <w:rFonts w:asciiTheme="minorHAnsi" w:hAnsiTheme="minorHAnsi" w:cstheme="minorHAnsi"/>
          <w:sz w:val="20"/>
          <w:szCs w:val="20"/>
        </w:rPr>
        <w:t>.</w:t>
      </w:r>
    </w:p>
    <w:p w14:paraId="7F56C694" w14:textId="247AC594" w:rsidR="0080119A" w:rsidRDefault="00303F72" w:rsidP="0080119A">
      <w:pPr>
        <w:pStyle w:val="BodyContent"/>
        <w:ind w:right="657"/>
        <w:rPr>
          <w:rFonts w:asciiTheme="minorHAnsi" w:hAnsiTheme="minorHAnsi" w:cstheme="minorHAnsi"/>
          <w:sz w:val="20"/>
          <w:szCs w:val="20"/>
        </w:rPr>
      </w:pPr>
      <w:r w:rsidRPr="00303F72">
        <w:rPr>
          <w:noProof/>
        </w:rPr>
        <w:drawing>
          <wp:inline distT="0" distB="0" distL="0" distR="0" wp14:anchorId="13D2357D" wp14:editId="2103A918">
            <wp:extent cx="587502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5020" cy="2400300"/>
                    </a:xfrm>
                    <a:prstGeom prst="rect">
                      <a:avLst/>
                    </a:prstGeom>
                    <a:noFill/>
                    <a:ln>
                      <a:noFill/>
                    </a:ln>
                  </pic:spPr>
                </pic:pic>
              </a:graphicData>
            </a:graphic>
          </wp:inline>
        </w:drawing>
      </w:r>
    </w:p>
    <w:p w14:paraId="3F0D1F31" w14:textId="6F7AD94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The results of CAST AIP analysis </w:t>
      </w:r>
      <w:r w:rsidR="00303F72">
        <w:rPr>
          <w:rFonts w:asciiTheme="minorHAnsi" w:hAnsiTheme="minorHAnsi" w:cstheme="minorHAnsi"/>
          <w:sz w:val="20"/>
          <w:szCs w:val="20"/>
        </w:rPr>
        <w:t>are</w:t>
      </w:r>
      <w:r>
        <w:rPr>
          <w:rFonts w:asciiTheme="minorHAnsi" w:hAnsiTheme="minorHAnsi" w:cstheme="minorHAnsi"/>
          <w:sz w:val="20"/>
          <w:szCs w:val="20"/>
        </w:rPr>
        <w:t xml:space="preserve"> presented hereafter.</w:t>
      </w:r>
    </w:p>
    <w:p w14:paraId="7572655A" w14:textId="77777777" w:rsidR="0080119A" w:rsidRDefault="0080119A" w:rsidP="0080119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0A723A2"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lastRenderedPageBreak/>
        <w:t>List of OWASP -2021 Top 10</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2021"/>
      </w:tblPr>
      <w:tblGrid>
        <w:gridCol w:w="4675"/>
        <w:gridCol w:w="1530"/>
        <w:gridCol w:w="1530"/>
        <w:gridCol w:w="1530"/>
      </w:tblGrid>
      <w:tr w:rsidR="0080119A" w:rsidRPr="00AC5F7C" w14:paraId="64B23B7D" w14:textId="77777777" w:rsidTr="00F847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70ED418" w14:textId="77777777" w:rsidR="0080119A" w:rsidRPr="00FC19A1" w:rsidRDefault="0080119A" w:rsidP="00F84758">
            <w:pPr>
              <w:ind w:left="330" w:right="657"/>
              <w:jc w:val="left"/>
              <w:rPr>
                <w:rFonts w:ascii="Open Sans" w:hAnsi="Open Sans" w:cs="Open Sans"/>
              </w:rPr>
            </w:pPr>
            <w:r>
              <w:rPr>
                <w:rFonts w:ascii="Open Sans" w:hAnsi="Open Sans" w:cs="Open Sans"/>
              </w:rPr>
              <w:t>OWASP-2021 Top Ten</w:t>
            </w:r>
          </w:p>
        </w:tc>
        <w:tc>
          <w:tcPr>
            <w:tcW w:w="1530" w:type="dxa"/>
            <w:shd w:val="clear" w:color="auto" w:fill="DBE5F1" w:themeFill="accent1" w:themeFillTint="33"/>
            <w:vAlign w:val="center"/>
          </w:tcPr>
          <w:p w14:paraId="3EEB792E"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6A94B918"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Pr="00E8205B">
              <w:rPr>
                <w:rFonts w:ascii="Open Sans" w:hAnsi="Open Sans" w:cs="Open Sans"/>
                <w:b w:val="0"/>
              </w:rPr>
              <w:t xml:space="preserve"> </w:t>
            </w:r>
          </w:p>
        </w:tc>
        <w:tc>
          <w:tcPr>
            <w:tcW w:w="1530" w:type="dxa"/>
            <w:shd w:val="clear" w:color="auto" w:fill="DBE5F1" w:themeFill="accent1" w:themeFillTint="33"/>
            <w:vAlign w:val="center"/>
          </w:tcPr>
          <w:p w14:paraId="668DB053"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Pr="00E8205B">
              <w:rPr>
                <w:rFonts w:ascii="Open Sans" w:hAnsi="Open Sans" w:cs="Open Sans"/>
                <w:b w:val="0"/>
              </w:rPr>
              <w:t xml:space="preserve"> </w:t>
            </w:r>
          </w:p>
        </w:tc>
      </w:tr>
      <w:tr w:rsidR="0080119A" w:rsidRPr="00CA2066" w14:paraId="09936749"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A1145C" w14:textId="77777777" w:rsidR="0080119A" w:rsidRPr="007675B2" w:rsidRDefault="0080119A" w:rsidP="00F84758">
            <w:pPr>
              <w:ind w:right="657"/>
              <w:jc w:val="left"/>
              <w:rPr>
                <w:rFonts w:ascii="Open Sans" w:hAnsi="Open Sans" w:cs="Open Sans"/>
                <w:b w:val="0"/>
              </w:rPr>
            </w:pPr>
            <w:r w:rsidRPr="00124214">
              <w:rPr>
                <w:rFonts w:ascii="Open Sans" w:hAnsi="Open Sans" w:cs="Open Sans"/>
                <w:b w:val="0"/>
              </w:rPr>
              <w:t>A01:2021 – Broken Access Control</w:t>
            </w:r>
          </w:p>
        </w:tc>
        <w:tc>
          <w:tcPr>
            <w:tcW w:w="1530" w:type="dxa"/>
          </w:tcPr>
          <w:p w14:paraId="5296E11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47119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7BAC7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8307A3A"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EE20A3" w14:textId="77777777" w:rsidR="0080119A" w:rsidRPr="007675B2" w:rsidRDefault="0080119A" w:rsidP="00F84758">
            <w:pPr>
              <w:ind w:right="657"/>
              <w:jc w:val="left"/>
              <w:rPr>
                <w:rFonts w:ascii="Open Sans" w:hAnsi="Open Sans" w:cs="Open Sans"/>
                <w:b w:val="0"/>
              </w:rPr>
            </w:pPr>
            <w:r w:rsidRPr="00124214">
              <w:rPr>
                <w:rFonts w:ascii="Open Sans" w:hAnsi="Open Sans" w:cs="Open Sans"/>
                <w:b w:val="0"/>
              </w:rPr>
              <w:t>A02:2021 – Cryptographic Failures</w:t>
            </w:r>
          </w:p>
        </w:tc>
        <w:tc>
          <w:tcPr>
            <w:tcW w:w="1530" w:type="dxa"/>
          </w:tcPr>
          <w:p w14:paraId="28670FD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D7FF6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6CF64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6B27F9B"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CDCFA6" w14:textId="77777777" w:rsidR="0080119A" w:rsidRPr="007675B2" w:rsidRDefault="0080119A" w:rsidP="00F84758">
            <w:pPr>
              <w:ind w:right="657"/>
              <w:jc w:val="left"/>
              <w:rPr>
                <w:rFonts w:ascii="Open Sans" w:hAnsi="Open Sans" w:cs="Open Sans"/>
                <w:b w:val="0"/>
              </w:rPr>
            </w:pPr>
            <w:r w:rsidRPr="00124214">
              <w:rPr>
                <w:rFonts w:ascii="Open Sans" w:hAnsi="Open Sans" w:cs="Open Sans"/>
                <w:b w:val="0"/>
              </w:rPr>
              <w:t>A03:2021 – Injection</w:t>
            </w:r>
          </w:p>
        </w:tc>
        <w:tc>
          <w:tcPr>
            <w:tcW w:w="1530" w:type="dxa"/>
          </w:tcPr>
          <w:p w14:paraId="70A3DF3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B6CE2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10204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4E9835CC"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D65245" w14:textId="77777777" w:rsidR="0080119A" w:rsidRPr="007675B2" w:rsidRDefault="0080119A" w:rsidP="00F84758">
            <w:pPr>
              <w:ind w:right="657"/>
              <w:jc w:val="left"/>
              <w:rPr>
                <w:rFonts w:ascii="Open Sans" w:hAnsi="Open Sans" w:cs="Open Sans"/>
                <w:b w:val="0"/>
              </w:rPr>
            </w:pPr>
            <w:r>
              <w:rPr>
                <w:rFonts w:ascii="Open Sans" w:hAnsi="Open Sans" w:cs="Open Sans"/>
                <w:b w:val="0"/>
              </w:rPr>
              <w:t xml:space="preserve">A04-2021 - </w:t>
            </w:r>
          </w:p>
        </w:tc>
        <w:tc>
          <w:tcPr>
            <w:tcW w:w="1530" w:type="dxa"/>
          </w:tcPr>
          <w:p w14:paraId="011F0FA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A8A42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AD68B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D11EC5E"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54C377" w14:textId="77777777" w:rsidR="0080119A" w:rsidRPr="007675B2" w:rsidRDefault="0080119A" w:rsidP="00F84758">
            <w:pPr>
              <w:ind w:right="657"/>
              <w:jc w:val="left"/>
              <w:rPr>
                <w:rFonts w:ascii="Open Sans" w:hAnsi="Open Sans" w:cs="Open Sans"/>
                <w:b w:val="0"/>
              </w:rPr>
            </w:pPr>
            <w:r>
              <w:rPr>
                <w:rFonts w:ascii="Open Sans" w:hAnsi="Open Sans" w:cs="Open Sans"/>
                <w:b w:val="0"/>
              </w:rPr>
              <w:t>A…</w:t>
            </w:r>
          </w:p>
        </w:tc>
        <w:tc>
          <w:tcPr>
            <w:tcW w:w="1530" w:type="dxa"/>
          </w:tcPr>
          <w:p w14:paraId="0EDB810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F29AE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2C645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3A5A3AB" w14:textId="77777777" w:rsidR="0080119A" w:rsidRPr="004207FB" w:rsidRDefault="0080119A" w:rsidP="0080119A">
      <w:pPr>
        <w:ind w:left="0" w:right="657"/>
        <w:rPr>
          <w:i/>
          <w:sz w:val="14"/>
        </w:rPr>
      </w:pPr>
      <w:r>
        <w:rPr>
          <w:i/>
          <w:sz w:val="14"/>
        </w:rPr>
        <w:t xml:space="preserve">Table 2: OWASP 2021 Top Ten Rules </w:t>
      </w:r>
    </w:p>
    <w:p w14:paraId="1484C8F1" w14:textId="77777777" w:rsidR="0080119A" w:rsidRDefault="0080119A" w:rsidP="0080119A">
      <w:pPr>
        <w:pStyle w:val="BodyContent"/>
        <w:ind w:right="657"/>
        <w:jc w:val="center"/>
        <w:rPr>
          <w:rFonts w:ascii="Calibri" w:eastAsia="Calibri" w:hAnsi="Calibri"/>
          <w:bCs/>
          <w:i/>
          <w:noProof/>
          <w:color w:val="auto"/>
          <w:sz w:val="20"/>
          <w:szCs w:val="22"/>
        </w:rPr>
      </w:pPr>
    </w:p>
    <w:p w14:paraId="451D75A8" w14:textId="77777777" w:rsidR="0080119A" w:rsidRDefault="0080119A" w:rsidP="0080119A">
      <w:pPr>
        <w:spacing w:after="0" w:line="240" w:lineRule="auto"/>
        <w:ind w:left="0" w:right="657"/>
        <w:jc w:val="left"/>
        <w:rPr>
          <w:rFonts w:eastAsia="Calibri"/>
          <w:lang w:eastAsia="en-US"/>
        </w:rPr>
      </w:pPr>
      <w:r>
        <w:rPr>
          <w:rFonts w:eastAsia="Calibri"/>
          <w:lang w:eastAsia="en-US"/>
        </w:rPr>
        <w:br w:type="page"/>
      </w:r>
    </w:p>
    <w:p w14:paraId="1637790A" w14:textId="77777777" w:rsidR="0080119A" w:rsidRPr="00212651" w:rsidRDefault="0080119A" w:rsidP="0080119A">
      <w:pPr>
        <w:pStyle w:val="Heading2"/>
        <w:spacing w:after="0"/>
        <w:ind w:left="540" w:right="657" w:hanging="540"/>
        <w:rPr>
          <w:rFonts w:eastAsia="Calibri"/>
        </w:rPr>
      </w:pPr>
      <w:bookmarkStart w:id="49" w:name="_Toc531865300"/>
      <w:bookmarkStart w:id="50" w:name="_Toc531949429"/>
      <w:bookmarkStart w:id="51" w:name="_Toc531949639"/>
      <w:bookmarkStart w:id="52" w:name="_Toc86246469"/>
      <w:bookmarkStart w:id="53" w:name="_Toc86247683"/>
      <w:bookmarkStart w:id="54" w:name="_Toc86247816"/>
      <w:bookmarkStart w:id="55" w:name="_Toc86299288"/>
      <w:bookmarkStart w:id="56" w:name="_Toc88633604"/>
      <w:r>
        <w:rPr>
          <w:rFonts w:eastAsia="Calibri"/>
          <w:lang w:val="en-US"/>
        </w:rPr>
        <w:lastRenderedPageBreak/>
        <w:t xml:space="preserve">OWASP </w:t>
      </w:r>
      <w:bookmarkEnd w:id="49"/>
      <w:bookmarkEnd w:id="50"/>
      <w:bookmarkEnd w:id="51"/>
      <w:r w:rsidRPr="00AB65F3">
        <w:rPr>
          <w:rFonts w:eastAsia="Calibri"/>
          <w:lang w:val="en-US"/>
        </w:rPr>
        <w:t>A01:2021 – Broken Access Control</w:t>
      </w:r>
      <w:bookmarkEnd w:id="52"/>
      <w:bookmarkEnd w:id="53"/>
      <w:bookmarkEnd w:id="54"/>
      <w:bookmarkEnd w:id="55"/>
      <w:bookmarkEnd w:id="56"/>
    </w:p>
    <w:p w14:paraId="692B214A" w14:textId="77777777" w:rsidR="0080119A" w:rsidRDefault="0080119A" w:rsidP="0080119A">
      <w:pPr>
        <w:pStyle w:val="BodyContent"/>
        <w:ind w:right="657"/>
        <w:rPr>
          <w:rFonts w:asciiTheme="minorHAnsi" w:hAnsiTheme="minorHAnsi" w:cstheme="minorHAnsi"/>
          <w:sz w:val="20"/>
          <w:szCs w:val="20"/>
        </w:rPr>
      </w:pPr>
    </w:p>
    <w:p w14:paraId="36A8F79D" w14:textId="77777777" w:rsidR="0080119A" w:rsidRPr="00AB65F3" w:rsidRDefault="0080119A" w:rsidP="0080119A">
      <w:pPr>
        <w:pStyle w:val="BodyContent"/>
        <w:ind w:right="657"/>
        <w:rPr>
          <w:rFonts w:asciiTheme="minorHAnsi" w:hAnsiTheme="minorHAnsi" w:cstheme="minorHAnsi"/>
          <w:sz w:val="20"/>
          <w:szCs w:val="20"/>
        </w:rPr>
      </w:pPr>
      <w:r w:rsidRPr="00AB65F3">
        <w:rPr>
          <w:rFonts w:asciiTheme="minorHAnsi" w:hAnsiTheme="minorHAnsi" w:cstheme="minorHAnsi"/>
          <w:sz w:val="20"/>
          <w:szCs w:val="20"/>
        </w:rPr>
        <w:t>Access control enforces policy such that users cannot act outside of their intended permissions. Failures typically lead to unauthorized information disclosure, modification, or destruction of all data or performing a business function outside the user's limits. Common access control vulnerabilities include:</w:t>
      </w:r>
    </w:p>
    <w:p w14:paraId="0B3012D0"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 xml:space="preserve">Violation of the principle of least privilege or deny by default, where access should only be granted for </w:t>
      </w:r>
      <w:proofErr w:type="gramStart"/>
      <w:r w:rsidRPr="00AB65F3">
        <w:rPr>
          <w:rFonts w:asciiTheme="minorHAnsi" w:hAnsiTheme="minorHAnsi" w:cstheme="minorHAnsi"/>
          <w:sz w:val="20"/>
          <w:szCs w:val="20"/>
        </w:rPr>
        <w:t>particular capabilities</w:t>
      </w:r>
      <w:proofErr w:type="gramEnd"/>
      <w:r w:rsidRPr="00AB65F3">
        <w:rPr>
          <w:rFonts w:asciiTheme="minorHAnsi" w:hAnsiTheme="minorHAnsi" w:cstheme="minorHAnsi"/>
          <w:sz w:val="20"/>
          <w:szCs w:val="20"/>
        </w:rPr>
        <w:t>, roles, or users, but is available to anyone.</w:t>
      </w:r>
    </w:p>
    <w:p w14:paraId="4E4E61B2"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Bypassing access control checks by modifying the URL (parameter tampering or force browsing), internal application state, or the HTML page, or by using an attack tool modifying API requests.</w:t>
      </w:r>
    </w:p>
    <w:p w14:paraId="3006C2FB"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Permitting viewing or editing someone else's account, by providing its unique identifier (insecure direct object references)</w:t>
      </w:r>
    </w:p>
    <w:p w14:paraId="0E72DE72"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Accessing API with missing access controls for POST, PUT and DELETE.</w:t>
      </w:r>
    </w:p>
    <w:p w14:paraId="67CC64EC"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Elevation of privilege. Acting as a user without being logged in or acting as an admin when logged in as a user.</w:t>
      </w:r>
    </w:p>
    <w:p w14:paraId="2748A3B4"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Metadata manipulation, such as replaying or tampering with a JSON Web Token (JWT) access control token, or a cookie or hidden field manipulated to elevate privileges or abusing JWT invalidation.</w:t>
      </w:r>
    </w:p>
    <w:p w14:paraId="28BCEE6F"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CORS misconfiguration allows API access from unauthorized/untrusted origins.</w:t>
      </w:r>
    </w:p>
    <w:p w14:paraId="7313DB15" w14:textId="77777777" w:rsidR="0080119A"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 xml:space="preserve">Force browsing to authenticated pages as an unauthenticated user or to privileged pages as a standard user. </w:t>
      </w:r>
    </w:p>
    <w:p w14:paraId="5BC8AEC3" w14:textId="77777777" w:rsidR="0080119A" w:rsidRDefault="0080119A" w:rsidP="0080119A">
      <w:pPr>
        <w:pStyle w:val="BodyContent"/>
        <w:ind w:left="360" w:right="657"/>
        <w:rPr>
          <w:rFonts w:asciiTheme="minorHAnsi" w:hAnsiTheme="minorHAnsi" w:cstheme="minorHAnsi"/>
          <w:sz w:val="20"/>
          <w:szCs w:val="20"/>
        </w:rPr>
      </w:pPr>
      <w:r>
        <w:rPr>
          <w:rFonts w:asciiTheme="minorHAnsi" w:hAnsiTheme="minorHAnsi" w:cstheme="minorHAnsi"/>
          <w:sz w:val="20"/>
          <w:szCs w:val="20"/>
        </w:rPr>
        <w:t xml:space="preserve">List of </w:t>
      </w:r>
      <w:r w:rsidRPr="00124214">
        <w:rPr>
          <w:rFonts w:asciiTheme="minorHAnsi" w:hAnsiTheme="minorHAnsi" w:cstheme="minorHAnsi"/>
          <w:sz w:val="20"/>
          <w:szCs w:val="20"/>
        </w:rPr>
        <w:t>A01:2021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01-2021"/>
      </w:tblPr>
      <w:tblGrid>
        <w:gridCol w:w="4675"/>
        <w:gridCol w:w="1440"/>
        <w:gridCol w:w="1620"/>
        <w:gridCol w:w="1530"/>
      </w:tblGrid>
      <w:tr w:rsidR="0080119A" w:rsidRPr="00AC5F7C" w14:paraId="5DA44D83" w14:textId="77777777" w:rsidTr="00F847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CE54BAD"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39507B6"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47559F1E"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3AC61F1C"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0AFE8CF4"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3E7A5A"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Pr>
          <w:p w14:paraId="0EE8876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99FDA9C"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248C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54AF075D"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7228E2"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5097417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5B64FA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19F3E9"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0C2846F3"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BA4CD5"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5B225D3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06019D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CD4DA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4C157C87"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369EDD"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4A793BC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F83E8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83B07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8185730"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5722FA"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7CE5CC2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6D5CD69"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35F58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8D5B9E9" w14:textId="77777777" w:rsidR="0080119A" w:rsidRDefault="0080119A" w:rsidP="0080119A">
      <w:pPr>
        <w:spacing w:after="0" w:line="240" w:lineRule="auto"/>
        <w:ind w:left="0"/>
        <w:jc w:val="left"/>
        <w:rPr>
          <w:rFonts w:eastAsia="Calibri"/>
          <w:lang w:eastAsia="en-US"/>
        </w:rPr>
      </w:pPr>
    </w:p>
    <w:p w14:paraId="0A49E196" w14:textId="77777777" w:rsidR="0080119A" w:rsidRDefault="0080119A" w:rsidP="0080119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w:t>
      </w:r>
      <w:r w:rsidRPr="00AB65F3">
        <w:t xml:space="preserve"> </w:t>
      </w:r>
      <w:r w:rsidRPr="00AB65F3">
        <w:rPr>
          <w:rFonts w:ascii="Verdana" w:hAnsi="Verdana"/>
          <w:i/>
          <w:sz w:val="14"/>
        </w:rPr>
        <w:t>A01:2021 – Broken Access Control</w:t>
      </w:r>
      <w:r w:rsidRPr="00685F30">
        <w:rPr>
          <w:rFonts w:ascii="Verdana" w:hAnsi="Verdana"/>
          <w:i/>
          <w:sz w:val="14"/>
        </w:rPr>
        <w:t xml:space="preserve"> </w:t>
      </w:r>
      <w:r>
        <w:rPr>
          <w:rFonts w:ascii="Verdana" w:hAnsi="Verdana"/>
          <w:i/>
          <w:sz w:val="14"/>
        </w:rPr>
        <w:t>Vulnerabilities</w:t>
      </w:r>
    </w:p>
    <w:p w14:paraId="4F5FE4F9" w14:textId="77777777" w:rsidR="0080119A" w:rsidRDefault="0080119A" w:rsidP="0080119A">
      <w:pPr>
        <w:pStyle w:val="BodyContent"/>
        <w:ind w:right="657"/>
        <w:rPr>
          <w:rFonts w:ascii="Verdana" w:hAnsi="Verdana" w:cstheme="minorHAnsi"/>
          <w:sz w:val="20"/>
          <w:szCs w:val="20"/>
        </w:rPr>
      </w:pPr>
    </w:p>
    <w:p w14:paraId="2CE0081D" w14:textId="77777777" w:rsidR="0080119A" w:rsidRDefault="0080119A" w:rsidP="0080119A">
      <w:pPr>
        <w:spacing w:after="0" w:line="240" w:lineRule="auto"/>
        <w:ind w:left="0"/>
        <w:jc w:val="left"/>
        <w:rPr>
          <w:rFonts w:eastAsia="Calibri"/>
          <w:b/>
          <w:color w:val="336699"/>
          <w:sz w:val="20"/>
          <w:szCs w:val="16"/>
          <w:lang w:eastAsia="x-none"/>
        </w:rPr>
      </w:pPr>
      <w:bookmarkStart w:id="57" w:name="_Toc531865301"/>
      <w:bookmarkStart w:id="58" w:name="_Toc531949430"/>
      <w:bookmarkStart w:id="59" w:name="_Toc531949640"/>
      <w:bookmarkStart w:id="60" w:name="_Toc86246470"/>
      <w:bookmarkStart w:id="61" w:name="_Toc86247684"/>
      <w:bookmarkStart w:id="62" w:name="_Toc86247817"/>
      <w:r>
        <w:rPr>
          <w:rFonts w:eastAsia="Calibri"/>
        </w:rPr>
        <w:br w:type="page"/>
      </w:r>
    </w:p>
    <w:p w14:paraId="29A40A57" w14:textId="77777777" w:rsidR="0080119A" w:rsidRPr="002C5AC5" w:rsidRDefault="0080119A" w:rsidP="0080119A">
      <w:pPr>
        <w:pStyle w:val="Heading2"/>
        <w:spacing w:after="0"/>
        <w:ind w:left="540" w:right="657" w:hanging="540"/>
        <w:rPr>
          <w:rFonts w:asciiTheme="minorHAnsi" w:hAnsiTheme="minorHAnsi" w:cstheme="minorHAnsi"/>
          <w:szCs w:val="20"/>
        </w:rPr>
      </w:pPr>
      <w:bookmarkStart w:id="63" w:name="_Toc86299289"/>
      <w:bookmarkStart w:id="64" w:name="_Toc88633605"/>
      <w:r w:rsidRPr="002C5AC5">
        <w:rPr>
          <w:rFonts w:eastAsia="Calibri"/>
          <w:lang w:val="en-US"/>
        </w:rPr>
        <w:lastRenderedPageBreak/>
        <w:t xml:space="preserve">OWASP </w:t>
      </w:r>
      <w:bookmarkEnd w:id="57"/>
      <w:bookmarkEnd w:id="58"/>
      <w:bookmarkEnd w:id="59"/>
      <w:r w:rsidRPr="002C5AC5">
        <w:rPr>
          <w:rFonts w:eastAsia="Calibri"/>
          <w:lang w:val="en-US"/>
        </w:rPr>
        <w:t>A02:2021 – Cryptographic Failures</w:t>
      </w:r>
      <w:bookmarkEnd w:id="60"/>
      <w:bookmarkEnd w:id="61"/>
      <w:bookmarkEnd w:id="62"/>
      <w:bookmarkEnd w:id="63"/>
      <w:bookmarkEnd w:id="64"/>
    </w:p>
    <w:p w14:paraId="152D823A" w14:textId="77777777" w:rsidR="0080119A" w:rsidRPr="00A80636" w:rsidRDefault="0080119A" w:rsidP="0080119A">
      <w:pPr>
        <w:pStyle w:val="BodyContent"/>
        <w:ind w:right="657"/>
        <w:rPr>
          <w:rFonts w:asciiTheme="minorHAnsi" w:hAnsiTheme="minorHAnsi" w:cstheme="minorHAnsi"/>
          <w:sz w:val="20"/>
          <w:szCs w:val="20"/>
        </w:rPr>
      </w:pPr>
      <w:r w:rsidRPr="00A80636">
        <w:rPr>
          <w:rFonts w:asciiTheme="minorHAnsi" w:hAnsiTheme="minorHAnsi" w:cstheme="minorHAnsi"/>
          <w:sz w:val="20"/>
          <w:szCs w:val="20"/>
        </w:rPr>
        <w:t>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 For all such data:</w:t>
      </w:r>
    </w:p>
    <w:p w14:paraId="5651B415"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Is any data transmitted in clear text? This concerns protocols such as HTTP, SMTP, FTP also using TLS upgrades like STARTTLS. External internet traffic is hazardous. Verify all internal traffic, e.g., between load balancers, web servers, or back-end systems.</w:t>
      </w:r>
    </w:p>
    <w:p w14:paraId="17766E1C"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Are any old or weak cryptographic algorithms or protocols used either by default or in older code?</w:t>
      </w:r>
    </w:p>
    <w:p w14:paraId="356AF1E7"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Are default crypto keys in use, weak crypto keys generated or re-used, or is proper key management or rotation missing? Are crypto keys checked into source code repositories?</w:t>
      </w:r>
    </w:p>
    <w:p w14:paraId="62CEFA91"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Is encryption not enforced, e.g., are any HTTP headers (browser) security directives or headers missing?</w:t>
      </w:r>
    </w:p>
    <w:p w14:paraId="396F69BD"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Is the received server certificate and the trust chain properly validated?</w:t>
      </w:r>
    </w:p>
    <w:p w14:paraId="02384211"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Are initialization vectors ignored, reused, or not generated sufficiently secure for the cryptographic mode of operation? Is an insecure mode of operation such as ECB in use? Is encryption used when authenticated encryption is more appropriate?</w:t>
      </w:r>
    </w:p>
    <w:p w14:paraId="434B47D0"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Are passwords being used as cryptographic keys in absence of a password base key derivation function?</w:t>
      </w:r>
    </w:p>
    <w:p w14:paraId="3A0ED4E6"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Is randomness used for cryptographic purposes that was not designed to meet cryptographic requirements? Even if the correct function is chosen, does it need to be seeded by the developer, and if not, has the developer over-written the strong seeding functionality built into it with a seed that lacks sufficient entropy/unpredictability?</w:t>
      </w:r>
    </w:p>
    <w:p w14:paraId="660A6055"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Are deprecated hash functions such as MD5 or SHA1 in use, or are non-cryptographic hash functions used when cryptographic hash functions are needed?</w:t>
      </w:r>
    </w:p>
    <w:p w14:paraId="371E827C"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Are deprecated cryptographic padding methods such as PCKS number 1 v1.5 in use?</w:t>
      </w:r>
    </w:p>
    <w:p w14:paraId="28808E37" w14:textId="77777777" w:rsidR="0080119A" w:rsidRDefault="0080119A" w:rsidP="0080119A">
      <w:pPr>
        <w:pStyle w:val="BodyContent"/>
        <w:numPr>
          <w:ilvl w:val="0"/>
          <w:numId w:val="15"/>
        </w:numPr>
        <w:ind w:right="657"/>
        <w:rPr>
          <w:rFonts w:ascii="Arial" w:hAnsi="Arial" w:cs="Arial"/>
          <w:color w:val="252525"/>
          <w:sz w:val="21"/>
          <w:szCs w:val="21"/>
          <w:shd w:val="clear" w:color="auto" w:fill="F2F1FF"/>
        </w:rPr>
      </w:pPr>
      <w:r w:rsidRPr="00A80636">
        <w:rPr>
          <w:rFonts w:asciiTheme="minorHAnsi" w:hAnsiTheme="minorHAnsi" w:cstheme="minorHAnsi"/>
          <w:sz w:val="20"/>
          <w:szCs w:val="20"/>
        </w:rPr>
        <w:t xml:space="preserve">Are cryptographic error messages or side channel information exploitable, for example in the form of padding oracle </w:t>
      </w:r>
      <w:proofErr w:type="gramStart"/>
      <w:r w:rsidRPr="00A80636">
        <w:rPr>
          <w:rFonts w:asciiTheme="minorHAnsi" w:hAnsiTheme="minorHAnsi" w:cstheme="minorHAnsi"/>
          <w:sz w:val="20"/>
          <w:szCs w:val="20"/>
        </w:rPr>
        <w:t>attacks?</w:t>
      </w:r>
      <w:r w:rsidRPr="00243FCD">
        <w:rPr>
          <w:rFonts w:asciiTheme="minorHAnsi" w:hAnsiTheme="minorHAnsi" w:cstheme="minorHAnsi"/>
          <w:sz w:val="20"/>
          <w:szCs w:val="20"/>
        </w:rPr>
        <w:t>.</w:t>
      </w:r>
      <w:proofErr w:type="gramEnd"/>
    </w:p>
    <w:p w14:paraId="66DC8C2D"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A80636">
        <w:rPr>
          <w:rFonts w:asciiTheme="minorHAnsi" w:hAnsiTheme="minorHAnsi" w:cstheme="minorHAnsi"/>
          <w:sz w:val="20"/>
          <w:szCs w:val="20"/>
        </w:rPr>
        <w:t>A02:2021 – Cryptographic Failures</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02-2021"/>
      </w:tblPr>
      <w:tblGrid>
        <w:gridCol w:w="4675"/>
        <w:gridCol w:w="1440"/>
        <w:gridCol w:w="1620"/>
        <w:gridCol w:w="1530"/>
      </w:tblGrid>
      <w:tr w:rsidR="0080119A" w:rsidRPr="00AC5F7C" w14:paraId="22AFBF6E" w14:textId="77777777" w:rsidTr="00F847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5FA7D07"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59B57D9"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138605AA"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1793F878"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17C5D04A"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4F9C67"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Pr>
          <w:p w14:paraId="482FF329"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2903A4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1842C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2B52D380"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D4691F"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61D1939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018E79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78975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88D6D42"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88A8BF"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4CBE79A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24E0CC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4E0E7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45665052"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A52CC9"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4FB3CA2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F5EF74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273E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C2D863B"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2431FC"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649E3C0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570D9B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C2CB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838689" w14:textId="77777777" w:rsidR="0080119A" w:rsidRDefault="0080119A" w:rsidP="0080119A">
      <w:pPr>
        <w:spacing w:after="0" w:line="240" w:lineRule="auto"/>
        <w:ind w:left="0"/>
        <w:jc w:val="left"/>
        <w:rPr>
          <w:rFonts w:eastAsia="Calibri"/>
          <w:lang w:eastAsia="en-US"/>
        </w:rPr>
      </w:pPr>
    </w:p>
    <w:p w14:paraId="35CD0E69" w14:textId="77777777" w:rsidR="0080119A" w:rsidRDefault="0080119A" w:rsidP="0080119A">
      <w:pPr>
        <w:spacing w:after="0" w:line="240" w:lineRule="auto"/>
        <w:ind w:left="0"/>
        <w:jc w:val="left"/>
        <w:rPr>
          <w:rFonts w:eastAsia="Calibri"/>
          <w:lang w:eastAsia="en-US"/>
        </w:rPr>
      </w:pPr>
    </w:p>
    <w:p w14:paraId="16AEA76A" w14:textId="77777777" w:rsidR="0080119A" w:rsidRDefault="0080119A" w:rsidP="0080119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Pr="00A80636">
        <w:rPr>
          <w:rFonts w:ascii="Verdana" w:hAnsi="Verdana"/>
          <w:i/>
          <w:sz w:val="14"/>
        </w:rPr>
        <w:t>A02:2021 – Cryptographic Failures</w:t>
      </w:r>
      <w:r>
        <w:rPr>
          <w:rFonts w:ascii="Verdana" w:hAnsi="Verdana"/>
          <w:i/>
          <w:sz w:val="14"/>
        </w:rPr>
        <w:t xml:space="preserve"> Vulnerabilities</w:t>
      </w:r>
    </w:p>
    <w:p w14:paraId="45595C1C" w14:textId="77777777" w:rsidR="0080119A" w:rsidRDefault="0080119A" w:rsidP="0080119A">
      <w:pPr>
        <w:spacing w:after="0" w:line="240" w:lineRule="auto"/>
        <w:ind w:left="0"/>
        <w:jc w:val="left"/>
        <w:rPr>
          <w:rFonts w:eastAsia="Perpetua"/>
          <w:i/>
          <w:color w:val="000000"/>
          <w:sz w:val="14"/>
          <w:szCs w:val="24"/>
          <w:lang w:eastAsia="en-US"/>
        </w:rPr>
      </w:pPr>
      <w:r>
        <w:rPr>
          <w:i/>
          <w:sz w:val="14"/>
        </w:rPr>
        <w:br w:type="page"/>
      </w:r>
    </w:p>
    <w:p w14:paraId="102F6668" w14:textId="77777777" w:rsidR="0080119A" w:rsidRPr="00212651" w:rsidRDefault="0080119A" w:rsidP="0080119A">
      <w:pPr>
        <w:pStyle w:val="Heading2"/>
        <w:spacing w:after="0"/>
        <w:ind w:left="540" w:right="657" w:hanging="540"/>
        <w:rPr>
          <w:rFonts w:eastAsia="Calibri"/>
        </w:rPr>
      </w:pPr>
      <w:bookmarkStart w:id="65" w:name="_Toc531865302"/>
      <w:bookmarkStart w:id="66" w:name="_Toc531949431"/>
      <w:bookmarkStart w:id="67" w:name="_Toc531949641"/>
      <w:bookmarkStart w:id="68" w:name="_Toc86246471"/>
      <w:bookmarkStart w:id="69" w:name="_Toc86247685"/>
      <w:bookmarkStart w:id="70" w:name="_Toc86247818"/>
      <w:bookmarkStart w:id="71" w:name="_Toc86299290"/>
      <w:bookmarkStart w:id="72" w:name="_Toc88633606"/>
      <w:r>
        <w:rPr>
          <w:rFonts w:eastAsia="Calibri"/>
          <w:lang w:val="en-US"/>
        </w:rPr>
        <w:lastRenderedPageBreak/>
        <w:t xml:space="preserve">OWASP </w:t>
      </w:r>
      <w:bookmarkEnd w:id="65"/>
      <w:bookmarkEnd w:id="66"/>
      <w:bookmarkEnd w:id="67"/>
      <w:r w:rsidRPr="00124214">
        <w:rPr>
          <w:rFonts w:eastAsia="Calibri"/>
          <w:lang w:val="en-US"/>
        </w:rPr>
        <w:t>A03:2021 – Injection</w:t>
      </w:r>
      <w:bookmarkEnd w:id="68"/>
      <w:bookmarkEnd w:id="69"/>
      <w:bookmarkEnd w:id="70"/>
      <w:bookmarkEnd w:id="71"/>
      <w:bookmarkEnd w:id="72"/>
    </w:p>
    <w:p w14:paraId="05785B28" w14:textId="77777777" w:rsidR="0080119A" w:rsidRDefault="0080119A" w:rsidP="0080119A">
      <w:pPr>
        <w:pStyle w:val="BodyContent"/>
        <w:ind w:right="657"/>
        <w:rPr>
          <w:rFonts w:asciiTheme="minorHAnsi" w:hAnsiTheme="minorHAnsi" w:cstheme="minorHAnsi"/>
          <w:sz w:val="20"/>
          <w:szCs w:val="20"/>
        </w:rPr>
      </w:pPr>
    </w:p>
    <w:p w14:paraId="754DC9EC" w14:textId="77777777" w:rsidR="0080119A" w:rsidRPr="00124214" w:rsidRDefault="0080119A" w:rsidP="0080119A">
      <w:pPr>
        <w:pStyle w:val="BodyContent"/>
        <w:ind w:right="657"/>
        <w:rPr>
          <w:rFonts w:asciiTheme="minorHAnsi" w:hAnsiTheme="minorHAnsi" w:cstheme="minorHAnsi"/>
          <w:sz w:val="20"/>
          <w:szCs w:val="20"/>
        </w:rPr>
      </w:pPr>
      <w:r w:rsidRPr="00124214">
        <w:rPr>
          <w:rFonts w:asciiTheme="minorHAnsi" w:hAnsiTheme="minorHAnsi" w:cstheme="minorHAnsi"/>
          <w:sz w:val="20"/>
          <w:szCs w:val="20"/>
        </w:rPr>
        <w:t>An application is vulnerable to attack when:</w:t>
      </w:r>
    </w:p>
    <w:p w14:paraId="44484C02" w14:textId="77777777" w:rsidR="0080119A" w:rsidRPr="00124214" w:rsidRDefault="0080119A" w:rsidP="0080119A">
      <w:pPr>
        <w:pStyle w:val="BodyContent"/>
        <w:numPr>
          <w:ilvl w:val="0"/>
          <w:numId w:val="14"/>
        </w:numPr>
        <w:ind w:right="657"/>
        <w:rPr>
          <w:rFonts w:asciiTheme="minorHAnsi" w:hAnsiTheme="minorHAnsi" w:cstheme="minorHAnsi"/>
          <w:sz w:val="20"/>
          <w:szCs w:val="20"/>
        </w:rPr>
      </w:pPr>
      <w:r w:rsidRPr="00124214">
        <w:rPr>
          <w:rFonts w:asciiTheme="minorHAnsi" w:hAnsiTheme="minorHAnsi" w:cstheme="minorHAnsi"/>
          <w:sz w:val="20"/>
          <w:szCs w:val="20"/>
        </w:rPr>
        <w:t>User-supplied data is not validated, filtered, or sanitized by the application.</w:t>
      </w:r>
    </w:p>
    <w:p w14:paraId="2498CA83" w14:textId="77777777" w:rsidR="0080119A" w:rsidRPr="00124214" w:rsidRDefault="0080119A" w:rsidP="0080119A">
      <w:pPr>
        <w:pStyle w:val="BodyContent"/>
        <w:numPr>
          <w:ilvl w:val="0"/>
          <w:numId w:val="14"/>
        </w:numPr>
        <w:ind w:right="657"/>
        <w:rPr>
          <w:rFonts w:asciiTheme="minorHAnsi" w:hAnsiTheme="minorHAnsi" w:cstheme="minorHAnsi"/>
          <w:sz w:val="20"/>
          <w:szCs w:val="20"/>
        </w:rPr>
      </w:pPr>
      <w:r w:rsidRPr="00124214">
        <w:rPr>
          <w:rFonts w:asciiTheme="minorHAnsi" w:hAnsiTheme="minorHAnsi" w:cstheme="minorHAnsi"/>
          <w:sz w:val="20"/>
          <w:szCs w:val="20"/>
        </w:rPr>
        <w:t>Dynamic queries or non-parameterized calls without context-aware escaping are used directly in the interpreter.</w:t>
      </w:r>
    </w:p>
    <w:p w14:paraId="149DB8A4" w14:textId="77777777" w:rsidR="0080119A" w:rsidRPr="00124214" w:rsidRDefault="0080119A" w:rsidP="0080119A">
      <w:pPr>
        <w:pStyle w:val="BodyContent"/>
        <w:numPr>
          <w:ilvl w:val="0"/>
          <w:numId w:val="14"/>
        </w:numPr>
        <w:ind w:right="657"/>
        <w:rPr>
          <w:rFonts w:asciiTheme="minorHAnsi" w:hAnsiTheme="minorHAnsi" w:cstheme="minorHAnsi"/>
          <w:sz w:val="20"/>
          <w:szCs w:val="20"/>
        </w:rPr>
      </w:pPr>
      <w:r w:rsidRPr="00124214">
        <w:rPr>
          <w:rFonts w:asciiTheme="minorHAnsi" w:hAnsiTheme="minorHAnsi" w:cstheme="minorHAnsi"/>
          <w:sz w:val="20"/>
          <w:szCs w:val="20"/>
        </w:rPr>
        <w:t>Hostile data is used within object-relational mapping (ORM) search parameters to extract additional, sensitive records.</w:t>
      </w:r>
    </w:p>
    <w:p w14:paraId="01C13623" w14:textId="77777777" w:rsidR="0080119A" w:rsidRPr="00124214" w:rsidRDefault="0080119A" w:rsidP="0080119A">
      <w:pPr>
        <w:pStyle w:val="BodyContent"/>
        <w:numPr>
          <w:ilvl w:val="0"/>
          <w:numId w:val="14"/>
        </w:numPr>
        <w:ind w:right="657"/>
        <w:rPr>
          <w:rFonts w:asciiTheme="minorHAnsi" w:hAnsiTheme="minorHAnsi" w:cstheme="minorHAnsi"/>
          <w:sz w:val="20"/>
          <w:szCs w:val="20"/>
        </w:rPr>
      </w:pPr>
      <w:r w:rsidRPr="00124214">
        <w:rPr>
          <w:rFonts w:asciiTheme="minorHAnsi" w:hAnsiTheme="minorHAnsi" w:cstheme="minorHAnsi"/>
          <w:sz w:val="20"/>
          <w:szCs w:val="20"/>
        </w:rPr>
        <w:t>Hostile data is directly used or concatenated. The SQL or command contains the structure and malicious data in dynamic queries, commands, or stored procedures.</w:t>
      </w:r>
    </w:p>
    <w:p w14:paraId="6C4685EC" w14:textId="77777777" w:rsidR="0080119A" w:rsidRDefault="0080119A" w:rsidP="0080119A">
      <w:pPr>
        <w:pStyle w:val="BodyContent"/>
        <w:ind w:right="657"/>
        <w:rPr>
          <w:rFonts w:asciiTheme="minorHAnsi" w:hAnsiTheme="minorHAnsi" w:cstheme="minorHAnsi"/>
          <w:sz w:val="20"/>
          <w:szCs w:val="20"/>
        </w:rPr>
      </w:pPr>
      <w:r w:rsidRPr="00124214">
        <w:rPr>
          <w:rFonts w:asciiTheme="minorHAnsi" w:hAnsiTheme="minorHAnsi" w:cstheme="minorHAnsi"/>
          <w:sz w:val="20"/>
          <w:szCs w:val="20"/>
        </w:rPr>
        <w:t>Some of the more common injections are SQL, NoSQL, OS command, Object Relational Mapping (ORM), LDAP, and Expression Language (EL) or Object Graph Navigation Library (OGNL) injection. The concept is identical among all interpreters. Source code review is the best method of detecting if applications are vulnerable to injections. Automated testing of all parameters, headers, URL, cookies, JSON, SOAP, and XML data inputs is strongly encouraged</w:t>
      </w:r>
      <w:r>
        <w:rPr>
          <w:rFonts w:asciiTheme="minorHAnsi" w:hAnsiTheme="minorHAnsi" w:cstheme="minorHAnsi"/>
          <w:sz w:val="20"/>
          <w:szCs w:val="20"/>
        </w:rPr>
        <w:t>.</w:t>
      </w:r>
    </w:p>
    <w:p w14:paraId="688CAB31"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List of A3-Sensitive Data Exposure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3-2021"/>
      </w:tblPr>
      <w:tblGrid>
        <w:gridCol w:w="4675"/>
        <w:gridCol w:w="1440"/>
        <w:gridCol w:w="1530"/>
        <w:gridCol w:w="1355"/>
      </w:tblGrid>
      <w:tr w:rsidR="0080119A" w:rsidRPr="00AC5F7C" w14:paraId="7AAB11CD" w14:textId="77777777" w:rsidTr="00F847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7905C53"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832E112"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52F178BB"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14B18E41"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23F41920"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6DC89"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Pr>
          <w:p w14:paraId="40D73F5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703E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E4E112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2937A5F3"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496F2"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21CFB63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8DBF2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0EA57D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7A386F6F"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E61785"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542124A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88049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B25F51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4801E4BD"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17EDBB"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4B081B3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09DA1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201540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5B833F4"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B11016"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22C2E54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27AA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087684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ADC81E" w14:textId="77777777" w:rsidR="0080119A" w:rsidRDefault="0080119A" w:rsidP="0080119A">
      <w:pPr>
        <w:pStyle w:val="BodyContent"/>
        <w:ind w:right="657"/>
        <w:rPr>
          <w:rFonts w:ascii="Verdana" w:hAnsi="Verdana"/>
          <w:i/>
          <w:sz w:val="14"/>
        </w:rPr>
      </w:pPr>
    </w:p>
    <w:p w14:paraId="63E314BE" w14:textId="77777777" w:rsidR="0080119A" w:rsidRDefault="0080119A" w:rsidP="0080119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Pr="00A80636">
        <w:rPr>
          <w:rFonts w:ascii="Verdana" w:hAnsi="Verdana"/>
          <w:i/>
          <w:sz w:val="14"/>
        </w:rPr>
        <w:t>A03:2021 – Injection</w:t>
      </w:r>
      <w:r>
        <w:rPr>
          <w:rFonts w:ascii="Verdana" w:hAnsi="Verdana"/>
          <w:i/>
          <w:sz w:val="14"/>
        </w:rPr>
        <w:t xml:space="preserve"> Vulnerabilities</w:t>
      </w:r>
    </w:p>
    <w:p w14:paraId="199FA1CE" w14:textId="77777777" w:rsidR="0080119A" w:rsidRDefault="0080119A" w:rsidP="0080119A">
      <w:pPr>
        <w:pStyle w:val="BodyContent"/>
        <w:ind w:right="657"/>
        <w:rPr>
          <w:rFonts w:ascii="Verdana" w:hAnsi="Verdana"/>
          <w:i/>
          <w:sz w:val="14"/>
        </w:rPr>
      </w:pPr>
    </w:p>
    <w:p w14:paraId="1C0F1B14" w14:textId="77777777" w:rsidR="0080119A" w:rsidRDefault="0080119A" w:rsidP="0080119A">
      <w:pPr>
        <w:spacing w:after="0" w:line="240" w:lineRule="auto"/>
        <w:ind w:left="0"/>
        <w:jc w:val="left"/>
        <w:rPr>
          <w:rFonts w:eastAsia="Calibri"/>
          <w:b/>
          <w:color w:val="336699"/>
          <w:sz w:val="20"/>
          <w:szCs w:val="16"/>
          <w:lang w:eastAsia="x-none"/>
        </w:rPr>
      </w:pPr>
      <w:bookmarkStart w:id="73" w:name="_Toc531865303"/>
      <w:bookmarkStart w:id="74" w:name="_Toc531949432"/>
      <w:bookmarkStart w:id="75" w:name="_Toc531949642"/>
      <w:bookmarkStart w:id="76" w:name="_Toc86246472"/>
      <w:bookmarkStart w:id="77" w:name="_Toc86247686"/>
      <w:bookmarkStart w:id="78" w:name="_Toc86247819"/>
      <w:bookmarkStart w:id="79" w:name="_Hlk531860421"/>
      <w:r>
        <w:rPr>
          <w:rFonts w:eastAsia="Calibri"/>
        </w:rPr>
        <w:br w:type="page"/>
      </w:r>
    </w:p>
    <w:p w14:paraId="0A8E8D6F" w14:textId="77777777" w:rsidR="0080119A" w:rsidRPr="00212651" w:rsidRDefault="0080119A" w:rsidP="0080119A">
      <w:pPr>
        <w:pStyle w:val="Heading2"/>
        <w:spacing w:after="0"/>
        <w:ind w:left="540" w:right="657" w:hanging="540"/>
        <w:rPr>
          <w:rFonts w:eastAsia="Calibri"/>
        </w:rPr>
      </w:pPr>
      <w:bookmarkStart w:id="80" w:name="_Toc86299291"/>
      <w:bookmarkStart w:id="81" w:name="_Toc88633607"/>
      <w:r>
        <w:rPr>
          <w:rFonts w:eastAsia="Calibri"/>
          <w:lang w:val="en-US"/>
        </w:rPr>
        <w:lastRenderedPageBreak/>
        <w:t xml:space="preserve">OWASP </w:t>
      </w:r>
      <w:bookmarkEnd w:id="73"/>
      <w:bookmarkEnd w:id="74"/>
      <w:bookmarkEnd w:id="75"/>
      <w:r w:rsidRPr="00A80636">
        <w:rPr>
          <w:rFonts w:eastAsia="Calibri"/>
          <w:lang w:val="en-US"/>
        </w:rPr>
        <w:t>A04:2021 – Insecure Design</w:t>
      </w:r>
      <w:bookmarkEnd w:id="76"/>
      <w:bookmarkEnd w:id="77"/>
      <w:bookmarkEnd w:id="78"/>
      <w:bookmarkEnd w:id="80"/>
      <w:bookmarkEnd w:id="81"/>
    </w:p>
    <w:p w14:paraId="19D49386" w14:textId="77777777" w:rsidR="0080119A" w:rsidRDefault="0080119A" w:rsidP="0080119A">
      <w:pPr>
        <w:pStyle w:val="BodyContent"/>
        <w:ind w:right="657"/>
        <w:rPr>
          <w:rFonts w:asciiTheme="minorHAnsi" w:hAnsiTheme="minorHAnsi" w:cstheme="minorHAnsi"/>
          <w:sz w:val="20"/>
          <w:szCs w:val="20"/>
        </w:rPr>
      </w:pPr>
    </w:p>
    <w:p w14:paraId="0B2C3800" w14:textId="77777777" w:rsidR="0080119A" w:rsidRDefault="0080119A" w:rsidP="0080119A">
      <w:pPr>
        <w:pStyle w:val="BodyContent"/>
        <w:ind w:right="657"/>
        <w:rPr>
          <w:rFonts w:asciiTheme="minorHAnsi" w:hAnsiTheme="minorHAnsi" w:cstheme="minorHAnsi"/>
          <w:sz w:val="20"/>
          <w:szCs w:val="20"/>
        </w:rPr>
      </w:pPr>
      <w:r w:rsidRPr="003D01E0">
        <w:rPr>
          <w:rFonts w:asciiTheme="minorHAnsi" w:hAnsiTheme="minorHAnsi" w:cstheme="minorHAnsi"/>
          <w:sz w:val="20"/>
          <w:szCs w:val="20"/>
        </w:rPr>
        <w:t xml:space="preserve">Insecure design is a broad category representing different weaknesses, expressed as “missing or ineffective control design.” Insecure design is not the source for all other Top 10 risk categories.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insecure design cannot be fixed by a perfect implementation as by definition, needed security controls were never created to defend against specific attacks. One of the factors that contribute to insecure design is the lack of business risk profiling inherent in the software or system being developed, and thus the failure to determine what level of security design is required. </w:t>
      </w:r>
    </w:p>
    <w:p w14:paraId="3A6D13F1"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D01E0">
        <w:rPr>
          <w:rFonts w:asciiTheme="minorHAnsi" w:hAnsiTheme="minorHAnsi" w:cstheme="minorHAnsi"/>
          <w:sz w:val="20"/>
          <w:szCs w:val="20"/>
        </w:rPr>
        <w:t xml:space="preserve">A04:2021 – Insecure Design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4-2021"/>
      </w:tblPr>
      <w:tblGrid>
        <w:gridCol w:w="4675"/>
        <w:gridCol w:w="1440"/>
        <w:gridCol w:w="1530"/>
        <w:gridCol w:w="1355"/>
      </w:tblGrid>
      <w:tr w:rsidR="0080119A" w:rsidRPr="00AC5F7C" w14:paraId="44CCB561" w14:textId="77777777" w:rsidTr="00F847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2EA62" w14:textId="77777777" w:rsidR="0080119A" w:rsidRPr="00FC19A1" w:rsidRDefault="0080119A" w:rsidP="00F84758">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56065F4F"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D832BE5"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3C37D3FF"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17A28177"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57189C"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Pr>
          <w:p w14:paraId="345818B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B95B6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BF380D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0EA54AA1"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4D5F09"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4343CDF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4038B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CCBE1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54695FBE"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2CC6E5"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2ED7392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B9421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B298F4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5FE559B9"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8ADF87"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0FAE204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18FC4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7937B1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5F71D6B2"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AFF588"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056B4EC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B90EC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78481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D464F25" w14:textId="77777777" w:rsidR="0080119A" w:rsidRDefault="0080119A" w:rsidP="0080119A">
      <w:pPr>
        <w:pStyle w:val="BodyContent"/>
        <w:ind w:right="657"/>
        <w:rPr>
          <w:rFonts w:ascii="Verdana" w:hAnsi="Verdana"/>
          <w:i/>
          <w:sz w:val="14"/>
        </w:rPr>
      </w:pPr>
    </w:p>
    <w:p w14:paraId="7D57082B" w14:textId="77777777" w:rsidR="0080119A" w:rsidRDefault="0080119A" w:rsidP="0080119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Pr="003D01E0">
        <w:rPr>
          <w:rFonts w:ascii="Verdana" w:hAnsi="Verdana"/>
          <w:i/>
          <w:sz w:val="14"/>
        </w:rPr>
        <w:t xml:space="preserve">A04:2021 – Insecure Design </w:t>
      </w:r>
      <w:r>
        <w:rPr>
          <w:rFonts w:ascii="Verdana" w:hAnsi="Verdana"/>
          <w:i/>
          <w:sz w:val="14"/>
        </w:rPr>
        <w:t>vulnerabilities</w:t>
      </w:r>
    </w:p>
    <w:bookmarkEnd w:id="79"/>
    <w:p w14:paraId="0EE14FA3" w14:textId="77777777" w:rsidR="0080119A" w:rsidRDefault="0080119A" w:rsidP="0080119A">
      <w:pPr>
        <w:spacing w:after="0" w:line="240" w:lineRule="auto"/>
        <w:ind w:left="0"/>
        <w:jc w:val="left"/>
        <w:rPr>
          <w:rFonts w:eastAsia="Perpetua"/>
          <w:i/>
          <w:color w:val="000000"/>
          <w:sz w:val="14"/>
          <w:szCs w:val="24"/>
          <w:lang w:eastAsia="en-US"/>
        </w:rPr>
      </w:pPr>
      <w:r>
        <w:rPr>
          <w:i/>
          <w:sz w:val="14"/>
        </w:rPr>
        <w:br w:type="page"/>
      </w:r>
    </w:p>
    <w:p w14:paraId="74B8D6FC" w14:textId="77777777" w:rsidR="0080119A" w:rsidRPr="003D01E0" w:rsidRDefault="0080119A" w:rsidP="0080119A">
      <w:pPr>
        <w:pStyle w:val="Heading2"/>
        <w:spacing w:after="0"/>
        <w:ind w:left="540" w:right="657" w:hanging="540"/>
        <w:rPr>
          <w:rFonts w:asciiTheme="minorHAnsi" w:hAnsiTheme="minorHAnsi" w:cstheme="minorHAnsi"/>
          <w:szCs w:val="20"/>
        </w:rPr>
      </w:pPr>
      <w:bookmarkStart w:id="82" w:name="_Toc531865304"/>
      <w:bookmarkStart w:id="83" w:name="_Toc531949433"/>
      <w:bookmarkStart w:id="84" w:name="_Toc531949643"/>
      <w:bookmarkStart w:id="85" w:name="_Toc86246473"/>
      <w:bookmarkStart w:id="86" w:name="_Toc86247687"/>
      <w:bookmarkStart w:id="87" w:name="_Toc86247820"/>
      <w:bookmarkStart w:id="88" w:name="_Toc86299292"/>
      <w:bookmarkStart w:id="89" w:name="_Toc88633608"/>
      <w:r w:rsidRPr="003D01E0">
        <w:rPr>
          <w:rFonts w:eastAsia="Calibri"/>
          <w:lang w:val="en-US"/>
        </w:rPr>
        <w:lastRenderedPageBreak/>
        <w:t xml:space="preserve">OWASP </w:t>
      </w:r>
      <w:bookmarkEnd w:id="82"/>
      <w:bookmarkEnd w:id="83"/>
      <w:bookmarkEnd w:id="84"/>
      <w:r w:rsidRPr="003D01E0">
        <w:rPr>
          <w:rFonts w:eastAsia="Calibri"/>
          <w:lang w:val="en-US"/>
        </w:rPr>
        <w:t>A05:2021 – Security Misconfiguration</w:t>
      </w:r>
      <w:bookmarkEnd w:id="85"/>
      <w:bookmarkEnd w:id="86"/>
      <w:bookmarkEnd w:id="87"/>
      <w:bookmarkEnd w:id="88"/>
      <w:bookmarkEnd w:id="89"/>
    </w:p>
    <w:p w14:paraId="721C7948" w14:textId="77777777" w:rsidR="0080119A" w:rsidRPr="003D01E0" w:rsidRDefault="0080119A" w:rsidP="0080119A">
      <w:pPr>
        <w:pStyle w:val="BodyContent"/>
        <w:ind w:right="657"/>
        <w:rPr>
          <w:rFonts w:asciiTheme="minorHAnsi" w:hAnsiTheme="minorHAnsi" w:cstheme="minorHAnsi"/>
          <w:sz w:val="20"/>
          <w:szCs w:val="20"/>
        </w:rPr>
      </w:pPr>
      <w:r w:rsidRPr="003D01E0">
        <w:rPr>
          <w:rFonts w:asciiTheme="minorHAnsi" w:hAnsiTheme="minorHAnsi" w:cstheme="minorHAnsi"/>
          <w:sz w:val="20"/>
          <w:szCs w:val="20"/>
        </w:rPr>
        <w:t>The application might be vulnerable if the application is:</w:t>
      </w:r>
    </w:p>
    <w:p w14:paraId="4965A32F"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Missing appropriate security hardening across any part of the application stack or improperly configured permissions on cloud services.</w:t>
      </w:r>
    </w:p>
    <w:p w14:paraId="5B322ECB"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Unnecessary features are enabled or installed (e.g., unnecessary ports, services, pages, accounts, or privileges).</w:t>
      </w:r>
    </w:p>
    <w:p w14:paraId="2F3A1117"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Default accounts and their passwords are still enabled and unchanged.</w:t>
      </w:r>
    </w:p>
    <w:p w14:paraId="61AE760C"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Error handling reveals stack traces or other overly informative error messages to users.</w:t>
      </w:r>
    </w:p>
    <w:p w14:paraId="7CF38A44"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For upgraded systems, the latest security features are disabled or not configured securely.</w:t>
      </w:r>
    </w:p>
    <w:p w14:paraId="260C3FBA"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The security settings in the application servers, application frameworks (e.g., Struts, Spring, ASP.NET), libraries, databases, etc., are not set to secure values.</w:t>
      </w:r>
    </w:p>
    <w:p w14:paraId="3EF58123"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The server does not send security headers or directives, or they are not set to secure values.</w:t>
      </w:r>
    </w:p>
    <w:p w14:paraId="6B67E8E3" w14:textId="77777777" w:rsidR="0080119A"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 xml:space="preserve">The software is out of date or vulnerable (see A06:2021-Vulnerable and Outdated Components). </w:t>
      </w:r>
    </w:p>
    <w:p w14:paraId="0C5E501E"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D01E0">
        <w:rPr>
          <w:rFonts w:asciiTheme="minorHAnsi" w:hAnsiTheme="minorHAnsi" w:cstheme="minorHAnsi"/>
          <w:sz w:val="20"/>
          <w:szCs w:val="20"/>
        </w:rPr>
        <w:t xml:space="preserve">A05:2021 – Security Misconfiguration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5-2021"/>
      </w:tblPr>
      <w:tblGrid>
        <w:gridCol w:w="4675"/>
        <w:gridCol w:w="1440"/>
        <w:gridCol w:w="1530"/>
        <w:gridCol w:w="1355"/>
      </w:tblGrid>
      <w:tr w:rsidR="0080119A" w:rsidRPr="00AC5F7C" w14:paraId="21316088" w14:textId="77777777" w:rsidTr="00F847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93447EC" w14:textId="77777777" w:rsidR="0080119A" w:rsidRPr="00FC19A1" w:rsidRDefault="0080119A" w:rsidP="00F84758">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05B7E4FB"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AD82628"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513CB67B"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62C7C86F"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50FEB2"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Pr>
          <w:p w14:paraId="0447E2D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D5DC1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B687E7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2CB663B"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612F2E"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1C5BBDEC"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91C1C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0C3CE3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3A8A5712"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1DB323"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2E6E070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11668C"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97E71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7A0E4D7"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3B19F7"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3E5FFD0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C0A9C"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8AFB43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729D2DF0"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77DD8E"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1B7B551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7B6E2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3CB29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F84887" w14:textId="77777777" w:rsidR="0080119A" w:rsidRDefault="0080119A" w:rsidP="0080119A">
      <w:pPr>
        <w:pStyle w:val="BodyContent"/>
        <w:ind w:right="657"/>
        <w:rPr>
          <w:rFonts w:ascii="Verdana" w:hAnsi="Verdana"/>
          <w:i/>
          <w:sz w:val="14"/>
        </w:rPr>
      </w:pPr>
    </w:p>
    <w:p w14:paraId="5A030BBA" w14:textId="77777777" w:rsidR="0080119A" w:rsidRDefault="0080119A" w:rsidP="0080119A">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sidRPr="003D01E0">
        <w:rPr>
          <w:rFonts w:ascii="Verdana" w:hAnsi="Verdana"/>
          <w:i/>
          <w:sz w:val="14"/>
        </w:rPr>
        <w:t xml:space="preserve">A05:2021 – Security Misconfiguration </w:t>
      </w:r>
      <w:r>
        <w:rPr>
          <w:rFonts w:ascii="Verdana" w:hAnsi="Verdana"/>
          <w:i/>
          <w:sz w:val="14"/>
        </w:rPr>
        <w:t>vulnerabilities</w:t>
      </w:r>
    </w:p>
    <w:p w14:paraId="41E5D09D" w14:textId="77777777" w:rsidR="0080119A" w:rsidRDefault="0080119A" w:rsidP="0080119A">
      <w:pPr>
        <w:spacing w:after="0" w:line="240" w:lineRule="auto"/>
        <w:ind w:left="0"/>
        <w:jc w:val="left"/>
        <w:rPr>
          <w:rFonts w:eastAsia="Calibri"/>
          <w:b/>
          <w:color w:val="336699"/>
          <w:sz w:val="20"/>
          <w:szCs w:val="16"/>
          <w:lang w:eastAsia="x-none"/>
        </w:rPr>
      </w:pPr>
      <w:bookmarkStart w:id="90" w:name="_Toc531865305"/>
      <w:bookmarkStart w:id="91" w:name="_Toc531949434"/>
      <w:bookmarkStart w:id="92" w:name="_Toc531949644"/>
      <w:bookmarkStart w:id="93" w:name="_Toc86246474"/>
      <w:bookmarkStart w:id="94" w:name="_Toc86247688"/>
      <w:bookmarkStart w:id="95" w:name="_Toc86247821"/>
      <w:r>
        <w:rPr>
          <w:rFonts w:eastAsia="Calibri"/>
        </w:rPr>
        <w:br w:type="page"/>
      </w:r>
    </w:p>
    <w:p w14:paraId="2880DC0C" w14:textId="77777777" w:rsidR="0080119A" w:rsidRPr="00212651" w:rsidRDefault="0080119A" w:rsidP="0080119A">
      <w:pPr>
        <w:pStyle w:val="Heading2"/>
        <w:spacing w:after="0"/>
        <w:ind w:left="540" w:right="657" w:hanging="540"/>
        <w:rPr>
          <w:rFonts w:eastAsia="Calibri"/>
        </w:rPr>
      </w:pPr>
      <w:bookmarkStart w:id="96" w:name="_Toc86299293"/>
      <w:bookmarkStart w:id="97" w:name="_Toc88633609"/>
      <w:r>
        <w:rPr>
          <w:rFonts w:eastAsia="Calibri"/>
          <w:lang w:val="en-US"/>
        </w:rPr>
        <w:lastRenderedPageBreak/>
        <w:t xml:space="preserve">OWASP </w:t>
      </w:r>
      <w:bookmarkEnd w:id="90"/>
      <w:bookmarkEnd w:id="91"/>
      <w:bookmarkEnd w:id="92"/>
      <w:r w:rsidRPr="00A803F9">
        <w:rPr>
          <w:rFonts w:eastAsia="Calibri"/>
          <w:lang w:val="en-US"/>
        </w:rPr>
        <w:t>A06:2021 – Vulnerable and Outdated Components</w:t>
      </w:r>
      <w:bookmarkEnd w:id="93"/>
      <w:bookmarkEnd w:id="94"/>
      <w:bookmarkEnd w:id="95"/>
      <w:bookmarkEnd w:id="96"/>
      <w:bookmarkEnd w:id="97"/>
    </w:p>
    <w:p w14:paraId="728676FF" w14:textId="77777777" w:rsidR="0080119A" w:rsidRDefault="0080119A" w:rsidP="0080119A">
      <w:pPr>
        <w:tabs>
          <w:tab w:val="left" w:pos="2847"/>
        </w:tabs>
        <w:ind w:left="0" w:right="657"/>
        <w:rPr>
          <w:rFonts w:asciiTheme="minorHAnsi" w:hAnsiTheme="minorHAnsi" w:cstheme="minorHAnsi"/>
          <w:sz w:val="20"/>
        </w:rPr>
      </w:pPr>
    </w:p>
    <w:p w14:paraId="2B900F25" w14:textId="77777777" w:rsidR="0080119A" w:rsidRPr="00A803F9" w:rsidRDefault="0080119A" w:rsidP="0080119A">
      <w:pPr>
        <w:pStyle w:val="BodyContent"/>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You are likely vulnerable:</w:t>
      </w:r>
    </w:p>
    <w:p w14:paraId="50A1D7AE" w14:textId="77777777" w:rsidR="0080119A" w:rsidRPr="00A803F9" w:rsidRDefault="0080119A" w:rsidP="0080119A">
      <w:pPr>
        <w:pStyle w:val="BodyContent"/>
        <w:numPr>
          <w:ilvl w:val="0"/>
          <w:numId w:val="17"/>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know the versions of all components you use (both client-side and server-side). This includes components you directly use as well as nested dependencies.</w:t>
      </w:r>
    </w:p>
    <w:p w14:paraId="6BDC14DC" w14:textId="77777777" w:rsidR="0080119A" w:rsidRPr="00A803F9" w:rsidRDefault="0080119A" w:rsidP="0080119A">
      <w:pPr>
        <w:pStyle w:val="BodyContent"/>
        <w:numPr>
          <w:ilvl w:val="0"/>
          <w:numId w:val="17"/>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the software is vulnerable, unsupported, or out of date. This includes the OS, web/application server, database management system (DBMS), applications, APIs and all components, runtime environments, and libraries.</w:t>
      </w:r>
    </w:p>
    <w:p w14:paraId="75193647" w14:textId="77777777" w:rsidR="0080119A" w:rsidRPr="00A803F9" w:rsidRDefault="0080119A" w:rsidP="0080119A">
      <w:pPr>
        <w:pStyle w:val="BodyContent"/>
        <w:numPr>
          <w:ilvl w:val="0"/>
          <w:numId w:val="17"/>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scan for vulnerabilities regularly and subscribe to security bulletins related to the components you use.</w:t>
      </w:r>
    </w:p>
    <w:p w14:paraId="63443375" w14:textId="77777777" w:rsidR="0080119A" w:rsidRPr="00A803F9" w:rsidRDefault="0080119A" w:rsidP="0080119A">
      <w:pPr>
        <w:pStyle w:val="BodyContent"/>
        <w:numPr>
          <w:ilvl w:val="0"/>
          <w:numId w:val="17"/>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fix or upgrade the underlying platform, frameworks, and dependencies in a risk-based, timely fashion. This commonly happens in environments when patching is a monthly or quarterly task under change control, leaving organizations open to days or months of unnecessary exposure to fixed vulnerabilities.</w:t>
      </w:r>
    </w:p>
    <w:p w14:paraId="4A76FE79" w14:textId="77777777" w:rsidR="0080119A" w:rsidRPr="00A803F9" w:rsidRDefault="0080119A" w:rsidP="0080119A">
      <w:pPr>
        <w:pStyle w:val="BodyContent"/>
        <w:numPr>
          <w:ilvl w:val="0"/>
          <w:numId w:val="17"/>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software developers do not test the compatibility of updated, upgraded, or patched libraries.</w:t>
      </w:r>
    </w:p>
    <w:p w14:paraId="520D422B" w14:textId="77777777" w:rsidR="0080119A" w:rsidRDefault="0080119A" w:rsidP="0080119A">
      <w:pPr>
        <w:pStyle w:val="BodyContent"/>
        <w:numPr>
          <w:ilvl w:val="0"/>
          <w:numId w:val="17"/>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 xml:space="preserve">If you do not secure the components’ configurations (see A05:2021-Security Misconfiguration). </w:t>
      </w:r>
    </w:p>
    <w:p w14:paraId="61B06022" w14:textId="77777777" w:rsidR="0080119A" w:rsidRPr="000D38D5" w:rsidRDefault="0080119A" w:rsidP="0080119A">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Pr="00A803F9">
        <w:rPr>
          <w:rFonts w:asciiTheme="minorHAnsi" w:hAnsiTheme="minorHAnsi" w:cstheme="minorHAnsi"/>
          <w:sz w:val="20"/>
          <w:szCs w:val="20"/>
        </w:rPr>
        <w:t xml:space="preserve">A06:2021 – Vulnerable and Outdated Components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6-2021"/>
      </w:tblPr>
      <w:tblGrid>
        <w:gridCol w:w="4675"/>
        <w:gridCol w:w="1440"/>
        <w:gridCol w:w="1530"/>
        <w:gridCol w:w="1355"/>
      </w:tblGrid>
      <w:tr w:rsidR="0080119A" w:rsidRPr="00AC5F7C" w14:paraId="1AF7F5F1" w14:textId="77777777" w:rsidTr="00F847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664E380"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778759A"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53444F17"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7E9AFD65"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68983F28"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35A2E7E8"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45A7827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4644677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494148F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0C9544EB"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BBDA2B"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48AD680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7CCE8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20BDFC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353F819B"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819A80"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6811040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D37C9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F5FB21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CCCEEE0"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5BF711"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4322264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29F1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3D615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227BDF1"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4C2CA"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54E1C12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BC0C7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36675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AE7CA7" w14:textId="77777777" w:rsidR="0080119A" w:rsidRDefault="0080119A" w:rsidP="0080119A">
      <w:pPr>
        <w:pStyle w:val="BodyContent"/>
        <w:ind w:right="657"/>
        <w:rPr>
          <w:rFonts w:asciiTheme="minorHAnsi" w:hAnsiTheme="minorHAnsi" w:cstheme="minorHAnsi"/>
          <w:sz w:val="20"/>
          <w:szCs w:val="20"/>
        </w:rPr>
      </w:pPr>
    </w:p>
    <w:p w14:paraId="55F0CBB0" w14:textId="77777777" w:rsidR="0080119A" w:rsidRDefault="0080119A" w:rsidP="0080119A">
      <w:pPr>
        <w:spacing w:after="0" w:line="240" w:lineRule="auto"/>
        <w:ind w:left="0"/>
        <w:jc w:val="left"/>
        <w:rPr>
          <w:i/>
          <w:sz w:val="14"/>
        </w:rPr>
      </w:pPr>
      <w:r>
        <w:rPr>
          <w:i/>
          <w:sz w:val="14"/>
        </w:rPr>
        <w:t xml:space="preserve">Table 8: </w:t>
      </w:r>
      <w:r w:rsidRPr="00A803F9">
        <w:rPr>
          <w:i/>
          <w:sz w:val="14"/>
        </w:rPr>
        <w:t xml:space="preserve">A06:2021 – Vulnerable and Outdated Components </w:t>
      </w:r>
      <w:r>
        <w:rPr>
          <w:i/>
          <w:sz w:val="14"/>
        </w:rPr>
        <w:t>vulnerabilities</w:t>
      </w:r>
    </w:p>
    <w:p w14:paraId="11C3018C" w14:textId="77777777" w:rsidR="0080119A" w:rsidRDefault="0080119A" w:rsidP="0080119A">
      <w:pPr>
        <w:spacing w:after="0" w:line="240" w:lineRule="auto"/>
        <w:ind w:left="0"/>
        <w:jc w:val="left"/>
        <w:rPr>
          <w:i/>
          <w:sz w:val="14"/>
        </w:rPr>
      </w:pPr>
      <w:r>
        <w:rPr>
          <w:i/>
          <w:sz w:val="14"/>
        </w:rPr>
        <w:br w:type="page"/>
      </w:r>
    </w:p>
    <w:p w14:paraId="011F0CD6" w14:textId="77777777" w:rsidR="0080119A" w:rsidRPr="00212651" w:rsidRDefault="0080119A" w:rsidP="0080119A">
      <w:pPr>
        <w:pStyle w:val="Heading2"/>
        <w:spacing w:after="0"/>
        <w:ind w:left="540" w:right="657" w:hanging="540"/>
        <w:rPr>
          <w:rFonts w:eastAsia="Calibri"/>
        </w:rPr>
      </w:pPr>
      <w:bookmarkStart w:id="98" w:name="_Toc531865306"/>
      <w:bookmarkStart w:id="99" w:name="_Toc531949435"/>
      <w:bookmarkStart w:id="100" w:name="_Toc531949645"/>
      <w:bookmarkStart w:id="101" w:name="_Toc86246475"/>
      <w:bookmarkStart w:id="102" w:name="_Toc86247689"/>
      <w:bookmarkStart w:id="103" w:name="_Toc86247822"/>
      <w:bookmarkStart w:id="104" w:name="_Toc86299294"/>
      <w:bookmarkStart w:id="105" w:name="_Toc88633610"/>
      <w:r>
        <w:rPr>
          <w:rFonts w:eastAsia="Calibri"/>
          <w:lang w:val="en-US"/>
        </w:rPr>
        <w:lastRenderedPageBreak/>
        <w:t xml:space="preserve">OWASP </w:t>
      </w:r>
      <w:bookmarkEnd w:id="98"/>
      <w:bookmarkEnd w:id="99"/>
      <w:bookmarkEnd w:id="100"/>
      <w:r w:rsidRPr="00B25E03">
        <w:rPr>
          <w:rFonts w:eastAsia="Calibri"/>
          <w:lang w:val="en-US"/>
        </w:rPr>
        <w:t>A07:2021 – Identification and Authentication Failures</w:t>
      </w:r>
      <w:bookmarkEnd w:id="101"/>
      <w:bookmarkEnd w:id="102"/>
      <w:bookmarkEnd w:id="103"/>
      <w:bookmarkEnd w:id="104"/>
      <w:bookmarkEnd w:id="105"/>
    </w:p>
    <w:p w14:paraId="1F3C3154" w14:textId="77777777" w:rsidR="0080119A" w:rsidRDefault="0080119A" w:rsidP="0080119A">
      <w:pPr>
        <w:pStyle w:val="BodyContent"/>
        <w:ind w:right="657"/>
        <w:rPr>
          <w:rFonts w:asciiTheme="minorHAnsi" w:hAnsiTheme="minorHAnsi" w:cstheme="minorHAnsi"/>
          <w:sz w:val="20"/>
          <w:szCs w:val="20"/>
        </w:rPr>
      </w:pPr>
    </w:p>
    <w:p w14:paraId="633D3736" w14:textId="77777777" w:rsidR="0080119A" w:rsidRPr="006F1A89" w:rsidRDefault="0080119A" w:rsidP="0080119A">
      <w:pPr>
        <w:pStyle w:val="BodyContent"/>
        <w:ind w:right="657"/>
        <w:rPr>
          <w:rFonts w:asciiTheme="minorHAnsi" w:hAnsiTheme="minorHAnsi" w:cstheme="minorHAnsi"/>
          <w:sz w:val="20"/>
          <w:szCs w:val="20"/>
        </w:rPr>
      </w:pPr>
      <w:r w:rsidRPr="006F1A89">
        <w:rPr>
          <w:rFonts w:asciiTheme="minorHAnsi" w:hAnsiTheme="minorHAnsi" w:cstheme="minorHAnsi"/>
          <w:sz w:val="20"/>
          <w:szCs w:val="20"/>
        </w:rPr>
        <w:t>Confirmation of the user's identity, authentication, and session management is critical to protect against authentication-related attacks. There may be authentication weaknesses if the application:</w:t>
      </w:r>
    </w:p>
    <w:p w14:paraId="3E7BF3D6"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Permits automated attacks such as credential stuffing, where the attacker has a list of valid usernames and passwords.</w:t>
      </w:r>
    </w:p>
    <w:p w14:paraId="34463967"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Permits brute force or other automated attacks.</w:t>
      </w:r>
    </w:p>
    <w:p w14:paraId="0514E409"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Permits default, weak, or well-known passwords, such as "Password1" or "admin/admin".</w:t>
      </w:r>
    </w:p>
    <w:p w14:paraId="0D7CE8EA"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Uses weak or ineffective credential recovery and forgot-password processes, such as "knowledge-based answers," which cannot be made safe.</w:t>
      </w:r>
    </w:p>
    <w:p w14:paraId="0C0022F7"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Uses plain text, encrypted, or weakly hashed passwords data stores (see A02:2021-Cryptographic Failures).</w:t>
      </w:r>
    </w:p>
    <w:p w14:paraId="7C4A1BEB"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Has missing or ineffective multi-factor authentication.</w:t>
      </w:r>
    </w:p>
    <w:p w14:paraId="421DFD6F"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Exposes session identifier in the URL.</w:t>
      </w:r>
    </w:p>
    <w:p w14:paraId="139056EE"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Reuse session identifier after successful login.</w:t>
      </w:r>
    </w:p>
    <w:p w14:paraId="2363A681" w14:textId="77777777" w:rsidR="0080119A"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Does not correctly invalidate Session IDs. User sessions or authentication tokens (mainly single sign-on (SSO) tokens) aren't properly invalidated during logout or a period of inactivity.</w:t>
      </w:r>
    </w:p>
    <w:p w14:paraId="40F765A0"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B25E03">
        <w:rPr>
          <w:rFonts w:asciiTheme="minorHAnsi" w:hAnsiTheme="minorHAnsi" w:cstheme="minorHAnsi"/>
          <w:sz w:val="20"/>
          <w:szCs w:val="20"/>
        </w:rPr>
        <w:t xml:space="preserve">A07:2021 – Identification and Authentication Failures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07-2021"/>
      </w:tblPr>
      <w:tblGrid>
        <w:gridCol w:w="4675"/>
        <w:gridCol w:w="1440"/>
        <w:gridCol w:w="1530"/>
        <w:gridCol w:w="1355"/>
      </w:tblGrid>
      <w:tr w:rsidR="0080119A" w:rsidRPr="00AC5F7C" w14:paraId="0BA7623A" w14:textId="77777777" w:rsidTr="00F847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027EE4"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0CAF3E0"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4FACCBD"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148D4BF3"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40C483B9"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700058"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Pr>
          <w:p w14:paraId="76CA0F6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BEB22C"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EC6194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33A4AA9A"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FE1C42"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288EF7D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C6506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07C88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9B9050F"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319B54"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3D20C6F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7F0A8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DC42B2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2B8CF68E"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03F4C6"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04D2587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980BD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80A3B2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0A24D737"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DB6AD2"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519DCDD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EE528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AE0B8F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6119A5" w14:textId="77777777" w:rsidR="0080119A" w:rsidRDefault="0080119A" w:rsidP="0080119A">
      <w:pPr>
        <w:pStyle w:val="BodyContent"/>
        <w:ind w:right="657"/>
        <w:rPr>
          <w:rFonts w:asciiTheme="minorHAnsi" w:hAnsiTheme="minorHAnsi" w:cstheme="minorHAnsi"/>
          <w:sz w:val="20"/>
          <w:szCs w:val="20"/>
        </w:rPr>
      </w:pPr>
    </w:p>
    <w:p w14:paraId="22219F6B" w14:textId="77777777" w:rsidR="0080119A" w:rsidRDefault="0080119A" w:rsidP="0080119A">
      <w:pPr>
        <w:spacing w:after="0" w:line="240" w:lineRule="auto"/>
        <w:ind w:left="0"/>
        <w:jc w:val="left"/>
        <w:rPr>
          <w:rFonts w:eastAsia="Calibri"/>
          <w:b/>
          <w:color w:val="336699"/>
          <w:sz w:val="20"/>
          <w:szCs w:val="16"/>
          <w:lang w:eastAsia="x-none"/>
        </w:rPr>
      </w:pPr>
      <w:r>
        <w:rPr>
          <w:i/>
          <w:sz w:val="14"/>
        </w:rPr>
        <w:t xml:space="preserve">Table 9: </w:t>
      </w:r>
      <w:r w:rsidRPr="00B25E03">
        <w:rPr>
          <w:i/>
          <w:sz w:val="14"/>
        </w:rPr>
        <w:t xml:space="preserve">A07:2021 – Identification and Authentication Failures </w:t>
      </w:r>
      <w:r>
        <w:rPr>
          <w:i/>
          <w:sz w:val="14"/>
        </w:rPr>
        <w:t xml:space="preserve">vulnerabilities </w:t>
      </w:r>
    </w:p>
    <w:p w14:paraId="7EED827E" w14:textId="77777777" w:rsidR="0080119A" w:rsidRDefault="0080119A" w:rsidP="0080119A">
      <w:pPr>
        <w:spacing w:after="0" w:line="240" w:lineRule="auto"/>
        <w:ind w:left="0"/>
        <w:jc w:val="left"/>
        <w:rPr>
          <w:rFonts w:eastAsia="Calibri"/>
          <w:b/>
          <w:color w:val="336699"/>
          <w:sz w:val="20"/>
          <w:szCs w:val="16"/>
          <w:lang w:eastAsia="x-none"/>
        </w:rPr>
      </w:pPr>
    </w:p>
    <w:p w14:paraId="78B40592" w14:textId="77777777" w:rsidR="0080119A" w:rsidRDefault="0080119A" w:rsidP="0080119A">
      <w:pPr>
        <w:spacing w:after="0" w:line="240" w:lineRule="auto"/>
        <w:ind w:left="0"/>
        <w:jc w:val="left"/>
        <w:rPr>
          <w:rFonts w:eastAsia="Calibri"/>
          <w:b/>
          <w:color w:val="336699"/>
          <w:sz w:val="20"/>
          <w:szCs w:val="16"/>
          <w:lang w:eastAsia="x-none"/>
        </w:rPr>
      </w:pPr>
      <w:bookmarkStart w:id="106" w:name="_Toc531948219"/>
      <w:bookmarkStart w:id="107" w:name="_Toc531949646"/>
      <w:bookmarkStart w:id="108" w:name="_Toc86246476"/>
      <w:bookmarkStart w:id="109" w:name="_Toc86247690"/>
      <w:bookmarkStart w:id="110" w:name="_Toc86247823"/>
      <w:r>
        <w:rPr>
          <w:rFonts w:eastAsia="Calibri"/>
        </w:rPr>
        <w:br w:type="page"/>
      </w:r>
    </w:p>
    <w:p w14:paraId="2D469E29" w14:textId="77777777" w:rsidR="0080119A" w:rsidRPr="00212651" w:rsidRDefault="0080119A" w:rsidP="0080119A">
      <w:pPr>
        <w:pStyle w:val="Heading2"/>
        <w:spacing w:after="0"/>
        <w:ind w:left="540" w:right="657" w:hanging="540"/>
        <w:rPr>
          <w:rFonts w:eastAsia="Calibri"/>
        </w:rPr>
      </w:pPr>
      <w:bookmarkStart w:id="111" w:name="_Toc86299295"/>
      <w:bookmarkStart w:id="112" w:name="_Toc88633611"/>
      <w:r>
        <w:rPr>
          <w:rFonts w:eastAsia="Calibri"/>
          <w:lang w:val="en-US"/>
        </w:rPr>
        <w:lastRenderedPageBreak/>
        <w:t xml:space="preserve">OWASP </w:t>
      </w:r>
      <w:bookmarkEnd w:id="106"/>
      <w:bookmarkEnd w:id="107"/>
      <w:r w:rsidRPr="008051A8">
        <w:rPr>
          <w:rFonts w:eastAsia="Calibri"/>
          <w:lang w:val="en-US"/>
        </w:rPr>
        <w:t>A08:2021 – Software and Data Integrity Failures</w:t>
      </w:r>
      <w:bookmarkEnd w:id="108"/>
      <w:bookmarkEnd w:id="109"/>
      <w:bookmarkEnd w:id="110"/>
      <w:bookmarkEnd w:id="111"/>
      <w:bookmarkEnd w:id="112"/>
    </w:p>
    <w:p w14:paraId="092E68EF" w14:textId="77777777" w:rsidR="0080119A" w:rsidRDefault="0080119A" w:rsidP="0080119A">
      <w:pPr>
        <w:pStyle w:val="BodyContent"/>
        <w:ind w:right="657"/>
        <w:rPr>
          <w:rFonts w:asciiTheme="minorHAnsi" w:hAnsiTheme="minorHAnsi" w:cstheme="minorHAnsi"/>
          <w:sz w:val="20"/>
          <w:szCs w:val="20"/>
        </w:rPr>
      </w:pPr>
    </w:p>
    <w:p w14:paraId="547C4ABA" w14:textId="77777777" w:rsidR="0080119A" w:rsidRDefault="0080119A" w:rsidP="0080119A">
      <w:pPr>
        <w:pStyle w:val="BodyContent"/>
        <w:ind w:right="657"/>
        <w:rPr>
          <w:rFonts w:asciiTheme="minorHAnsi" w:eastAsia="Times New Roman" w:hAnsiTheme="minorHAnsi" w:cstheme="minorHAnsi"/>
          <w:color w:val="auto"/>
          <w:sz w:val="20"/>
          <w:szCs w:val="20"/>
          <w:lang w:eastAsia="fr-FR"/>
        </w:rPr>
      </w:pPr>
      <w:r w:rsidRPr="008051A8">
        <w:rPr>
          <w:rFonts w:asciiTheme="minorHAnsi" w:eastAsia="Times New Roman" w:hAnsiTheme="minorHAnsi" w:cstheme="minorHAnsi"/>
          <w:color w:val="auto"/>
          <w:sz w:val="20"/>
          <w:szCs w:val="20"/>
          <w:lang w:eastAsia="fr-FR"/>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 Another example is where objects or data are encoded or serialized into a structure that an attacker can see and modify is vulnerable to insecure deserialization.</w:t>
      </w:r>
    </w:p>
    <w:p w14:paraId="3F4B9A5C"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8051A8">
        <w:rPr>
          <w:rFonts w:asciiTheme="minorHAnsi" w:hAnsiTheme="minorHAnsi" w:cstheme="minorHAnsi"/>
          <w:sz w:val="20"/>
          <w:szCs w:val="20"/>
        </w:rPr>
        <w:t xml:space="preserve">A08:2021 – Software and Data Integrity Failures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08-2021"/>
      </w:tblPr>
      <w:tblGrid>
        <w:gridCol w:w="4585"/>
        <w:gridCol w:w="1440"/>
        <w:gridCol w:w="1530"/>
        <w:gridCol w:w="1445"/>
      </w:tblGrid>
      <w:tr w:rsidR="0080119A" w:rsidRPr="00AC5F7C" w14:paraId="51424898" w14:textId="77777777" w:rsidTr="00F847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26D9EA0"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26B4CD8"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96FE9CF"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5569A741"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7E6082C3"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E7E334"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Pr>
          <w:p w14:paraId="390448F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70D89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31178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7ABFE0F"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85622F"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33147BE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2ADD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3468F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7FDA1DAC"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C3E6AFA"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119AD76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4586E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255C7A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49A47045"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B149EA"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456D8EB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08F44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90DE1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83FB587"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3DA16"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2B8261B9"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BC6F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3D5DA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23C34C" w14:textId="77777777" w:rsidR="0080119A" w:rsidRDefault="0080119A" w:rsidP="0080119A">
      <w:pPr>
        <w:pStyle w:val="BodyContent"/>
        <w:ind w:right="657"/>
        <w:rPr>
          <w:rFonts w:asciiTheme="minorHAnsi" w:hAnsiTheme="minorHAnsi" w:cstheme="minorHAnsi"/>
          <w:sz w:val="20"/>
          <w:szCs w:val="20"/>
        </w:rPr>
      </w:pPr>
    </w:p>
    <w:p w14:paraId="7A0830D8" w14:textId="77777777" w:rsidR="0080119A" w:rsidRDefault="0080119A" w:rsidP="0080119A">
      <w:pPr>
        <w:spacing w:after="0" w:line="240" w:lineRule="auto"/>
        <w:ind w:left="0"/>
        <w:jc w:val="left"/>
        <w:rPr>
          <w:i/>
          <w:sz w:val="14"/>
        </w:rPr>
      </w:pPr>
      <w:r>
        <w:rPr>
          <w:i/>
          <w:sz w:val="14"/>
        </w:rPr>
        <w:t xml:space="preserve">Table 10: </w:t>
      </w:r>
      <w:r w:rsidRPr="008051A8">
        <w:rPr>
          <w:i/>
          <w:sz w:val="14"/>
        </w:rPr>
        <w:t xml:space="preserve">A08:2021 – Software and Data Integrity Failures </w:t>
      </w:r>
      <w:r>
        <w:rPr>
          <w:i/>
          <w:sz w:val="14"/>
        </w:rPr>
        <w:t>vulnerabilities</w:t>
      </w:r>
    </w:p>
    <w:p w14:paraId="2746C070" w14:textId="77777777" w:rsidR="0080119A" w:rsidRDefault="0080119A" w:rsidP="0080119A">
      <w:pPr>
        <w:spacing w:after="0" w:line="240" w:lineRule="auto"/>
        <w:ind w:left="0"/>
        <w:jc w:val="left"/>
        <w:rPr>
          <w:i/>
          <w:sz w:val="14"/>
        </w:rPr>
      </w:pPr>
      <w:r>
        <w:rPr>
          <w:i/>
          <w:sz w:val="14"/>
        </w:rPr>
        <w:br w:type="page"/>
      </w:r>
    </w:p>
    <w:p w14:paraId="605146CD" w14:textId="77777777" w:rsidR="0080119A" w:rsidRPr="00212651" w:rsidRDefault="0080119A" w:rsidP="0080119A">
      <w:pPr>
        <w:pStyle w:val="Heading2"/>
        <w:spacing w:after="0"/>
        <w:ind w:left="540" w:right="657" w:hanging="540"/>
        <w:rPr>
          <w:rFonts w:eastAsia="Calibri"/>
        </w:rPr>
      </w:pPr>
      <w:bookmarkStart w:id="113" w:name="_Toc531865307"/>
      <w:bookmarkStart w:id="114" w:name="_Toc531949436"/>
      <w:bookmarkStart w:id="115" w:name="_Toc531949647"/>
      <w:bookmarkStart w:id="116" w:name="_Toc86246477"/>
      <w:bookmarkStart w:id="117" w:name="_Toc86247691"/>
      <w:bookmarkStart w:id="118" w:name="_Toc86247824"/>
      <w:bookmarkStart w:id="119" w:name="_Toc86299296"/>
      <w:bookmarkStart w:id="120" w:name="_Toc88633612"/>
      <w:r>
        <w:rPr>
          <w:rFonts w:eastAsia="Calibri"/>
          <w:lang w:val="en-US"/>
        </w:rPr>
        <w:lastRenderedPageBreak/>
        <w:t xml:space="preserve">OWASP </w:t>
      </w:r>
      <w:bookmarkEnd w:id="113"/>
      <w:bookmarkEnd w:id="114"/>
      <w:bookmarkEnd w:id="115"/>
      <w:r w:rsidRPr="00FC44BF">
        <w:rPr>
          <w:rFonts w:eastAsia="Calibri"/>
          <w:lang w:val="en-US"/>
        </w:rPr>
        <w:t>A09:2021 – Security Logging and Monitoring Failures</w:t>
      </w:r>
      <w:bookmarkEnd w:id="116"/>
      <w:bookmarkEnd w:id="117"/>
      <w:bookmarkEnd w:id="118"/>
      <w:bookmarkEnd w:id="119"/>
      <w:bookmarkEnd w:id="120"/>
    </w:p>
    <w:p w14:paraId="29161691" w14:textId="77777777" w:rsidR="0080119A" w:rsidRDefault="0080119A" w:rsidP="0080119A">
      <w:pPr>
        <w:pStyle w:val="BodyContent"/>
        <w:ind w:right="657"/>
        <w:rPr>
          <w:rFonts w:asciiTheme="minorHAnsi" w:hAnsiTheme="minorHAnsi" w:cstheme="minorHAnsi"/>
          <w:sz w:val="20"/>
          <w:szCs w:val="20"/>
        </w:rPr>
      </w:pPr>
    </w:p>
    <w:p w14:paraId="4F6C8853" w14:textId="77777777" w:rsidR="0080119A" w:rsidRPr="008866BB"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T</w:t>
      </w:r>
      <w:r w:rsidRPr="008866BB">
        <w:rPr>
          <w:rFonts w:asciiTheme="minorHAnsi" w:hAnsiTheme="minorHAnsi" w:cstheme="minorHAnsi"/>
          <w:sz w:val="20"/>
          <w:szCs w:val="20"/>
        </w:rPr>
        <w:t>his category is to help detect, escalate, and respond to active breaches. Without logging and monitoring, breaches cannot be detected. Insufficient logging, detection, monitoring, and active response occurs any time:</w:t>
      </w:r>
    </w:p>
    <w:p w14:paraId="11B6B537" w14:textId="77777777" w:rsidR="0080119A" w:rsidRPr="008866BB"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Auditable events, such as logins, failed logins, and high-value transactions, are not logged.</w:t>
      </w:r>
    </w:p>
    <w:p w14:paraId="2952C963" w14:textId="77777777" w:rsidR="0080119A" w:rsidRPr="008866BB"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Warnings and errors generate no, inadequate, or unclear log messages.</w:t>
      </w:r>
    </w:p>
    <w:p w14:paraId="68049C9A" w14:textId="77777777" w:rsidR="0080119A" w:rsidRPr="008866BB"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Logs of applications and APIs are not monitored for suspicious activity.</w:t>
      </w:r>
    </w:p>
    <w:p w14:paraId="13F89E48" w14:textId="77777777" w:rsidR="0080119A" w:rsidRPr="008866BB"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Logs are only stored locally.</w:t>
      </w:r>
    </w:p>
    <w:p w14:paraId="43DCFDEF" w14:textId="77777777" w:rsidR="0080119A" w:rsidRPr="008866BB"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Appropriate alerting thresholds and response escalation processes are not in place or effective.</w:t>
      </w:r>
    </w:p>
    <w:p w14:paraId="10068222" w14:textId="77777777" w:rsidR="0080119A" w:rsidRPr="008866BB"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Penetration testing and scans by dynamic application security testing (DAST) tools (such as OWASP ZAP) do not trigger alerts.</w:t>
      </w:r>
    </w:p>
    <w:p w14:paraId="64BB10B1" w14:textId="77777777" w:rsidR="0080119A"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The application cannot detect, escalate, or alert for active attacks in real-time or near real-time.</w:t>
      </w:r>
    </w:p>
    <w:p w14:paraId="777C34EF"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FC44BF">
        <w:rPr>
          <w:rFonts w:asciiTheme="minorHAnsi" w:hAnsiTheme="minorHAnsi" w:cstheme="minorHAnsi"/>
          <w:sz w:val="20"/>
          <w:szCs w:val="20"/>
        </w:rPr>
        <w:t xml:space="preserve">A09:2021 – Security Logging and Monitoring Failures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9-2021"/>
      </w:tblPr>
      <w:tblGrid>
        <w:gridCol w:w="4675"/>
        <w:gridCol w:w="1440"/>
        <w:gridCol w:w="1530"/>
        <w:gridCol w:w="1355"/>
      </w:tblGrid>
      <w:tr w:rsidR="0080119A" w:rsidRPr="00AC5F7C" w14:paraId="1996BAA5" w14:textId="77777777" w:rsidTr="00F847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079E78"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657664C"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61FC1918"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1F5BA35C"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5A44EE83"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830496"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Pr>
          <w:p w14:paraId="2B53D49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10A15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B0A6EA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AD3B0B9"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7F079C"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2153B45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3AC1E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02C9EC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55705441"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2F9C25"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7B8629D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009E6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3C9F2B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232B3093"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5D274A"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7DB92E6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3519A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426E4F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69D6F74"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F34481"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7197DF2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59CB2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1D2FF6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0C9AF33" w14:textId="77777777" w:rsidR="0080119A" w:rsidRDefault="0080119A" w:rsidP="0080119A">
      <w:pPr>
        <w:pStyle w:val="BodyContent"/>
        <w:ind w:right="657"/>
        <w:rPr>
          <w:rFonts w:asciiTheme="minorHAnsi" w:hAnsiTheme="minorHAnsi" w:cstheme="minorHAnsi"/>
          <w:sz w:val="20"/>
          <w:szCs w:val="20"/>
        </w:rPr>
      </w:pPr>
    </w:p>
    <w:p w14:paraId="14530D40" w14:textId="77777777" w:rsidR="0080119A" w:rsidRDefault="0080119A" w:rsidP="0080119A">
      <w:pPr>
        <w:spacing w:after="0" w:line="240" w:lineRule="auto"/>
        <w:ind w:left="0"/>
        <w:jc w:val="left"/>
        <w:rPr>
          <w:i/>
          <w:sz w:val="14"/>
        </w:rPr>
      </w:pPr>
      <w:r>
        <w:rPr>
          <w:i/>
          <w:sz w:val="14"/>
        </w:rPr>
        <w:t xml:space="preserve">Table 10: </w:t>
      </w:r>
      <w:r w:rsidRPr="00FC44BF">
        <w:rPr>
          <w:i/>
          <w:sz w:val="14"/>
        </w:rPr>
        <w:t>A09:2021 – Security Logging and Monitoring Failures</w:t>
      </w:r>
      <w:r>
        <w:rPr>
          <w:i/>
          <w:sz w:val="14"/>
        </w:rPr>
        <w:t xml:space="preserve"> vulnerabilities</w:t>
      </w:r>
    </w:p>
    <w:p w14:paraId="512FFBEF" w14:textId="77777777" w:rsidR="0080119A" w:rsidRDefault="0080119A" w:rsidP="0080119A">
      <w:pPr>
        <w:spacing w:after="0" w:line="240" w:lineRule="auto"/>
        <w:ind w:left="0"/>
        <w:jc w:val="left"/>
        <w:rPr>
          <w:rFonts w:asciiTheme="minorHAnsi" w:eastAsia="Perpetua" w:hAnsiTheme="minorHAnsi" w:cstheme="minorHAnsi"/>
          <w:color w:val="000000"/>
          <w:sz w:val="20"/>
          <w:lang w:eastAsia="en-US"/>
        </w:rPr>
      </w:pPr>
    </w:p>
    <w:p w14:paraId="38E0D5B1" w14:textId="77777777" w:rsidR="0080119A" w:rsidRDefault="0080119A" w:rsidP="0080119A">
      <w:pPr>
        <w:spacing w:after="0" w:line="240" w:lineRule="auto"/>
        <w:ind w:left="0"/>
        <w:jc w:val="left"/>
        <w:rPr>
          <w:rFonts w:asciiTheme="minorHAnsi" w:eastAsia="Perpetua" w:hAnsiTheme="minorHAnsi" w:cstheme="minorHAnsi"/>
          <w:color w:val="000000"/>
          <w:sz w:val="20"/>
          <w:lang w:eastAsia="en-US"/>
        </w:rPr>
      </w:pPr>
    </w:p>
    <w:p w14:paraId="2472C749" w14:textId="77777777" w:rsidR="0080119A" w:rsidRDefault="0080119A" w:rsidP="0080119A">
      <w:pPr>
        <w:spacing w:after="0" w:line="240" w:lineRule="auto"/>
        <w:ind w:left="0"/>
        <w:jc w:val="left"/>
        <w:rPr>
          <w:rFonts w:asciiTheme="minorHAnsi" w:eastAsia="Perpetua" w:hAnsiTheme="minorHAnsi" w:cstheme="minorHAnsi"/>
          <w:color w:val="000000"/>
          <w:sz w:val="20"/>
          <w:lang w:eastAsia="en-US"/>
        </w:rPr>
      </w:pPr>
    </w:p>
    <w:p w14:paraId="62540925" w14:textId="77777777" w:rsidR="0080119A" w:rsidRDefault="0080119A" w:rsidP="0080119A">
      <w:pPr>
        <w:spacing w:after="0" w:line="240" w:lineRule="auto"/>
        <w:ind w:left="0"/>
        <w:jc w:val="left"/>
        <w:rPr>
          <w:rFonts w:eastAsia="Calibri"/>
          <w:b/>
          <w:color w:val="336699"/>
          <w:sz w:val="20"/>
          <w:szCs w:val="16"/>
          <w:lang w:eastAsia="x-none"/>
        </w:rPr>
      </w:pPr>
      <w:bookmarkStart w:id="121" w:name="_Toc531948221"/>
      <w:bookmarkStart w:id="122" w:name="_Toc531949648"/>
      <w:bookmarkStart w:id="123" w:name="_Toc86246478"/>
      <w:bookmarkStart w:id="124" w:name="_Toc86247692"/>
      <w:bookmarkStart w:id="125" w:name="_Toc86247825"/>
      <w:r>
        <w:rPr>
          <w:rFonts w:eastAsia="Calibri"/>
        </w:rPr>
        <w:br w:type="page"/>
      </w:r>
    </w:p>
    <w:p w14:paraId="4CEFB12C" w14:textId="77777777" w:rsidR="0080119A" w:rsidRPr="002B1E71" w:rsidRDefault="0080119A" w:rsidP="0080119A">
      <w:pPr>
        <w:pStyle w:val="Heading2"/>
        <w:spacing w:after="0"/>
        <w:ind w:left="540" w:right="657" w:hanging="540"/>
        <w:rPr>
          <w:rFonts w:asciiTheme="minorHAnsi" w:hAnsiTheme="minorHAnsi" w:cstheme="minorHAnsi"/>
          <w:szCs w:val="20"/>
        </w:rPr>
      </w:pPr>
      <w:bookmarkStart w:id="126" w:name="_Toc86299297"/>
      <w:bookmarkStart w:id="127" w:name="_Toc88633613"/>
      <w:r w:rsidRPr="002B1E71">
        <w:rPr>
          <w:rFonts w:eastAsia="Calibri"/>
          <w:lang w:val="en-US"/>
        </w:rPr>
        <w:lastRenderedPageBreak/>
        <w:t xml:space="preserve">OWASP </w:t>
      </w:r>
      <w:bookmarkEnd w:id="121"/>
      <w:bookmarkEnd w:id="122"/>
      <w:r w:rsidRPr="002B1E71">
        <w:rPr>
          <w:rFonts w:eastAsia="Calibri"/>
          <w:lang w:val="en-US"/>
        </w:rPr>
        <w:t>A10:2021 – Server-Side Request Forgery (SSRF)</w:t>
      </w:r>
      <w:bookmarkEnd w:id="123"/>
      <w:bookmarkEnd w:id="124"/>
      <w:bookmarkEnd w:id="125"/>
      <w:bookmarkEnd w:id="126"/>
      <w:bookmarkEnd w:id="127"/>
    </w:p>
    <w:p w14:paraId="226CD1EF" w14:textId="77777777" w:rsidR="0080119A" w:rsidRPr="002B1E71" w:rsidRDefault="0080119A" w:rsidP="0080119A">
      <w:pPr>
        <w:pStyle w:val="BodyContent"/>
        <w:ind w:right="657"/>
        <w:rPr>
          <w:rFonts w:asciiTheme="minorHAnsi" w:hAnsiTheme="minorHAnsi" w:cstheme="minorHAnsi"/>
          <w:sz w:val="20"/>
          <w:szCs w:val="20"/>
        </w:rPr>
      </w:pPr>
      <w:r w:rsidRPr="002B1E71">
        <w:rPr>
          <w:rFonts w:asciiTheme="minorHAnsi" w:hAnsiTheme="minorHAnsi" w:cstheme="minorHAnsi"/>
          <w:sz w:val="20"/>
          <w:szCs w:val="20"/>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p w14:paraId="43BE7559" w14:textId="77777777" w:rsidR="0080119A" w:rsidRDefault="0080119A" w:rsidP="0080119A">
      <w:pPr>
        <w:pStyle w:val="BodyContent"/>
        <w:ind w:right="657"/>
        <w:rPr>
          <w:rFonts w:asciiTheme="minorHAnsi" w:hAnsiTheme="minorHAnsi" w:cstheme="minorHAnsi"/>
          <w:sz w:val="20"/>
          <w:szCs w:val="20"/>
        </w:rPr>
      </w:pPr>
      <w:r w:rsidRPr="002B1E71">
        <w:rPr>
          <w:rFonts w:asciiTheme="minorHAnsi" w:hAnsiTheme="minorHAnsi" w:cstheme="minorHAnsi"/>
          <w:sz w:val="20"/>
          <w:szCs w:val="20"/>
        </w:rPr>
        <w:t>As modern web applications provide end-users with convenient features, fetching a URL becomes a common scenario. As a result, the incidence of SSRF is increasing. Also, the severity of SSRF is becoming higher due to cloud services and the complexity of architectures.</w:t>
      </w:r>
    </w:p>
    <w:p w14:paraId="7CA8A1A8"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B1E71">
        <w:rPr>
          <w:rFonts w:asciiTheme="minorHAnsi" w:hAnsiTheme="minorHAnsi" w:cstheme="minorHAnsi"/>
          <w:sz w:val="20"/>
          <w:szCs w:val="20"/>
        </w:rPr>
        <w:t xml:space="preserve">A10:2021 – Server-Side Request Forgery (SSRF)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21"/>
      </w:tblPr>
      <w:tblGrid>
        <w:gridCol w:w="4585"/>
        <w:gridCol w:w="1440"/>
        <w:gridCol w:w="1530"/>
        <w:gridCol w:w="1445"/>
      </w:tblGrid>
      <w:tr w:rsidR="0080119A" w:rsidRPr="00AC5F7C" w14:paraId="266EEB5A" w14:textId="77777777" w:rsidTr="00F847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4EB16D"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F98521"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C75176E"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3310CC00"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05D4DA26"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479CE3"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Pr>
          <w:p w14:paraId="3E5A64F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E1246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3EBC9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2C148829"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C1A49E"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0CD51FD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321CF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8D341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7869DF32"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86802"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7F7AE9C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670AA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0F70D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428C31CE"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A46665"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0DF8F37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A07CE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E4D35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E94D87A"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5F8215"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460E2CB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D6D84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32F2A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417CF0" w14:textId="77777777" w:rsidR="0080119A" w:rsidRDefault="0080119A" w:rsidP="0080119A">
      <w:pPr>
        <w:pStyle w:val="BodyContent"/>
        <w:ind w:right="657"/>
        <w:rPr>
          <w:rFonts w:asciiTheme="minorHAnsi" w:hAnsiTheme="minorHAnsi" w:cstheme="minorHAnsi"/>
          <w:sz w:val="20"/>
          <w:szCs w:val="20"/>
        </w:rPr>
      </w:pPr>
    </w:p>
    <w:p w14:paraId="1E62DB01" w14:textId="77777777" w:rsidR="0080119A" w:rsidRDefault="0080119A" w:rsidP="0080119A">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2B1E71">
        <w:rPr>
          <w:i/>
          <w:sz w:val="14"/>
        </w:rPr>
        <w:t xml:space="preserve">A10:2021 – Server-Side Request Forgery (SSRF) </w:t>
      </w:r>
      <w:r>
        <w:rPr>
          <w:i/>
          <w:sz w:val="14"/>
        </w:rPr>
        <w:t>vulnerabilities</w:t>
      </w:r>
    </w:p>
    <w:p w14:paraId="51788AB5" w14:textId="77777777" w:rsidR="0080119A" w:rsidRDefault="0080119A" w:rsidP="0080119A">
      <w:pPr>
        <w:spacing w:after="0" w:line="240" w:lineRule="auto"/>
        <w:ind w:left="0"/>
        <w:jc w:val="left"/>
        <w:rPr>
          <w:rFonts w:asciiTheme="minorHAnsi" w:eastAsia="Perpetua" w:hAnsiTheme="minorHAnsi" w:cstheme="minorHAnsi"/>
          <w:color w:val="000000"/>
          <w:sz w:val="20"/>
          <w:lang w:eastAsia="en-US"/>
        </w:rPr>
      </w:pPr>
    </w:p>
    <w:p w14:paraId="186E1753" w14:textId="77777777" w:rsidR="0080119A" w:rsidRPr="00F772DA" w:rsidRDefault="0080119A" w:rsidP="0080119A">
      <w:pPr>
        <w:pStyle w:val="BodyContent"/>
        <w:ind w:right="657"/>
        <w:rPr>
          <w:rFonts w:asciiTheme="minorHAnsi" w:hAnsiTheme="minorHAnsi" w:cstheme="minorHAnsi"/>
          <w:sz w:val="20"/>
          <w:szCs w:val="20"/>
        </w:rPr>
      </w:pPr>
    </w:p>
    <w:p w14:paraId="52818F43" w14:textId="77777777" w:rsidR="0080119A" w:rsidRDefault="0080119A" w:rsidP="0080119A">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28" w:name="_Toc86299298"/>
      <w:bookmarkStart w:id="129" w:name="_Toc88633614"/>
      <w:r>
        <w:lastRenderedPageBreak/>
        <w:t>A</w:t>
      </w:r>
      <w:r w:rsidR="00CA74F4">
        <w:t>ppendix</w:t>
      </w:r>
      <w:bookmarkEnd w:id="35"/>
      <w:bookmarkEnd w:id="36"/>
      <w:bookmarkEnd w:id="37"/>
      <w:bookmarkEnd w:id="38"/>
      <w:bookmarkEnd w:id="39"/>
      <w:bookmarkEnd w:id="40"/>
      <w:bookmarkEnd w:id="128"/>
      <w:bookmarkEnd w:id="129"/>
      <w:r w:rsidR="00CA74F4">
        <w:t xml:space="preserve"> </w:t>
      </w:r>
    </w:p>
    <w:p w14:paraId="48916227" w14:textId="1845DF32" w:rsidR="00010552" w:rsidRDefault="00010552" w:rsidP="002638B2">
      <w:pPr>
        <w:pStyle w:val="Heading2"/>
        <w:spacing w:after="0"/>
        <w:ind w:left="540" w:right="657" w:hanging="540"/>
        <w:rPr>
          <w:lang w:val="en-US"/>
        </w:rPr>
      </w:pPr>
      <w:bookmarkStart w:id="130" w:name="_Toc531865309"/>
      <w:bookmarkStart w:id="131" w:name="_Toc531949438"/>
      <w:bookmarkStart w:id="132" w:name="_Toc531949650"/>
      <w:bookmarkStart w:id="133" w:name="_Toc86246480"/>
      <w:bookmarkStart w:id="134" w:name="_Toc86247694"/>
      <w:bookmarkStart w:id="135" w:name="_Toc86247827"/>
      <w:bookmarkStart w:id="136" w:name="_Toc86299299"/>
      <w:bookmarkStart w:id="137" w:name="_Toc88633615"/>
      <w:r>
        <w:rPr>
          <w:lang w:val="en-US"/>
        </w:rPr>
        <w:t>About CAST Software Intelligence</w:t>
      </w:r>
      <w:bookmarkEnd w:id="130"/>
      <w:bookmarkEnd w:id="131"/>
      <w:bookmarkEnd w:id="132"/>
      <w:bookmarkEnd w:id="133"/>
      <w:bookmarkEnd w:id="134"/>
      <w:bookmarkEnd w:id="135"/>
      <w:bookmarkEnd w:id="136"/>
      <w:bookmarkEnd w:id="137"/>
    </w:p>
    <w:p w14:paraId="3AEC592B" w14:textId="77777777" w:rsidR="000A16CB" w:rsidRDefault="000A16CB" w:rsidP="000A16CB">
      <w:pPr>
        <w:ind w:right="657"/>
      </w:pPr>
      <w:r w:rsidRPr="00010552">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proofErr w:type="gramStart"/>
      <w:r w:rsidRPr="00010552">
        <w:t>disruption</w:t>
      </w:r>
      <w:proofErr w:type="gramEnd"/>
      <w:r w:rsidRPr="00010552">
        <w:t xml:space="preserve">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231B5B" w:rsidP="000A16CB">
      <w:pPr>
        <w:ind w:right="657"/>
      </w:pPr>
      <w:hyperlink r:id="rId14"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138" w:name="_Toc531865310"/>
      <w:bookmarkStart w:id="139" w:name="_Toc531949439"/>
      <w:bookmarkStart w:id="140" w:name="_Toc531949651"/>
      <w:bookmarkStart w:id="141" w:name="_Toc86246481"/>
      <w:bookmarkStart w:id="142" w:name="_Toc86247695"/>
      <w:bookmarkStart w:id="143" w:name="_Toc86247828"/>
      <w:bookmarkStart w:id="144" w:name="_Toc86299300"/>
      <w:bookmarkStart w:id="145" w:name="_Toc88633616"/>
      <w:r>
        <w:rPr>
          <w:lang w:val="en-US"/>
        </w:rPr>
        <w:t>About CAST Security</w:t>
      </w:r>
      <w:bookmarkEnd w:id="138"/>
      <w:bookmarkEnd w:id="139"/>
      <w:bookmarkEnd w:id="140"/>
      <w:bookmarkEnd w:id="141"/>
      <w:bookmarkEnd w:id="142"/>
      <w:bookmarkEnd w:id="143"/>
      <w:bookmarkEnd w:id="144"/>
      <w:bookmarkEnd w:id="145"/>
    </w:p>
    <w:p w14:paraId="31D9363B" w14:textId="77777777" w:rsidR="00513557" w:rsidRDefault="00513557" w:rsidP="002638B2">
      <w:pPr>
        <w:ind w:right="657"/>
      </w:pPr>
    </w:p>
    <w:p w14:paraId="159CF416" w14:textId="558E4496"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 xml:space="preserve">CAST Security rules are adapted from best-in-class industry standards – </w:t>
      </w:r>
      <w:r w:rsidR="00D009F7">
        <w:t>ISO</w:t>
      </w:r>
      <w:r w:rsidR="00CE67C6">
        <w:t>, CWE, OWASP</w:t>
      </w:r>
      <w:r w:rsidR="00D009F7">
        <w:t>, PCI DSS, STIG, NIST, …</w:t>
      </w:r>
      <w:r w:rsidR="00CE67C6">
        <w:t>.</w:t>
      </w:r>
    </w:p>
    <w:p w14:paraId="34B7BDCD" w14:textId="41580EE9" w:rsidR="00CE67C6" w:rsidRDefault="00DE3825" w:rsidP="002638B2">
      <w:pPr>
        <w:ind w:right="657"/>
      </w:pPr>
      <w:r>
        <w:t xml:space="preserve">To find out more about CAST Security, </w:t>
      </w:r>
      <w:hyperlink r:id="rId15"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D117" w14:textId="77777777" w:rsidR="00231B5B" w:rsidRDefault="00231B5B">
      <w:r>
        <w:separator/>
      </w:r>
    </w:p>
  </w:endnote>
  <w:endnote w:type="continuationSeparator" w:id="0">
    <w:p w14:paraId="6C889B31" w14:textId="77777777" w:rsidR="00231B5B" w:rsidRDefault="00231B5B">
      <w:r>
        <w:continuationSeparator/>
      </w:r>
    </w:p>
  </w:endnote>
  <w:endnote w:type="continuationNotice" w:id="1">
    <w:p w14:paraId="29BC4AF2" w14:textId="77777777" w:rsidR="00231B5B" w:rsidRDefault="00231B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auto"/>
    <w:pitch w:val="variable"/>
    <w:sig w:usb0="E00002FF" w:usb1="5000205A" w:usb2="00000000"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Open Sans"/>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107613" w:rsidRDefault="00107613"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107613" w:rsidRDefault="00107613">
    <w:pPr>
      <w:pStyle w:val="Footer"/>
    </w:pPr>
    <w:r>
      <w:rPr>
        <w:noProof/>
        <w:lang w:eastAsia="en-US"/>
      </w:rPr>
      <w:drawing>
        <wp:inline distT="0" distB="0" distL="0" distR="0" wp14:anchorId="2591E445" wp14:editId="490C972A">
          <wp:extent cx="1157826" cy="226934"/>
          <wp:effectExtent l="0" t="0" r="4445" b="1905"/>
          <wp:docPr id="2020315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pic:nvPicPr>
                <pic:blipFill>
                  <a:blip r:embed="rId1">
                    <a:extLst>
                      <a:ext uri="{28A0092B-C50C-407E-A947-70E740481C1C}">
                        <a14:useLocalDpi xmlns:a14="http://schemas.microsoft.com/office/drawing/2010/main" val="0"/>
                      </a:ext>
                    </a:extLst>
                  </a:blip>
                  <a:stretch>
                    <a:fillRect/>
                  </a:stretch>
                </pic:blipFill>
                <pic:spPr>
                  <a:xfrm>
                    <a:off x="0" y="0"/>
                    <a:ext cx="1157826" cy="226934"/>
                  </a:xfrm>
                  <a:prstGeom prst="rect">
                    <a:avLst/>
                  </a:prstGeom>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107613" w:rsidRDefault="0010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F82D" w14:textId="77777777" w:rsidR="00231B5B" w:rsidRDefault="00231B5B">
      <w:r>
        <w:separator/>
      </w:r>
    </w:p>
  </w:footnote>
  <w:footnote w:type="continuationSeparator" w:id="0">
    <w:p w14:paraId="2275620A" w14:textId="77777777" w:rsidR="00231B5B" w:rsidRDefault="00231B5B">
      <w:r>
        <w:continuationSeparator/>
      </w:r>
    </w:p>
  </w:footnote>
  <w:footnote w:type="continuationNotice" w:id="1">
    <w:p w14:paraId="64F5874D" w14:textId="77777777" w:rsidR="00231B5B" w:rsidRDefault="00231B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26B8947D" w:rsidR="00107613" w:rsidRPr="00501CAD" w:rsidRDefault="00107613"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w:t>
    </w:r>
    <w:r w:rsidR="00D009F7">
      <w:rPr>
        <w:rFonts w:asciiTheme="majorHAnsi" w:hAnsiTheme="majorHAnsi"/>
        <w:noProof/>
        <w:sz w:val="20"/>
        <w:szCs w:val="24"/>
      </w:rPr>
      <w:t>21</w:t>
    </w:r>
    <w:r>
      <w:rPr>
        <w:rFonts w:asciiTheme="majorHAnsi" w:hAnsiTheme="majorHAnsi"/>
        <w:noProof/>
        <w:sz w:val="20"/>
        <w:szCs w:val="24"/>
      </w:rPr>
      <w:t xml:space="preserve"> Top 10 Summary Report</w:t>
    </w:r>
  </w:p>
  <w:p w14:paraId="09BF77A7" w14:textId="77777777" w:rsidR="00107613" w:rsidRPr="00501CAD" w:rsidRDefault="00107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5309E938" w:rsidR="00107613" w:rsidRDefault="00107613"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4FA03CD0"/>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A3057BD"/>
    <w:multiLevelType w:val="hybridMultilevel"/>
    <w:tmpl w:val="63CA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7"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8" w15:restartNumberingAfterBreak="0">
    <w:nsid w:val="40070D39"/>
    <w:multiLevelType w:val="hybridMultilevel"/>
    <w:tmpl w:val="39C6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2724F"/>
    <w:multiLevelType w:val="hybridMultilevel"/>
    <w:tmpl w:val="0FD0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1" w15:restartNumberingAfterBreak="0">
    <w:nsid w:val="50DD7B5C"/>
    <w:multiLevelType w:val="hybridMultilevel"/>
    <w:tmpl w:val="81F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5" w15:restartNumberingAfterBreak="0">
    <w:nsid w:val="61DB66AD"/>
    <w:multiLevelType w:val="hybridMultilevel"/>
    <w:tmpl w:val="31C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84401"/>
    <w:multiLevelType w:val="hybridMultilevel"/>
    <w:tmpl w:val="36D6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18" w15:restartNumberingAfterBreak="0">
    <w:nsid w:val="7D991875"/>
    <w:multiLevelType w:val="hybridMultilevel"/>
    <w:tmpl w:val="FE42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5"/>
  </w:num>
  <w:num w:numId="5">
    <w:abstractNumId w:val="1"/>
  </w:num>
  <w:num w:numId="6">
    <w:abstractNumId w:val="0"/>
  </w:num>
  <w:num w:numId="7">
    <w:abstractNumId w:val="12"/>
  </w:num>
  <w:num w:numId="8">
    <w:abstractNumId w:val="14"/>
  </w:num>
  <w:num w:numId="9">
    <w:abstractNumId w:val="7"/>
  </w:num>
  <w:num w:numId="10">
    <w:abstractNumId w:val="3"/>
  </w:num>
  <w:num w:numId="11">
    <w:abstractNumId w:val="17"/>
  </w:num>
  <w:num w:numId="12">
    <w:abstractNumId w:val="13"/>
  </w:num>
  <w:num w:numId="13">
    <w:abstractNumId w:val="8"/>
  </w:num>
  <w:num w:numId="14">
    <w:abstractNumId w:val="16"/>
  </w:num>
  <w:num w:numId="15">
    <w:abstractNumId w:val="9"/>
  </w:num>
  <w:num w:numId="16">
    <w:abstractNumId w:val="18"/>
  </w:num>
  <w:num w:numId="17">
    <w:abstractNumId w:val="15"/>
  </w:num>
  <w:num w:numId="18">
    <w:abstractNumId w:val="4"/>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757"/>
    <w:rsid w:val="00092FB6"/>
    <w:rsid w:val="00093BA7"/>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4F8"/>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03DA"/>
    <w:rsid w:val="001232BC"/>
    <w:rsid w:val="00124214"/>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0D11"/>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28A8"/>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06F2D"/>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3D3E"/>
    <w:rsid w:val="002242DD"/>
    <w:rsid w:val="00224619"/>
    <w:rsid w:val="002260ED"/>
    <w:rsid w:val="00226793"/>
    <w:rsid w:val="002274DF"/>
    <w:rsid w:val="002275A3"/>
    <w:rsid w:val="00230166"/>
    <w:rsid w:val="0023097C"/>
    <w:rsid w:val="00231B5B"/>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9E1"/>
    <w:rsid w:val="00267B0E"/>
    <w:rsid w:val="00270A64"/>
    <w:rsid w:val="00270C29"/>
    <w:rsid w:val="00271F28"/>
    <w:rsid w:val="00272015"/>
    <w:rsid w:val="00272034"/>
    <w:rsid w:val="00272F3E"/>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082B"/>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1E71"/>
    <w:rsid w:val="002B3802"/>
    <w:rsid w:val="002C249C"/>
    <w:rsid w:val="002C30EF"/>
    <w:rsid w:val="002C3F06"/>
    <w:rsid w:val="002C4507"/>
    <w:rsid w:val="002C4B50"/>
    <w:rsid w:val="002C5519"/>
    <w:rsid w:val="002C58A6"/>
    <w:rsid w:val="002C5AC5"/>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3F68"/>
    <w:rsid w:val="002F5419"/>
    <w:rsid w:val="002F5502"/>
    <w:rsid w:val="002F72F7"/>
    <w:rsid w:val="0030030F"/>
    <w:rsid w:val="0030175A"/>
    <w:rsid w:val="0030281F"/>
    <w:rsid w:val="003028BF"/>
    <w:rsid w:val="0030351C"/>
    <w:rsid w:val="00303F72"/>
    <w:rsid w:val="00304222"/>
    <w:rsid w:val="0030482C"/>
    <w:rsid w:val="0030508E"/>
    <w:rsid w:val="00305163"/>
    <w:rsid w:val="003064F6"/>
    <w:rsid w:val="003066EF"/>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520"/>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C26"/>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1E0"/>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46F"/>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6AF"/>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93"/>
    <w:rsid w:val="004D76B6"/>
    <w:rsid w:val="004D7AA3"/>
    <w:rsid w:val="004E0824"/>
    <w:rsid w:val="004E0E60"/>
    <w:rsid w:val="004E1EC7"/>
    <w:rsid w:val="004E2FF1"/>
    <w:rsid w:val="004E307E"/>
    <w:rsid w:val="004E4FEE"/>
    <w:rsid w:val="004E52E1"/>
    <w:rsid w:val="004E6794"/>
    <w:rsid w:val="004E7786"/>
    <w:rsid w:val="004E7B59"/>
    <w:rsid w:val="004F01A3"/>
    <w:rsid w:val="004F0D29"/>
    <w:rsid w:val="004F29BF"/>
    <w:rsid w:val="004F2DE1"/>
    <w:rsid w:val="004F33B5"/>
    <w:rsid w:val="004F3401"/>
    <w:rsid w:val="004F493F"/>
    <w:rsid w:val="004F5DAC"/>
    <w:rsid w:val="004F6EEE"/>
    <w:rsid w:val="004F7054"/>
    <w:rsid w:val="004F75E1"/>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8D8"/>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3491"/>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5F75F3"/>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03A"/>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4925"/>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1A89"/>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2348"/>
    <w:rsid w:val="007733DC"/>
    <w:rsid w:val="0077467A"/>
    <w:rsid w:val="00775297"/>
    <w:rsid w:val="00775AD2"/>
    <w:rsid w:val="00775F8B"/>
    <w:rsid w:val="007819D5"/>
    <w:rsid w:val="00782BAF"/>
    <w:rsid w:val="00783306"/>
    <w:rsid w:val="00783389"/>
    <w:rsid w:val="007834A2"/>
    <w:rsid w:val="00783D09"/>
    <w:rsid w:val="00784637"/>
    <w:rsid w:val="00784FB7"/>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1419"/>
    <w:rsid w:val="007E3373"/>
    <w:rsid w:val="007E5201"/>
    <w:rsid w:val="007E5B2A"/>
    <w:rsid w:val="007E5B86"/>
    <w:rsid w:val="007E6477"/>
    <w:rsid w:val="007E686C"/>
    <w:rsid w:val="007E7BF9"/>
    <w:rsid w:val="007F169E"/>
    <w:rsid w:val="007F27B0"/>
    <w:rsid w:val="007F60D7"/>
    <w:rsid w:val="007F73A5"/>
    <w:rsid w:val="007F7F9E"/>
    <w:rsid w:val="00800D23"/>
    <w:rsid w:val="008010C9"/>
    <w:rsid w:val="0080119A"/>
    <w:rsid w:val="00801EF1"/>
    <w:rsid w:val="0080246B"/>
    <w:rsid w:val="008028C0"/>
    <w:rsid w:val="00802CC8"/>
    <w:rsid w:val="008048F6"/>
    <w:rsid w:val="008051A8"/>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10F"/>
    <w:rsid w:val="00851A7A"/>
    <w:rsid w:val="00851C66"/>
    <w:rsid w:val="00853987"/>
    <w:rsid w:val="00854317"/>
    <w:rsid w:val="008550D3"/>
    <w:rsid w:val="00855228"/>
    <w:rsid w:val="00855CA5"/>
    <w:rsid w:val="00855CAC"/>
    <w:rsid w:val="00855E35"/>
    <w:rsid w:val="00855F08"/>
    <w:rsid w:val="0085627B"/>
    <w:rsid w:val="008574DC"/>
    <w:rsid w:val="00857569"/>
    <w:rsid w:val="00860317"/>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66BB"/>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2C2E"/>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056"/>
    <w:rsid w:val="008E4550"/>
    <w:rsid w:val="008E5576"/>
    <w:rsid w:val="008E5DD0"/>
    <w:rsid w:val="008E67D9"/>
    <w:rsid w:val="008E7E83"/>
    <w:rsid w:val="008E7F70"/>
    <w:rsid w:val="008F07C5"/>
    <w:rsid w:val="008F08A5"/>
    <w:rsid w:val="008F10A4"/>
    <w:rsid w:val="008F1169"/>
    <w:rsid w:val="008F12B3"/>
    <w:rsid w:val="008F16A8"/>
    <w:rsid w:val="008F1E56"/>
    <w:rsid w:val="008F2778"/>
    <w:rsid w:val="008F41F0"/>
    <w:rsid w:val="008F5ABE"/>
    <w:rsid w:val="008F664F"/>
    <w:rsid w:val="008F6E88"/>
    <w:rsid w:val="008F7F24"/>
    <w:rsid w:val="00900C0D"/>
    <w:rsid w:val="00901E71"/>
    <w:rsid w:val="00901FF8"/>
    <w:rsid w:val="00903FC6"/>
    <w:rsid w:val="00904490"/>
    <w:rsid w:val="009055D7"/>
    <w:rsid w:val="00905AEB"/>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9B5"/>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C74DA"/>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6556"/>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07B1A"/>
    <w:rsid w:val="00A102D9"/>
    <w:rsid w:val="00A1054B"/>
    <w:rsid w:val="00A133F8"/>
    <w:rsid w:val="00A17F12"/>
    <w:rsid w:val="00A2017A"/>
    <w:rsid w:val="00A21943"/>
    <w:rsid w:val="00A21C4B"/>
    <w:rsid w:val="00A21EDC"/>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03F9"/>
    <w:rsid w:val="00A80636"/>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65F3"/>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5E0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3D68"/>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622E"/>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046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3DA3"/>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09F7"/>
    <w:rsid w:val="00D01086"/>
    <w:rsid w:val="00D014D3"/>
    <w:rsid w:val="00D01B68"/>
    <w:rsid w:val="00D022E5"/>
    <w:rsid w:val="00D0308F"/>
    <w:rsid w:val="00D04601"/>
    <w:rsid w:val="00D05F56"/>
    <w:rsid w:val="00D07136"/>
    <w:rsid w:val="00D12103"/>
    <w:rsid w:val="00D129B2"/>
    <w:rsid w:val="00D1401E"/>
    <w:rsid w:val="00D1410D"/>
    <w:rsid w:val="00D14A95"/>
    <w:rsid w:val="00D14CA9"/>
    <w:rsid w:val="00D14FC2"/>
    <w:rsid w:val="00D160E8"/>
    <w:rsid w:val="00D16148"/>
    <w:rsid w:val="00D16B3B"/>
    <w:rsid w:val="00D16E31"/>
    <w:rsid w:val="00D175F5"/>
    <w:rsid w:val="00D177EE"/>
    <w:rsid w:val="00D17D73"/>
    <w:rsid w:val="00D17E92"/>
    <w:rsid w:val="00D20741"/>
    <w:rsid w:val="00D20F71"/>
    <w:rsid w:val="00D216EF"/>
    <w:rsid w:val="00D21D62"/>
    <w:rsid w:val="00D21E08"/>
    <w:rsid w:val="00D222A5"/>
    <w:rsid w:val="00D222DB"/>
    <w:rsid w:val="00D22AF6"/>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2A93"/>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38F"/>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6C7"/>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1D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0C4"/>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17B"/>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6386"/>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4BF"/>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334E"/>
    <w:rsid w:val="00FE6155"/>
    <w:rsid w:val="00FF0071"/>
    <w:rsid w:val="00FF1F89"/>
    <w:rsid w:val="00FF21A8"/>
    <w:rsid w:val="00FF22D7"/>
    <w:rsid w:val="00FF31B2"/>
    <w:rsid w:val="00FF35AC"/>
    <w:rsid w:val="00FF4B5F"/>
    <w:rsid w:val="00FF4FE0"/>
    <w:rsid w:val="00FF59E0"/>
    <w:rsid w:val="00FF63CC"/>
    <w:rsid w:val="00FF6648"/>
    <w:rsid w:val="00FF7C92"/>
    <w:rsid w:val="348230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6943040">
      <w:bodyDiv w:val="1"/>
      <w:marLeft w:val="0"/>
      <w:marRight w:val="0"/>
      <w:marTop w:val="0"/>
      <w:marBottom w:val="0"/>
      <w:divBdr>
        <w:top w:val="none" w:sz="0" w:space="0" w:color="auto"/>
        <w:left w:val="none" w:sz="0" w:space="0" w:color="auto"/>
        <w:bottom w:val="none" w:sz="0" w:space="0" w:color="auto"/>
        <w:right w:val="none" w:sz="0" w:space="0" w:color="auto"/>
      </w:divBdr>
      <w:divsChild>
        <w:div w:id="902328348">
          <w:marLeft w:val="0"/>
          <w:marRight w:val="0"/>
          <w:marTop w:val="0"/>
          <w:marBottom w:val="0"/>
          <w:divBdr>
            <w:top w:val="none" w:sz="0" w:space="0" w:color="auto"/>
            <w:left w:val="none" w:sz="0" w:space="0" w:color="auto"/>
            <w:bottom w:val="none" w:sz="0" w:space="0" w:color="auto"/>
            <w:right w:val="none" w:sz="0" w:space="0" w:color="auto"/>
          </w:divBdr>
          <w:divsChild>
            <w:div w:id="1365710234">
              <w:marLeft w:val="0"/>
              <w:marRight w:val="0"/>
              <w:marTop w:val="0"/>
              <w:marBottom w:val="0"/>
              <w:divBdr>
                <w:top w:val="none" w:sz="0" w:space="0" w:color="auto"/>
                <w:left w:val="none" w:sz="0" w:space="0" w:color="auto"/>
                <w:bottom w:val="none" w:sz="0" w:space="0" w:color="auto"/>
                <w:right w:val="none" w:sz="0" w:space="0" w:color="auto"/>
              </w:divBdr>
              <w:divsChild>
                <w:div w:id="633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372968072">
      <w:bodyDiv w:val="1"/>
      <w:marLeft w:val="0"/>
      <w:marRight w:val="0"/>
      <w:marTop w:val="0"/>
      <w:marBottom w:val="0"/>
      <w:divBdr>
        <w:top w:val="none" w:sz="0" w:space="0" w:color="auto"/>
        <w:left w:val="none" w:sz="0" w:space="0" w:color="auto"/>
        <w:bottom w:val="none" w:sz="0" w:space="0" w:color="auto"/>
        <w:right w:val="none" w:sz="0" w:space="0" w:color="auto"/>
      </w:divBdr>
      <w:divsChild>
        <w:div w:id="2126537068">
          <w:marLeft w:val="0"/>
          <w:marRight w:val="0"/>
          <w:marTop w:val="0"/>
          <w:marBottom w:val="0"/>
          <w:divBdr>
            <w:top w:val="none" w:sz="0" w:space="0" w:color="auto"/>
            <w:left w:val="none" w:sz="0" w:space="0" w:color="auto"/>
            <w:bottom w:val="none" w:sz="0" w:space="0" w:color="auto"/>
            <w:right w:val="none" w:sz="0" w:space="0" w:color="auto"/>
          </w:divBdr>
          <w:divsChild>
            <w:div w:id="417364193">
              <w:marLeft w:val="0"/>
              <w:marRight w:val="0"/>
              <w:marTop w:val="0"/>
              <w:marBottom w:val="0"/>
              <w:divBdr>
                <w:top w:val="none" w:sz="0" w:space="0" w:color="auto"/>
                <w:left w:val="none" w:sz="0" w:space="0" w:color="auto"/>
                <w:bottom w:val="none" w:sz="0" w:space="0" w:color="auto"/>
                <w:right w:val="none" w:sz="0" w:space="0" w:color="auto"/>
              </w:divBdr>
              <w:divsChild>
                <w:div w:id="612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5627916">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03842482">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4461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wasp.org/Top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yperlink" Target="https://www.castsoftware.com/use-cases/application-security"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software-intellig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520Document%2520standard\MA7%2520-%2520CAST%2520word%2520Template%2520-%25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BCE06-4B99-5F47-910D-EEE6A4DA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MA7%20-%20CAST%20word%20Template%20-%20Draft.dotx</Template>
  <TotalTime>10</TotalTime>
  <Pages>16</Pages>
  <Words>2761</Words>
  <Characters>15738</Characters>
  <Application>Microsoft Office Word</Application>
  <DocSecurity>0</DocSecurity>
  <Lines>131</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18463</CharactersWithSpaces>
  <SharedDoc>false</SharedDoc>
  <HLinks>
    <vt:vector size="24" baseType="variant">
      <vt:variant>
        <vt:i4>3604587</vt:i4>
      </vt:variant>
      <vt:variant>
        <vt:i4>12</vt:i4>
      </vt:variant>
      <vt:variant>
        <vt:i4>0</vt:i4>
      </vt:variant>
      <vt:variant>
        <vt:i4>5</vt:i4>
      </vt:variant>
      <vt:variant>
        <vt:lpwstr>https://www.castsoftware.com/use-cases/application-security</vt:lpwstr>
      </vt:variant>
      <vt:variant>
        <vt:lpwstr/>
      </vt:variant>
      <vt:variant>
        <vt:i4>7995439</vt:i4>
      </vt:variant>
      <vt:variant>
        <vt:i4>9</vt:i4>
      </vt:variant>
      <vt:variant>
        <vt:i4>0</vt:i4>
      </vt:variant>
      <vt:variant>
        <vt:i4>5</vt:i4>
      </vt:variant>
      <vt:variant>
        <vt:lpwstr>https://www.castsoftware.com/software-intelligence</vt:lpwstr>
      </vt:variant>
      <vt:variant>
        <vt:lpwstr/>
      </vt:variant>
      <vt:variant>
        <vt:i4>65641</vt:i4>
      </vt:variant>
      <vt:variant>
        <vt:i4>6</vt:i4>
      </vt:variant>
      <vt:variant>
        <vt:i4>0</vt:i4>
      </vt:variant>
      <vt:variant>
        <vt:i4>5</vt:i4>
      </vt:variant>
      <vt:variant>
        <vt:lpwstr>https://www.owasp.org/index.php/Top_10-2017_Top_10</vt:lpwstr>
      </vt:variant>
      <vt:variant>
        <vt:lpwstr/>
      </vt:variant>
      <vt:variant>
        <vt:i4>65641</vt:i4>
      </vt:variant>
      <vt:variant>
        <vt:i4>3</vt:i4>
      </vt:variant>
      <vt:variant>
        <vt:i4>0</vt:i4>
      </vt:variant>
      <vt:variant>
        <vt:i4>5</vt:i4>
      </vt:variant>
      <vt:variant>
        <vt:lpwstr>https://www.owasp.org/index.php/Top_10-2017_Top_10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cp:revision>
  <cp:lastPrinted>2014-04-04T13:22:00Z</cp:lastPrinted>
  <dcterms:created xsi:type="dcterms:W3CDTF">2021-11-23T15:49:00Z</dcterms:created>
  <dcterms:modified xsi:type="dcterms:W3CDTF">2021-11-24T07:12:00Z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