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ID=QualityRuleId</w:t>
      </w:r>
      <w:r>
        <w:t xml:space="preserve"> or TechnicalCriterionId or BusinessCriterionId</w:t>
      </w:r>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454D9E"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7777777"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77777777"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77777777"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77777777"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0E420A33"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r w:rsidR="009C3968">
        <w:rPr>
          <w:b/>
          <w:szCs w:val="28"/>
          <w:u w:val="single"/>
        </w:rPr>
        <w:t xml:space="preserve"> </w:t>
      </w:r>
      <w:r w:rsidR="009C3968" w:rsidRPr="00D86682">
        <w:rPr>
          <w:b/>
          <w:noProof/>
          <w:color w:val="FF0000"/>
          <w:sz w:val="32"/>
          <w:szCs w:val="32"/>
        </w:rPr>
        <w:t>UPDATED</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4029"/>
        <w:gridCol w:w="875"/>
        <w:gridCol w:w="949"/>
        <w:gridCol w:w="949"/>
        <w:gridCol w:w="738"/>
        <w:gridCol w:w="847"/>
        <w:gridCol w:w="85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65399A"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65399A"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65399A"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02535AE1"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r w:rsidR="009543B7" w:rsidRPr="00D86682">
        <w:rPr>
          <w:b/>
          <w:noProof/>
          <w:color w:val="FF0000"/>
          <w:sz w:val="32"/>
          <w:szCs w:val="32"/>
        </w:rPr>
        <w:t>UPDATED</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8BAD0A0" w14:textId="490862C1"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5D0B3603" w14:textId="77777777" w:rsidR="009543B7" w:rsidRDefault="009543B7" w:rsidP="007C02CC">
      <w:pPr>
        <w:pStyle w:val="functionnalTab"/>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r>
      <w:r w:rsidRPr="00536820">
        <w:rPr>
          <w:bCs/>
          <w:noProof/>
          <w:sz w:val="20"/>
          <w:lang w:val="en-US"/>
        </w:rPr>
        <w:lastRenderedPageBreak/>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11E97844" w:rsidR="00A517F3" w:rsidRPr="00A517F3" w:rsidRDefault="00A517F3" w:rsidP="00A517F3">
      <w:pPr>
        <w:pStyle w:val="Heading3"/>
        <w:rPr>
          <w:b/>
          <w:noProof/>
        </w:rPr>
      </w:pPr>
      <w:r w:rsidRPr="00A517F3">
        <w:rPr>
          <w:b/>
          <w:noProof/>
          <w:u w:val="single"/>
        </w:rPr>
        <w:t>List of violations statistics by BC, TC or Standard Quality Tag</w:t>
      </w:r>
      <w:r w:rsidR="009C3968">
        <w:rPr>
          <w:b/>
          <w:noProof/>
          <w:u w:val="single"/>
        </w:rPr>
        <w:t xml:space="preserve">    </w:t>
      </w:r>
      <w:r w:rsidR="009C3968" w:rsidRPr="00D86682">
        <w:rPr>
          <w:b/>
          <w:noProof/>
          <w:color w:val="FF0000"/>
          <w:sz w:val="32"/>
          <w:szCs w:val="32"/>
        </w:rPr>
        <w:t>UPDATED</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1525BF37" w:rsidR="0065399A" w:rsidRPr="00BC7067"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For display rationale, description and remediation of the rule. By default if not present, it is false</w:t>
      </w:r>
      <w:r>
        <w:rPr>
          <w:sz w:val="22"/>
          <w:szCs w:val="22"/>
        </w:rPr>
        <w:t>.</w:t>
      </w:r>
      <w:bookmarkStart w:id="9" w:name="_GoBack"/>
      <w:bookmarkEnd w:id="9"/>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78EE8DF5"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r w:rsidR="009C3968" w:rsidRPr="00D86682">
        <w:rPr>
          <w:b/>
          <w:noProof/>
          <w:color w:val="FF0000"/>
          <w:sz w:val="32"/>
          <w:szCs w:val="32"/>
        </w:rPr>
        <w:t>UPDATED</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31199AED" w:rsidR="00280012" w:rsidRPr="00746D21" w:rsidRDefault="00280012" w:rsidP="008D2E35">
      <w:pPr>
        <w:pStyle w:val="functionnalTab"/>
        <w:rPr>
          <w:sz w:val="22"/>
          <w:szCs w:val="22"/>
        </w:rPr>
      </w:pPr>
      <w:r>
        <w:rPr>
          <w:sz w:val="22"/>
          <w:szCs w:val="22"/>
        </w:rPr>
        <w:lastRenderedPageBreak/>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lastRenderedPageBreak/>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c for only critical violations, nc for only non critical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lastRenderedPageBreak/>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“moderate”,”high”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201906">
            <w:pPr>
              <w:spacing w:after="0"/>
              <w:rPr>
                <w:b w:val="0"/>
                <w:noProof/>
                <w:sz w:val="18"/>
                <w:szCs w:val="20"/>
              </w:rPr>
            </w:pPr>
            <w:r>
              <w:rPr>
                <w:b w:val="0"/>
                <w:noProof/>
                <w:sz w:val="18"/>
                <w:szCs w:val="20"/>
              </w:rPr>
              <w:lastRenderedPageBreak/>
              <w:t>Object 1</w:t>
            </w:r>
          </w:p>
        </w:tc>
        <w:tc>
          <w:tcPr>
            <w:tcW w:w="76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0FE41E27"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4F113D">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4F66CB">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4F66CB">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4F66C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4F66CB">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4F66C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2582FC" w14:textId="77777777" w:rsidR="00316FDA" w:rsidRPr="001C0F1F" w:rsidRDefault="00316FDA" w:rsidP="00316FDA">
      <w:pPr>
        <w:pStyle w:val="Heading3"/>
        <w:numPr>
          <w:ilvl w:val="0"/>
          <w:numId w:val="0"/>
        </w:numPr>
        <w:rPr>
          <w:noProof/>
        </w:rPr>
      </w:pPr>
    </w:p>
    <w:p w14:paraId="411ED357" w14:textId="77777777" w:rsidR="002E43A7" w:rsidRPr="001C0F1F" w:rsidRDefault="002E43A7" w:rsidP="002E43A7">
      <w:pPr>
        <w:pStyle w:val="Heading3"/>
        <w:numPr>
          <w:ilvl w:val="0"/>
          <w:numId w:val="0"/>
        </w:numPr>
        <w:rPr>
          <w:noProof/>
        </w:rPr>
      </w:pPr>
    </w:p>
    <w:p w14:paraId="569E899F" w14:textId="77777777" w:rsidR="00746D21" w:rsidRDefault="00746D21" w:rsidP="00746D21">
      <w:pPr>
        <w:rPr>
          <w:lang w:val="en-US"/>
        </w:rPr>
      </w:pPr>
    </w:p>
    <w:p w14:paraId="1B126A83" w14:textId="77777777" w:rsidR="00746D21" w:rsidRPr="00746D21" w:rsidRDefault="00746D21" w:rsidP="00746D21">
      <w:pPr>
        <w:rPr>
          <w:lang w:val="en-US"/>
        </w:rPr>
      </w:pPr>
    </w:p>
    <w:p w14:paraId="2C8CDD96" w14:textId="77777777" w:rsidR="00A517F3" w:rsidRPr="001C0F1F" w:rsidRDefault="00A517F3" w:rsidP="00A517F3">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3BADE" w14:textId="77777777" w:rsidR="00454D9E" w:rsidRDefault="00454D9E" w:rsidP="0019160A">
      <w:pPr>
        <w:spacing w:after="0" w:line="240" w:lineRule="auto"/>
      </w:pPr>
      <w:r>
        <w:separator/>
      </w:r>
    </w:p>
  </w:endnote>
  <w:endnote w:type="continuationSeparator" w:id="0">
    <w:p w14:paraId="6BED3ACF" w14:textId="77777777" w:rsidR="00454D9E" w:rsidRDefault="00454D9E"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23996" w14:textId="77777777" w:rsidR="00454D9E" w:rsidRDefault="00454D9E" w:rsidP="0019160A">
      <w:pPr>
        <w:spacing w:after="0" w:line="240" w:lineRule="auto"/>
      </w:pPr>
      <w:r>
        <w:separator/>
      </w:r>
    </w:p>
  </w:footnote>
  <w:footnote w:type="continuationSeparator" w:id="0">
    <w:p w14:paraId="4E32FB09" w14:textId="77777777" w:rsidR="00454D9E" w:rsidRDefault="00454D9E"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5D258C"/>
    <w:multiLevelType w:val="hybridMultilevel"/>
    <w:tmpl w:val="70B662D0"/>
    <w:lvl w:ilvl="0" w:tplc="5A7A97F6">
      <w:start w:val="1"/>
      <w:numFmt w:val="bullet"/>
      <w:lvlText w:val="-"/>
      <w:lvlJc w:val="left"/>
      <w:pPr>
        <w:tabs>
          <w:tab w:val="num" w:pos="720"/>
        </w:tabs>
        <w:ind w:left="720" w:hanging="360"/>
      </w:pPr>
      <w:rPr>
        <w:rFonts w:ascii="Times New Roman" w:hAnsi="Times New Roman" w:hint="default"/>
      </w:rPr>
    </w:lvl>
    <w:lvl w:ilvl="1" w:tplc="3006AAC0" w:tentative="1">
      <w:start w:val="1"/>
      <w:numFmt w:val="bullet"/>
      <w:lvlText w:val="-"/>
      <w:lvlJc w:val="left"/>
      <w:pPr>
        <w:tabs>
          <w:tab w:val="num" w:pos="1440"/>
        </w:tabs>
        <w:ind w:left="1440" w:hanging="360"/>
      </w:pPr>
      <w:rPr>
        <w:rFonts w:ascii="Times New Roman" w:hAnsi="Times New Roman" w:hint="default"/>
      </w:rPr>
    </w:lvl>
    <w:lvl w:ilvl="2" w:tplc="124A2060" w:tentative="1">
      <w:start w:val="1"/>
      <w:numFmt w:val="bullet"/>
      <w:lvlText w:val="-"/>
      <w:lvlJc w:val="left"/>
      <w:pPr>
        <w:tabs>
          <w:tab w:val="num" w:pos="2160"/>
        </w:tabs>
        <w:ind w:left="2160" w:hanging="360"/>
      </w:pPr>
      <w:rPr>
        <w:rFonts w:ascii="Times New Roman" w:hAnsi="Times New Roman" w:hint="default"/>
      </w:rPr>
    </w:lvl>
    <w:lvl w:ilvl="3" w:tplc="44D4E670" w:tentative="1">
      <w:start w:val="1"/>
      <w:numFmt w:val="bullet"/>
      <w:lvlText w:val="-"/>
      <w:lvlJc w:val="left"/>
      <w:pPr>
        <w:tabs>
          <w:tab w:val="num" w:pos="2880"/>
        </w:tabs>
        <w:ind w:left="2880" w:hanging="360"/>
      </w:pPr>
      <w:rPr>
        <w:rFonts w:ascii="Times New Roman" w:hAnsi="Times New Roman" w:hint="default"/>
      </w:rPr>
    </w:lvl>
    <w:lvl w:ilvl="4" w:tplc="026E8480" w:tentative="1">
      <w:start w:val="1"/>
      <w:numFmt w:val="bullet"/>
      <w:lvlText w:val="-"/>
      <w:lvlJc w:val="left"/>
      <w:pPr>
        <w:tabs>
          <w:tab w:val="num" w:pos="3600"/>
        </w:tabs>
        <w:ind w:left="3600" w:hanging="360"/>
      </w:pPr>
      <w:rPr>
        <w:rFonts w:ascii="Times New Roman" w:hAnsi="Times New Roman" w:hint="default"/>
      </w:rPr>
    </w:lvl>
    <w:lvl w:ilvl="5" w:tplc="BA7A7024" w:tentative="1">
      <w:start w:val="1"/>
      <w:numFmt w:val="bullet"/>
      <w:lvlText w:val="-"/>
      <w:lvlJc w:val="left"/>
      <w:pPr>
        <w:tabs>
          <w:tab w:val="num" w:pos="4320"/>
        </w:tabs>
        <w:ind w:left="4320" w:hanging="360"/>
      </w:pPr>
      <w:rPr>
        <w:rFonts w:ascii="Times New Roman" w:hAnsi="Times New Roman" w:hint="default"/>
      </w:rPr>
    </w:lvl>
    <w:lvl w:ilvl="6" w:tplc="79FAF1BC" w:tentative="1">
      <w:start w:val="1"/>
      <w:numFmt w:val="bullet"/>
      <w:lvlText w:val="-"/>
      <w:lvlJc w:val="left"/>
      <w:pPr>
        <w:tabs>
          <w:tab w:val="num" w:pos="5040"/>
        </w:tabs>
        <w:ind w:left="5040" w:hanging="360"/>
      </w:pPr>
      <w:rPr>
        <w:rFonts w:ascii="Times New Roman" w:hAnsi="Times New Roman" w:hint="default"/>
      </w:rPr>
    </w:lvl>
    <w:lvl w:ilvl="7" w:tplc="6A8E5BAE" w:tentative="1">
      <w:start w:val="1"/>
      <w:numFmt w:val="bullet"/>
      <w:lvlText w:val="-"/>
      <w:lvlJc w:val="left"/>
      <w:pPr>
        <w:tabs>
          <w:tab w:val="num" w:pos="5760"/>
        </w:tabs>
        <w:ind w:left="5760" w:hanging="360"/>
      </w:pPr>
      <w:rPr>
        <w:rFonts w:ascii="Times New Roman" w:hAnsi="Times New Roman" w:hint="default"/>
      </w:rPr>
    </w:lvl>
    <w:lvl w:ilvl="8" w:tplc="B4A262B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5"/>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B7"/>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B77D2"/>
    <w:rsid w:val="009C3968"/>
    <w:rsid w:val="009C505D"/>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E6CF0-5FF8-4510-9381-52592658C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6889</Words>
  <Characters>39272</Characters>
  <Application>Microsoft Office Word</Application>
  <DocSecurity>0</DocSecurity>
  <Lines>327</Lines>
  <Paragraphs>92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2019-12-03T07:58:00Z</dcterms:modified>
  <cp:version/>
</cp:coreProperties>
</file>