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5F34D2"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E453EC"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E453EC"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E453EC"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lastRenderedPageBreak/>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lastRenderedPageBreak/>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lastRenderedPageBreak/>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 xml:space="preserve">by default (or option not present) source code is displayed, if you </w:t>
      </w:r>
      <w:proofErr w:type="gramStart"/>
      <w:r>
        <w:t>don’t</w:t>
      </w:r>
      <w:proofErr w:type="gramEnd"/>
      <w:r>
        <w:t xml:space="preserve">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lastRenderedPageBreak/>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Pr>
          <w:b/>
        </w:rPr>
        <w:t>=</w:t>
      </w:r>
      <w:r w:rsidRPr="005F065F">
        <w:t xml:space="preserve"> </w:t>
      </w:r>
      <w:r>
        <w:rPr>
          <w:sz w:val="22"/>
        </w:rPr>
        <w:t>number of violations to display, 10 by default or if not set, ALL for displaying all the violations in action plan</w:t>
      </w:r>
    </w:p>
    <w:p w14:paraId="5691202B" w14:textId="55BF4FC8" w:rsidR="00E453EC" w:rsidRDefault="00E453EC" w:rsidP="00E453EC">
      <w:pPr>
        <w:pStyle w:val="functionnalTab"/>
        <w:rPr>
          <w:sz w:val="22"/>
        </w:rPr>
      </w:pPr>
      <w:r w:rsidRPr="00455E6B">
        <w:tab/>
      </w:r>
      <w:r>
        <w:t xml:space="preserve">- </w:t>
      </w:r>
      <w:r>
        <w:rPr>
          <w:b/>
        </w:rPr>
        <w:t>FILTER</w:t>
      </w:r>
      <w:r>
        <w:rPr>
          <w:b/>
        </w:rPr>
        <w:t>=</w:t>
      </w:r>
      <w:r w:rsidRPr="005F065F">
        <w:t xml:space="preserve"> </w:t>
      </w:r>
      <w:r>
        <w:t>added | solved | pending</w:t>
      </w:r>
      <w:r>
        <w:rPr>
          <w:sz w:val="22"/>
        </w:rPr>
        <w:t xml:space="preserve"> to filter the violations by their status</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77777777"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242"/>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77777777" w:rsidR="00E453EC" w:rsidRDefault="00E453EC"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33F62" w14:textId="77777777" w:rsidR="005F34D2" w:rsidRDefault="005F34D2" w:rsidP="0019160A">
      <w:pPr>
        <w:spacing w:after="0" w:line="240" w:lineRule="auto"/>
      </w:pPr>
      <w:r>
        <w:separator/>
      </w:r>
    </w:p>
  </w:endnote>
  <w:endnote w:type="continuationSeparator" w:id="0">
    <w:p w14:paraId="7EA1D54B" w14:textId="77777777" w:rsidR="005F34D2" w:rsidRDefault="005F34D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DE834" w14:textId="77777777" w:rsidR="005F34D2" w:rsidRDefault="005F34D2" w:rsidP="0019160A">
      <w:pPr>
        <w:spacing w:after="0" w:line="240" w:lineRule="auto"/>
      </w:pPr>
      <w:r>
        <w:separator/>
      </w:r>
    </w:p>
  </w:footnote>
  <w:footnote w:type="continuationSeparator" w:id="0">
    <w:p w14:paraId="1F79E048" w14:textId="77777777" w:rsidR="005F34D2" w:rsidRDefault="005F34D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7658</Words>
  <Characters>43655</Characters>
  <Application>Microsoft Office Word</Application>
  <DocSecurity>0</DocSecurity>
  <Lines>363</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2020-11-20T09:56:00Z</dcterms:modified>
  <cp:version/>
</cp:coreProperties>
</file>