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 xml:space="preserve">Background Fact </w:t>
      </w:r>
      <w:proofErr w:type="gramStart"/>
      <w:r>
        <w:t>Id</w:t>
      </w:r>
      <w:proofErr w:type="gramEnd"/>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 xml:space="preserve">EXPR=a/b, (operators can be +, -, *, </w:t>
      </w:r>
      <w:proofErr w:type="gramStart"/>
      <w:r w:rsidRPr="00BB02CC">
        <w:t>/ ,</w:t>
      </w:r>
      <w:proofErr w:type="gramEnd"/>
      <w:r w:rsidRPr="00BB02CC">
        <w:t xml:space="preserve">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 xml:space="preserve">Either ID, either PARAMS </w:t>
      </w:r>
      <w:proofErr w:type="gramStart"/>
      <w:r w:rsidRPr="00BB02CC">
        <w:t>and</w:t>
      </w:r>
      <w:proofErr w:type="gramEnd"/>
      <w:r w:rsidRPr="00BB02CC">
        <w:t xml:space="preserve">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xml:space="preserve">- </w:t>
      </w:r>
      <w:proofErr w:type="gramStart"/>
      <w:r w:rsidRPr="00BD169F">
        <w:rPr>
          <w:rFonts w:ascii="Corbel" w:eastAsia="Corbel" w:hAnsi="Corbel" w:cs="Corbel"/>
          <w:i/>
          <w:iCs/>
        </w:rPr>
        <w:t>ID:AIP</w:t>
      </w:r>
      <w:proofErr w:type="gramEnd"/>
      <w:r w:rsidRPr="00BD169F">
        <w:rPr>
          <w:rFonts w:ascii="Corbel" w:eastAsia="Corbel" w:hAnsi="Corbel" w:cs="Corbel"/>
          <w:i/>
          <w:iCs/>
        </w:rPr>
        <w:t>|CISQ|ISO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proofErr w:type="gramStart"/>
      <w:r>
        <w:lastRenderedPageBreak/>
        <w:t>Notes :</w:t>
      </w:r>
      <w:proofErr w:type="gramEnd"/>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 xml:space="preserve">You can put a category id instead of a sizing measure, for example 65104 </w:t>
      </w:r>
      <w:proofErr w:type="gramStart"/>
      <w:r w:rsidRPr="00CA2844">
        <w:t>for  very</w:t>
      </w:r>
      <w:proofErr w:type="gramEnd"/>
      <w:r w:rsidRPr="00CA2844">
        <w:t xml:space="preserve">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 xml:space="preserve">PERCENT to get the variation </w:t>
      </w:r>
      <w:proofErr w:type="gramStart"/>
      <w:r w:rsidRPr="004D3B0F">
        <w:rPr>
          <w:rFonts w:ascii="Corbel" w:eastAsia="Corbel" w:hAnsi="Corbel" w:cs="Corbel"/>
        </w:rPr>
        <w:t>either direct</w:t>
      </w:r>
      <w:proofErr w:type="gramEnd"/>
      <w:r w:rsidRPr="004D3B0F">
        <w:rPr>
          <w:rFonts w:ascii="Corbel" w:eastAsia="Corbel" w:hAnsi="Corbel" w:cs="Corbel"/>
        </w:rPr>
        <w:t xml:space="preserve">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 xml:space="preserve">Either ID, either PARAMS </w:t>
      </w:r>
      <w:proofErr w:type="gramStart"/>
      <w:r w:rsidRPr="00D032F1">
        <w:rPr>
          <w:lang w:val="en-US"/>
        </w:rPr>
        <w:t>and</w:t>
      </w:r>
      <w:proofErr w:type="gramEnd"/>
      <w:r w:rsidRPr="00D032F1">
        <w:rPr>
          <w:lang w:val="en-US"/>
        </w:rPr>
        <w:t xml:space="preserve"> EXPR (for custom expression) should be specified.</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dtT2&#10;87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proofErr w:type="gramStart"/>
      <w:r w:rsidRPr="001D358C">
        <w:rPr>
          <w:i/>
        </w:rPr>
        <w:t>ID:AIP</w:t>
      </w:r>
      <w:proofErr w:type="gramEnd"/>
      <w:r w:rsidRPr="001D358C">
        <w:rPr>
          <w:i/>
        </w:rPr>
        <w:t>|CISQ|ISO (by default or if nothing selected, ISO)</w:t>
      </w:r>
    </w:p>
    <w:p w14:paraId="31006964" w14:textId="6CAAE3FA" w:rsidR="001D358C" w:rsidRDefault="001D358C" w:rsidP="001D358C">
      <w:pPr>
        <w:pStyle w:val="functionnalTab"/>
        <w:numPr>
          <w:ilvl w:val="0"/>
          <w:numId w:val="7"/>
        </w:numPr>
        <w:rPr>
          <w:i/>
        </w:rPr>
      </w:pPr>
      <w:proofErr w:type="gramStart"/>
      <w:r w:rsidRPr="001D358C">
        <w:rPr>
          <w:i/>
        </w:rPr>
        <w:t>SNAPSHOT:CURRENT</w:t>
      </w:r>
      <w:proofErr w:type="gramEnd"/>
      <w:r w:rsidRPr="001D358C">
        <w:rPr>
          <w:i/>
        </w:rPr>
        <w: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proofErr w:type="gramStart"/>
      <w:r w:rsidRPr="001D358C">
        <w:rPr>
          <w:sz w:val="22"/>
          <w:szCs w:val="18"/>
        </w:rPr>
        <w:t>Notes :</w:t>
      </w:r>
      <w:proofErr w:type="gramEnd"/>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A53B02" w:rsidP="00E17820">
      <w:pPr>
        <w:pStyle w:val="functionnalTab"/>
        <w:rPr>
          <w:rStyle w:val="Hyperlink"/>
        </w:rPr>
      </w:pPr>
      <w:hyperlink r:id="rId18"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proofErr w:type="gramStart"/>
      <w:r w:rsidRPr="004E50C9">
        <w:rPr>
          <w:b/>
        </w:rPr>
        <w:t>ID</w:t>
      </w:r>
      <w:r w:rsidRPr="004E50C9">
        <w:rPr>
          <w:bCs/>
        </w:rPr>
        <w:t>:AIP</w:t>
      </w:r>
      <w:proofErr w:type="gramEnd"/>
      <w:r w:rsidRPr="004E50C9">
        <w:rPr>
          <w:bCs/>
        </w:rPr>
        <w:t>|CISQ|ISO (by default or if nothing selected, ISO)</w:t>
      </w:r>
    </w:p>
    <w:p w14:paraId="214025D2" w14:textId="77777777" w:rsidR="004E50C9" w:rsidRDefault="004E50C9" w:rsidP="004E50C9">
      <w:pPr>
        <w:pStyle w:val="functionnalTab"/>
        <w:numPr>
          <w:ilvl w:val="0"/>
          <w:numId w:val="7"/>
        </w:numPr>
        <w:rPr>
          <w:b/>
        </w:rPr>
      </w:pPr>
      <w:proofErr w:type="gramStart"/>
      <w:r w:rsidRPr="004E50C9">
        <w:rPr>
          <w:b/>
        </w:rPr>
        <w:t>SNAPSHOT</w:t>
      </w:r>
      <w:r w:rsidRPr="004E50C9">
        <w:rPr>
          <w:bCs/>
        </w:rPr>
        <w:t>:CURRENT</w:t>
      </w:r>
      <w:proofErr w:type="gramEnd"/>
      <w:r w:rsidRPr="004E50C9">
        <w:rPr>
          <w:bCs/>
        </w:rPr>
        <w: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7A7448"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7A7448"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7A7448"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w:t>
      </w:r>
      <w:proofErr w:type="gramStart"/>
      <w:r w:rsidRPr="004D6048">
        <w:t>Options :</w:t>
      </w:r>
      <w:proofErr w:type="gramEnd"/>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proofErr w:type="gramStart"/>
      <w:r w:rsidRPr="003850EA">
        <w:rPr>
          <w:b/>
          <w:bCs/>
          <w:iCs/>
          <w:lang w:val="en-US"/>
        </w:rPr>
        <w:t>ID</w:t>
      </w:r>
      <w:r w:rsidRPr="003850EA">
        <w:rPr>
          <w:iCs/>
          <w:lang w:val="en-US"/>
        </w:rPr>
        <w:t>:AIP</w:t>
      </w:r>
      <w:proofErr w:type="gramEnd"/>
      <w:r w:rsidRPr="003850EA">
        <w:rPr>
          <w:iCs/>
          <w:lang w:val="en-US"/>
        </w:rPr>
        <w:t>|CISQ|ISO (by default or if nothing selected, ISO)</w:t>
      </w:r>
    </w:p>
    <w:p w14:paraId="14883145" w14:textId="45907639" w:rsidR="003850EA" w:rsidRPr="003850EA" w:rsidRDefault="003850EA" w:rsidP="003850EA">
      <w:pPr>
        <w:pStyle w:val="functionnalTab"/>
        <w:numPr>
          <w:ilvl w:val="0"/>
          <w:numId w:val="6"/>
        </w:numPr>
        <w:rPr>
          <w:iCs/>
          <w:lang w:val="en-US"/>
        </w:rPr>
      </w:pPr>
      <w:proofErr w:type="gramStart"/>
      <w:r w:rsidRPr="003850EA">
        <w:rPr>
          <w:b/>
          <w:bCs/>
          <w:iCs/>
          <w:lang w:val="en-US"/>
        </w:rPr>
        <w:t>SNAPSHOT</w:t>
      </w:r>
      <w:r w:rsidRPr="003850EA">
        <w:rPr>
          <w:iCs/>
          <w:lang w:val="en-US"/>
        </w:rPr>
        <w:t>:CURRENT</w:t>
      </w:r>
      <w:proofErr w:type="gramEnd"/>
      <w:r w:rsidRPr="003850EA">
        <w:rPr>
          <w:iCs/>
          <w:lang w:val="en-US"/>
        </w:rPr>
        <w:t>|PREVIOUS (by default or if nothing, CURRENT)</w:t>
      </w:r>
    </w:p>
    <w:p w14:paraId="3D656FAF" w14:textId="22E3E656" w:rsidR="003850EA" w:rsidRPr="00C85060" w:rsidRDefault="003850EA" w:rsidP="003850EA">
      <w:pPr>
        <w:pStyle w:val="functionnalTab"/>
        <w:numPr>
          <w:ilvl w:val="0"/>
          <w:numId w:val="6"/>
        </w:numPr>
        <w:rPr>
          <w:i/>
          <w:lang w:val="en-US"/>
        </w:rPr>
      </w:pPr>
      <w:proofErr w:type="gramStart"/>
      <w:r w:rsidRPr="00A20B00">
        <w:rPr>
          <w:b/>
          <w:lang w:val="en-US"/>
        </w:rPr>
        <w:t>HEADER</w:t>
      </w:r>
      <w:r>
        <w:rPr>
          <w:b/>
          <w:lang w:val="en-US"/>
        </w:rPr>
        <w:t>:</w:t>
      </w:r>
      <w:r w:rsidRPr="00A20B00">
        <w:rPr>
          <w:b/>
          <w:lang w:val="en-US"/>
        </w:rPr>
        <w:t>SHORT</w:t>
      </w:r>
      <w:proofErr w:type="gramEnd"/>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proofErr w:type="gramStart"/>
      <w:r w:rsidRPr="003850EA">
        <w:rPr>
          <w:b/>
          <w:bCs/>
          <w:iCs/>
          <w:lang w:val="en-US"/>
        </w:rPr>
        <w:t>ID</w:t>
      </w:r>
      <w:r w:rsidRPr="003850EA">
        <w:rPr>
          <w:iCs/>
          <w:lang w:val="en-US"/>
        </w:rPr>
        <w:t>:AIP</w:t>
      </w:r>
      <w:proofErr w:type="gramEnd"/>
      <w:r w:rsidRPr="003850EA">
        <w:rPr>
          <w:iCs/>
          <w:lang w:val="en-US"/>
        </w:rPr>
        <w:t>|CISQ|ISO (by default or if nothing selected, ISO)</w:t>
      </w:r>
    </w:p>
    <w:p w14:paraId="01D4C041" w14:textId="77777777" w:rsidR="00491968" w:rsidRPr="003850EA" w:rsidRDefault="00491968" w:rsidP="00491968">
      <w:pPr>
        <w:pStyle w:val="functionnalTab"/>
        <w:numPr>
          <w:ilvl w:val="0"/>
          <w:numId w:val="6"/>
        </w:numPr>
        <w:rPr>
          <w:iCs/>
          <w:lang w:val="en-US"/>
        </w:rPr>
      </w:pPr>
      <w:proofErr w:type="gramStart"/>
      <w:r w:rsidRPr="003850EA">
        <w:rPr>
          <w:b/>
          <w:bCs/>
          <w:iCs/>
          <w:lang w:val="en-US"/>
        </w:rPr>
        <w:t>SNAPSHOT</w:t>
      </w:r>
      <w:r w:rsidRPr="003850EA">
        <w:rPr>
          <w:iCs/>
          <w:lang w:val="en-US"/>
        </w:rPr>
        <w:t>:CURRENT</w:t>
      </w:r>
      <w:proofErr w:type="gramEnd"/>
      <w:r w:rsidRPr="003850EA">
        <w:rPr>
          <w:iCs/>
          <w:lang w:val="en-US"/>
        </w:rPr>
        <w: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lastRenderedPageBreak/>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w:t>
      </w:r>
      <w:proofErr w:type="gramStart"/>
      <w:r w:rsidRPr="0065399A">
        <w:rPr>
          <w:sz w:val="22"/>
          <w:szCs w:val="22"/>
        </w:rPr>
        <w:t>description</w:t>
      </w:r>
      <w:proofErr w:type="gramEnd"/>
      <w:r w:rsidRPr="0065399A">
        <w:rPr>
          <w:sz w:val="22"/>
          <w:szCs w:val="22"/>
        </w:rPr>
        <w:t xml:space="preserve">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w:t>
      </w:r>
      <w:proofErr w:type="gramStart"/>
      <w:r w:rsidR="00E65194">
        <w:rPr>
          <w:sz w:val="22"/>
        </w:rPr>
        <w:t>take also</w:t>
      </w:r>
      <w:proofErr w:type="gramEnd"/>
      <w:r w:rsidR="00E65194">
        <w:rPr>
          <w:sz w:val="22"/>
        </w:rPr>
        <w:t xml:space="preserve">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lastRenderedPageBreak/>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lastRenderedPageBreak/>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lastRenderedPageBreak/>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 xml:space="preserve">=true|false. For display rationale, </w:t>
      </w:r>
      <w:proofErr w:type="gramStart"/>
      <w:r w:rsidRPr="00991689">
        <w:rPr>
          <w:bCs/>
          <w:sz w:val="22"/>
          <w:szCs w:val="22"/>
        </w:rPr>
        <w:t>description</w:t>
      </w:r>
      <w:proofErr w:type="gramEnd"/>
      <w:r w:rsidRPr="00991689">
        <w:rPr>
          <w:bCs/>
          <w:sz w:val="22"/>
          <w:szCs w:val="22"/>
        </w:rPr>
        <w:t xml:space="preserve">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lastRenderedPageBreak/>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w:t>
      </w:r>
      <w:r>
        <w:rPr>
          <w:sz w:val="22"/>
          <w:szCs w:val="22"/>
        </w:rPr>
        <w:t>technical debt</w:t>
      </w:r>
      <w:r w:rsidRPr="005F49F4">
        <w:rPr>
          <w:sz w:val="22"/>
          <w:szCs w:val="22"/>
        </w:rPr>
        <w:t xml:space="preserve">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w:t>
      </w:r>
      <w:proofErr w:type="gramStart"/>
      <w:r>
        <w:rPr>
          <w:sz w:val="22"/>
          <w:szCs w:val="22"/>
        </w:rPr>
        <w:t>true :</w:t>
      </w:r>
      <w:proofErr w:type="gramEnd"/>
      <w:r>
        <w:rPr>
          <w:sz w:val="22"/>
          <w:szCs w:val="22"/>
        </w:rPr>
        <w:t xml:space="preserve"> add this one if you want to </w:t>
      </w:r>
      <w:r>
        <w:rPr>
          <w:sz w:val="22"/>
          <w:szCs w:val="22"/>
        </w:rPr>
        <w:t>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lastRenderedPageBreak/>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BEA6E" w14:textId="77777777" w:rsidR="00A53B02" w:rsidRDefault="00A53B02" w:rsidP="0019160A">
      <w:pPr>
        <w:spacing w:after="0" w:line="240" w:lineRule="auto"/>
      </w:pPr>
      <w:r>
        <w:separator/>
      </w:r>
    </w:p>
  </w:endnote>
  <w:endnote w:type="continuationSeparator" w:id="0">
    <w:p w14:paraId="547FAAD5" w14:textId="77777777" w:rsidR="00A53B02" w:rsidRDefault="00A53B0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F100" w14:textId="77777777" w:rsidR="00A53B02" w:rsidRDefault="00A53B02" w:rsidP="0019160A">
      <w:pPr>
        <w:spacing w:after="0" w:line="240" w:lineRule="auto"/>
      </w:pPr>
      <w:r>
        <w:separator/>
      </w:r>
    </w:p>
  </w:footnote>
  <w:footnote w:type="continuationSeparator" w:id="0">
    <w:p w14:paraId="42A95B76" w14:textId="77777777" w:rsidR="00A53B02" w:rsidRDefault="00A53B0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8585</Words>
  <Characters>48938</Characters>
  <Application>Microsoft Office Word</Application>
  <DocSecurity>0</DocSecurity>
  <Lines>407</Lines>
  <Paragraphs>114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2021-10-27T08:22:00Z</dcterms:modified>
  <cp:version/>
</cp:coreProperties>
</file>