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9C4BF"/>
          <w:sz w:val="17"/>
          <w:szCs w:val="17"/>
        </w:rPr>
        <w:t xml:space="preserve">VORSTANDSVORLAGE  ·  ZUR ENTSCHEIDUNG</w:t>
      </w:r>
    </w:p>
    <w:p>
      <w:pPr>
        <w:spacing w:after="60"/>
      </w:pPr>
      <w:r>
        <w:rPr>
          <w:rFonts w:ascii="Calibri" w:cs="Calibri" w:eastAsia="Calibri" w:hAnsi="Calibri"/>
          <w:b/>
          <w:bCs/>
          <w:color w:val="3B1A62"/>
          <w:sz w:val="38"/>
          <w:szCs w:val="38"/>
        </w:rPr>
        <w:t xml:space="preserve">Waiver ILP: GitHub, DragonflyDB und Azure Kubernetes Service</w:t>
      </w:r>
    </w:p>
    <w:p>
      <w:pPr>
        <w:spacing w:after="100" w:before="0" w:line="276"/>
      </w:pPr>
      <w:r>
        <w:rPr>
          <w:rFonts w:ascii="Calibri" w:cs="Calibri" w:eastAsia="Calibri" w:hAnsi="Calibri"/>
          <w:color w:val="595959"/>
          <w:sz w:val="21"/>
          <w:szCs w:val="21"/>
        </w:rPr>
        <w:t xml:space="preserve">Kein Rückbau auf Konzernstandards — Ausnahme mit Betriebsübernahme durch die AF EduTech</w:t>
      </w:r>
    </w:p>
    <w:p>
      <w:pPr>
        <w:pBdr>
          <w:bottom w:val="single" w:color="09C4BF" w:sz="6"/>
        </w:pBdr>
        <w:spacing w:after="120" w:before="60"/>
      </w:pPr>
      <w:r>
        <w:rPr>
          <w:sz w:val="2"/>
          <w:szCs w:val="2"/>
        </w:rPr>
        <w:t xml:space="preserve"/>
      </w:r>
    </w:p>
    <w:p>
      <w:pPr>
        <w:spacing w:after="160" w:before="0" w:line="276"/>
      </w:pPr>
      <w:r>
        <w:rPr>
          <w:rFonts w:ascii="Calibri" w:cs="Calibri" w:eastAsia="Calibri" w:hAnsi="Calibri"/>
          <w:b/>
          <w:bCs/>
          <w:sz w:val="18"/>
          <w:szCs w:val="18"/>
        </w:rPr>
        <w:t xml:space="preserve">Vorgelegt von </w:t>
      </w:r>
      <w:r>
        <w:rPr>
          <w:rFonts w:ascii="Calibri" w:cs="Calibri" w:eastAsia="Calibri" w:hAnsi="Calibri"/>
          <w:sz w:val="18"/>
          <w:szCs w:val="18"/>
        </w:rPr>
        <w:t xml:space="preserve">Nils Manegold, Geschäftsführer AF EduTech / GFN GmbH</w:t>
      </w:r>
      <w:r>
        <w:rPr>
          <w:rFonts w:ascii="Calibri" w:cs="Calibri" w:eastAsia="Calibri" w:hAnsi="Calibri"/>
          <w:b/>
          <w:bCs/>
          <w:sz w:val="18"/>
          <w:szCs w:val="18"/>
        </w:rPr>
        <w:t xml:space="preserve">      ·      Vorgelegt an </w:t>
      </w:r>
      <w:r>
        <w:rPr>
          <w:rFonts w:ascii="Calibri" w:cs="Calibri" w:eastAsia="Calibri" w:hAnsi="Calibri"/>
          <w:sz w:val="18"/>
          <w:szCs w:val="18"/>
        </w:rPr>
        <w:t xml:space="preserve">Vorstand der Amadeus Fire AG</w:t>
      </w:r>
      <w:r>
        <w:rPr>
          <w:rFonts w:ascii="Calibri" w:cs="Calibri" w:eastAsia="Calibri" w:hAnsi="Calibri"/>
          <w:b/>
          <w:bCs/>
          <w:sz w:val="18"/>
          <w:szCs w:val="18"/>
        </w:rPr>
        <w:t xml:space="preserve">      ·      Nachrichtlich </w:t>
      </w:r>
      <w:r>
        <w:rPr>
          <w:rFonts w:ascii="Calibri" w:cs="Calibri" w:eastAsia="Calibri" w:hAnsi="Calibri"/>
          <w:sz w:val="18"/>
          <w:szCs w:val="18"/>
        </w:rPr>
        <w:t xml:space="preserve">Dr. Thomas Kretzberg, Group CIO</w:t>
      </w:r>
      <w:r>
        <w:rPr>
          <w:rFonts w:ascii="Calibri" w:cs="Calibri" w:eastAsia="Calibri" w:hAnsi="Calibri"/>
          <w:sz w:val="18"/>
          <w:szCs w:val="18"/>
        </w:rPr>
        <w:t xml:space="preserve">      ·      </w:t>
      </w:r>
      <w:r>
        <w:rPr>
          <w:rFonts w:ascii="Calibri" w:cs="Calibri" w:eastAsia="Calibri" w:hAnsi="Calibri"/>
          <w:sz w:val="18"/>
          <w:szCs w:val="18"/>
        </w:rPr>
        <w:t xml:space="preserve">1. September 2026</w:t>
      </w:r>
    </w:p>
    <w:p>
      <w:pPr>
        <w:pStyle w:val="Heading3"/>
        <w:spacing w:after="100" w:before="240"/>
      </w:pPr>
      <w:r>
        <w:rPr>
          <w:rFonts w:ascii="Calibri" w:cs="Calibri" w:eastAsia="Calibri" w:hAnsi="Calibri"/>
          <w:b/>
          <w:bCs/>
          <w:sz w:val="22"/>
          <w:szCs w:val="22"/>
        </w:rPr>
        <w:t xml:space="preserve">Worum es geht</w:t>
      </w:r>
    </w:p>
    <w:p>
      <w:pPr>
        <w:spacing w:after="100" w:before="0" w:line="276"/>
      </w:pPr>
      <w:r>
        <w:rPr>
          <w:rFonts w:ascii="Calibri" w:cs="Calibri" w:eastAsia="Calibri" w:hAnsi="Calibri"/>
          <w:sz w:val="20"/>
          <w:szCs w:val="20"/>
        </w:rPr>
        <w:t xml:space="preserve">Im Projekt ILP werden drei Komponenten eingesetzt, die nicht Konzernstandard sind: </w:t>
      </w:r>
      <w:r>
        <w:rPr>
          <w:rFonts w:ascii="Calibri" w:cs="Calibri" w:eastAsia="Calibri" w:hAnsi="Calibri"/>
          <w:b/>
          <w:bCs/>
          <w:sz w:val="20"/>
          <w:szCs w:val="20"/>
        </w:rPr>
        <w:t xml:space="preserve">GitHub</w:t>
      </w:r>
      <w:r>
        <w:rPr>
          <w:rFonts w:ascii="Calibri" w:cs="Calibri" w:eastAsia="Calibri" w:hAnsi="Calibri"/>
          <w:sz w:val="20"/>
          <w:szCs w:val="20"/>
        </w:rPr>
        <w:t xml:space="preserve"> als Entwicklungs- und CI/CD-Plattform, </w:t>
      </w:r>
      <w:r>
        <w:rPr>
          <w:rFonts w:ascii="Calibri" w:cs="Calibri" w:eastAsia="Calibri" w:hAnsi="Calibri"/>
          <w:b/>
          <w:bCs/>
          <w:sz w:val="20"/>
          <w:szCs w:val="20"/>
        </w:rPr>
        <w:t xml:space="preserve">DragonflyDB</w:t>
      </w:r>
      <w:r>
        <w:rPr>
          <w:rFonts w:ascii="Calibri" w:cs="Calibri" w:eastAsia="Calibri" w:hAnsi="Calibri"/>
          <w:sz w:val="20"/>
          <w:szCs w:val="20"/>
        </w:rPr>
        <w:t xml:space="preserve"> als In-Memory-Datastore und </w:t>
      </w:r>
      <w:r>
        <w:rPr>
          <w:rFonts w:ascii="Calibri" w:cs="Calibri" w:eastAsia="Calibri" w:hAnsi="Calibri"/>
          <w:b/>
          <w:bCs/>
          <w:sz w:val="20"/>
          <w:szCs w:val="20"/>
        </w:rPr>
        <w:t xml:space="preserve">Azure Kubernetes Service</w:t>
      </w:r>
      <w:r>
        <w:rPr>
          <w:rFonts w:ascii="Calibri" w:cs="Calibri" w:eastAsia="Calibri" w:hAnsi="Calibri"/>
          <w:sz w:val="20"/>
          <w:szCs w:val="20"/>
        </w:rPr>
        <w:t xml:space="preserve"> als Container-Laufzeitumgebung. Die Group-IT prüft drei Waiver-Anträge und benötigt dafür eine Entscheidung über Dauer und Rückbauplanung.</w:t>
      </w:r>
    </w:p>
    <w:p>
      <w:pPr>
        <w:spacing w:after="100" w:before="0" w:line="276"/>
      </w:pPr>
      <w:r>
        <w:rPr>
          <w:rFonts w:ascii="Calibri" w:cs="Calibri" w:eastAsia="Calibri" w:hAnsi="Calibri"/>
          <w:sz w:val="20"/>
          <w:szCs w:val="20"/>
        </w:rPr>
        <w:t xml:space="preserve">Ein Rückbau kostet nach den Schätzungen des Umsetzungspartners und des Entwicklungsteams zusammen 85 Personentage, verzögert das Projekt und erzeugt bei keiner der drei Komponenten einen bezifferten Konzernnutzen. </w:t>
      </w:r>
      <w:r>
        <w:rPr>
          <w:rFonts w:ascii="Calibri" w:cs="Calibri" w:eastAsia="Calibri" w:hAnsi="Calibri"/>
          <w:sz w:val="20"/>
          <w:szCs w:val="20"/>
        </w:rPr>
        <w:t xml:space="preserve">Für Entwicklungsplattformen lässt der Governance-Entwurf bereits zwei Standards nebeneinander zu (Azure DevOps oder GitLab) — ein Wechsel würde die Landschaft daher nicht vereinheitlichen. Für In-Memory-Datastores und für Container-Laufzeitumgebungen benennt der Entwurf gar keinen Standard.</w:t>
      </w:r>
    </w:p>
    <w:p>
      <w:pPr>
        <w:spacing w:after="180" w:before="0" w:line="276"/>
      </w:pPr>
      <w:r>
        <w:rPr>
          <w:rFonts w:ascii="Calibri" w:cs="Calibri" w:eastAsia="Calibri" w:hAnsi="Calibri"/>
          <w:sz w:val="20"/>
          <w:szCs w:val="20"/>
        </w:rPr>
        <w:t xml:space="preserve">Die Entscheidung liegt beim Vorstand, weil das Waiver-Verfahren noch nicht vollständig beschrieben ist: Der Governance-Entwurf trägt die Version 0.8 und ist nicht beschlossen; Antragsformular, Dokumentationsanforderung, Entscheidungsfrist, Register und eine Überprüfungsmöglichkeit fehlen. Regelsetzer und Entscheider sind dieselbe Funktion.</w:t>
      </w:r>
    </w:p>
    <w:p>
      <w:pPr>
        <w:spacing w:after="100" w:before="40"/>
      </w:pPr>
      <w:r>
        <w:rPr>
          <w:rFonts w:ascii="Calibri" w:cs="Calibri" w:eastAsia="Calibri" w:hAnsi="Calibri"/>
          <w:b/>
          <w:bCs/>
          <w:color w:val="3B1A62"/>
          <w:sz w:val="24"/>
          <w:szCs w:val="24"/>
        </w:rPr>
        <w:t xml:space="preserve">Entscheidung</w:t>
      </w:r>
    </w:p>
    <w:tbl>
      <w:tblPr>
        <w:tblW w:type="dxa" w:w="9026"/>
        <w:tblBorders>
          <w:top w:val="none"/>
          <w:left w:val="none"/>
          <w:bottom w:val="none"/>
          <w:right w:val="none"/>
          <w:insideH w:val="none"/>
          <w:insideV w:val="none"/>
        </w:tblBorders>
      </w:tblPr>
      <w:tblGrid>
        <w:gridCol w:w="420"/>
        <w:gridCol w:w="8606"/>
      </w:tblGrid>
      <w:tr>
        <w:tc>
          <w:tcPr>
            <w:tcW w:type="dxa" w:w="420"/>
            <w:tcBorders>
              <w:top w:val="none"/>
              <w:left w:val="none"/>
              <w:bottom w:val="none"/>
              <w:right w:val="none"/>
            </w:tcBorders>
            <w:tcMar>
              <w:top w:type="dxa" w:w="60"/>
              <w:left w:type="dxa" w:w="20"/>
              <w:bottom w:type="dxa" w:w="60"/>
              <w:right w:type="dxa" w:w="120"/>
            </w:tcMar>
          </w:tcPr>
          <w:tbl>
            <w:tblPr>
              <w:tblW w:type="dxa" w:w="280"/>
              <w:tblBorders>
                <w:top w:val="single" w:color="404040" w:sz="6"/>
                <w:left w:val="single" w:color="404040" w:sz="6"/>
                <w:bottom w:val="single" w:color="404040" w:sz="6"/>
                <w:right w:val="single" w:color="404040" w:sz="6"/>
                <w:insideH w:val="none"/>
                <w:insideV w:val="none"/>
              </w:tblBorders>
            </w:tblPr>
            <w:tblGrid>
              <w:gridCol w:w="280"/>
            </w:tblGrid>
            <w:tr>
              <w:trPr>
                <w:trHeight w:val="280" w:hRule="exact"/>
              </w:trPr>
              <w:tc>
                <w:tcPr>
                  <w:tcW w:type="dxa" w:w="280"/>
                  <w:tcMar>
                    <w:top w:type="dxa" w:w="0"/>
                    <w:left w:type="dxa" w:w="0"/>
                    <w:bottom w:type="dxa" w:w="0"/>
                    <w:right w:type="dxa" w:w="0"/>
                  </w:tcMar>
                </w:tcPr>
                <w:p>
                  <w:pPr>
                    <w:spacing w:after="0" w:before="0"/>
                  </w:pPr>
                  <w:r>
                    <w:rPr>
                      <w:sz w:val="2"/>
                      <w:szCs w:val="2"/>
                    </w:rPr>
                    <w:t xml:space="preserve"/>
                  </w:r>
                </w:p>
              </w:tc>
            </w:tr>
          </w:tbl>
          <w:p>
            <w:pPr>
              <w:spacing w:after="0"/>
            </w:pPr>
            <w:r>
              <w:rPr>
                <w:sz w:val="2"/>
                <w:szCs w:val="2"/>
              </w:rPr>
              <w:t xml:space="preserve"/>
            </w:r>
          </w:p>
        </w:tc>
        <w:tc>
          <w:tcPr>
            <w:tcW w:type="dxa" w:w="8606"/>
            <w:tcBorders>
              <w:top w:val="none"/>
              <w:left w:val="none"/>
              <w:bottom w:val="none"/>
              <w:right w:val="none"/>
            </w:tcBorders>
            <w:tcMar>
              <w:top w:type="dxa" w:w="60"/>
              <w:left w:type="dxa" w:w="160"/>
              <w:bottom w:type="dxa" w:w="60"/>
              <w:right w:type="dxa" w:w="60"/>
            </w:tcMar>
          </w:tcPr>
          <w:p>
            <w:pPr>
              <w:spacing w:after="40" w:before="40" w:line="250"/>
            </w:pPr>
            <w:r>
              <w:rPr>
                <w:rFonts w:ascii="Calibri" w:cs="Calibri" w:eastAsia="Calibri" w:hAnsi="Calibri"/>
                <w:b/>
                <w:bCs/>
                <w:color w:val="000000"/>
                <w:sz w:val="19"/>
                <w:szCs w:val="19"/>
              </w:rPr>
              <w:t xml:space="preserve">1  Waiver GitHub wird erteilt — unbefristet als Zielarchitektur, Überprüfung alle 24 Monate.</w:t>
            </w:r>
          </w:p>
          <w:p>
            <w:pPr>
              <w:spacing w:after="40" w:before="40" w:line="250"/>
            </w:pPr>
            <w:r>
              <w:rPr>
                <w:rFonts w:ascii="Calibri" w:cs="Calibri" w:eastAsia="Calibri" w:hAnsi="Calibri"/>
                <w:color w:val="595959"/>
                <w:sz w:val="18"/>
                <w:szCs w:val="18"/>
              </w:rPr>
              <w:t xml:space="preserve">Statt eines Rückbau-Terminplans wird die Exit-Fähigkeit nachgewiesen und jährlich bestätigt. Einzelheiten: Anlage 1.</w:t>
            </w:r>
          </w:p>
        </w:tc>
      </w:tr>
      <w:tr>
        <w:tc>
          <w:tcPr>
            <w:tcW w:type="dxa" w:w="420"/>
            <w:tcBorders>
              <w:top w:val="none"/>
              <w:left w:val="none"/>
              <w:bottom w:val="none"/>
              <w:right w:val="none"/>
            </w:tcBorders>
            <w:tcMar>
              <w:top w:type="dxa" w:w="60"/>
              <w:left w:type="dxa" w:w="20"/>
              <w:bottom w:type="dxa" w:w="60"/>
              <w:right w:type="dxa" w:w="120"/>
            </w:tcMar>
          </w:tcPr>
          <w:tbl>
            <w:tblPr>
              <w:tblW w:type="dxa" w:w="280"/>
              <w:tblBorders>
                <w:top w:val="single" w:color="404040" w:sz="6"/>
                <w:left w:val="single" w:color="404040" w:sz="6"/>
                <w:bottom w:val="single" w:color="404040" w:sz="6"/>
                <w:right w:val="single" w:color="404040" w:sz="6"/>
                <w:insideH w:val="none"/>
                <w:insideV w:val="none"/>
              </w:tblBorders>
            </w:tblPr>
            <w:tblGrid>
              <w:gridCol w:w="280"/>
            </w:tblGrid>
            <w:tr>
              <w:trPr>
                <w:trHeight w:val="280" w:hRule="exact"/>
              </w:trPr>
              <w:tc>
                <w:tcPr>
                  <w:tcW w:type="dxa" w:w="280"/>
                  <w:tcMar>
                    <w:top w:type="dxa" w:w="0"/>
                    <w:left w:type="dxa" w:w="0"/>
                    <w:bottom w:type="dxa" w:w="0"/>
                    <w:right w:type="dxa" w:w="0"/>
                  </w:tcMar>
                </w:tcPr>
                <w:p>
                  <w:pPr>
                    <w:spacing w:after="0" w:before="0"/>
                  </w:pPr>
                  <w:r>
                    <w:rPr>
                      <w:sz w:val="2"/>
                      <w:szCs w:val="2"/>
                    </w:rPr>
                    <w:t xml:space="preserve"/>
                  </w:r>
                </w:p>
              </w:tc>
            </w:tr>
          </w:tbl>
          <w:p>
            <w:pPr>
              <w:spacing w:after="0"/>
            </w:pPr>
            <w:r>
              <w:rPr>
                <w:sz w:val="2"/>
                <w:szCs w:val="2"/>
              </w:rPr>
              <w:t xml:space="preserve"/>
            </w:r>
          </w:p>
        </w:tc>
        <w:tc>
          <w:tcPr>
            <w:tcW w:type="dxa" w:w="8606"/>
            <w:tcBorders>
              <w:top w:val="none"/>
              <w:left w:val="none"/>
              <w:bottom w:val="none"/>
              <w:right w:val="none"/>
            </w:tcBorders>
            <w:tcMar>
              <w:top w:type="dxa" w:w="60"/>
              <w:left w:type="dxa" w:w="160"/>
              <w:bottom w:type="dxa" w:w="60"/>
              <w:right w:type="dxa" w:w="60"/>
            </w:tcMar>
          </w:tcPr>
          <w:p>
            <w:pPr>
              <w:spacing w:after="40" w:before="40" w:line="250"/>
            </w:pPr>
            <w:r>
              <w:rPr>
                <w:rFonts w:ascii="Calibri" w:cs="Calibri" w:eastAsia="Calibri" w:hAnsi="Calibri"/>
                <w:b/>
                <w:bCs/>
                <w:color w:val="000000"/>
                <w:sz w:val="19"/>
                <w:szCs w:val="19"/>
              </w:rPr>
              <w:t xml:space="preserve">2  Waiver DragonflyDB wird erteilt — unbefristet als Zielarchitektur, Überprüfung alle 24 Monate.</w:t>
            </w:r>
          </w:p>
          <w:p>
            <w:pPr>
              <w:spacing w:after="40" w:before="40" w:line="250"/>
            </w:pPr>
            <w:r>
              <w:rPr>
                <w:rFonts w:ascii="Calibri" w:cs="Calibri" w:eastAsia="Calibri" w:hAnsi="Calibri"/>
                <w:color w:val="595959"/>
                <w:sz w:val="18"/>
                <w:szCs w:val="18"/>
              </w:rPr>
              <w:t xml:space="preserve">Feststellung, dass der Entwurf 0.8 für In-Memory-Datastores keinen Konzernstandard benennt. Einzelheiten: Anlage 2.</w:t>
            </w:r>
          </w:p>
        </w:tc>
      </w:tr>
      <w:tr>
        <w:tc>
          <w:tcPr>
            <w:tcW w:type="dxa" w:w="420"/>
            <w:tcBorders>
              <w:top w:val="none"/>
              <w:left w:val="none"/>
              <w:bottom w:val="none"/>
              <w:right w:val="none"/>
            </w:tcBorders>
            <w:tcMar>
              <w:top w:type="dxa" w:w="60"/>
              <w:left w:type="dxa" w:w="20"/>
              <w:bottom w:type="dxa" w:w="60"/>
              <w:right w:type="dxa" w:w="120"/>
            </w:tcMar>
          </w:tcPr>
          <w:tbl>
            <w:tblPr>
              <w:tblW w:type="dxa" w:w="280"/>
              <w:tblBorders>
                <w:top w:val="single" w:color="404040" w:sz="6"/>
                <w:left w:val="single" w:color="404040" w:sz="6"/>
                <w:bottom w:val="single" w:color="404040" w:sz="6"/>
                <w:right w:val="single" w:color="404040" w:sz="6"/>
                <w:insideH w:val="none"/>
                <w:insideV w:val="none"/>
              </w:tblBorders>
            </w:tblPr>
            <w:tblGrid>
              <w:gridCol w:w="280"/>
            </w:tblGrid>
            <w:tr>
              <w:trPr>
                <w:trHeight w:val="280" w:hRule="exact"/>
              </w:trPr>
              <w:tc>
                <w:tcPr>
                  <w:tcW w:type="dxa" w:w="280"/>
                  <w:tcMar>
                    <w:top w:type="dxa" w:w="0"/>
                    <w:left w:type="dxa" w:w="0"/>
                    <w:bottom w:type="dxa" w:w="0"/>
                    <w:right w:type="dxa" w:w="0"/>
                  </w:tcMar>
                </w:tcPr>
                <w:p>
                  <w:pPr>
                    <w:spacing w:after="0" w:before="0"/>
                  </w:pPr>
                  <w:r>
                    <w:rPr>
                      <w:sz w:val="2"/>
                      <w:szCs w:val="2"/>
                    </w:rPr>
                    <w:t xml:space="preserve"/>
                  </w:r>
                </w:p>
              </w:tc>
            </w:tr>
          </w:tbl>
          <w:p>
            <w:pPr>
              <w:spacing w:after="0"/>
            </w:pPr>
            <w:r>
              <w:rPr>
                <w:sz w:val="2"/>
                <w:szCs w:val="2"/>
              </w:rPr>
              <w:t xml:space="preserve"/>
            </w:r>
          </w:p>
        </w:tc>
        <w:tc>
          <w:tcPr>
            <w:tcW w:type="dxa" w:w="8606"/>
            <w:tcBorders>
              <w:top w:val="none"/>
              <w:left w:val="none"/>
              <w:bottom w:val="none"/>
              <w:right w:val="none"/>
            </w:tcBorders>
            <w:tcMar>
              <w:top w:type="dxa" w:w="60"/>
              <w:left w:type="dxa" w:w="160"/>
              <w:bottom w:type="dxa" w:w="60"/>
              <w:right w:type="dxa" w:w="60"/>
            </w:tcMar>
          </w:tcPr>
          <w:p>
            <w:pPr>
              <w:spacing w:after="40" w:before="40" w:line="250"/>
            </w:pPr>
            <w:r>
              <w:rPr>
                <w:rFonts w:ascii="Calibri" w:cs="Calibri" w:eastAsia="Calibri" w:hAnsi="Calibri"/>
                <w:b/>
                <w:bCs/>
                <w:color w:val="000000"/>
                <w:sz w:val="19"/>
                <w:szCs w:val="19"/>
              </w:rPr>
              <w:t xml:space="preserve">3  Waiver Azure Kubernetes Service wird erteilt — unbefristet als Zielarchitektur, Überprüfung alle 24 Monate.</w:t>
            </w:r>
          </w:p>
          <w:p>
            <w:pPr>
              <w:spacing w:after="40" w:before="40" w:line="250"/>
            </w:pPr>
            <w:r>
              <w:rPr>
                <w:rFonts w:ascii="Calibri" w:cs="Calibri" w:eastAsia="Calibri" w:hAnsi="Calibri"/>
                <w:color w:val="595959"/>
                <w:sz w:val="18"/>
                <w:szCs w:val="18"/>
              </w:rPr>
              <w:t xml:space="preserve">Feststellung, dass der Entwurf 0.8 für Container-Laufzeitumgebungen keinen Konzernstandard benennt. Einzelheiten: Anlage 4.</w:t>
            </w:r>
          </w:p>
        </w:tc>
      </w:tr>
      <w:tr>
        <w:tc>
          <w:tcPr>
            <w:tcW w:type="dxa" w:w="420"/>
            <w:tcBorders>
              <w:top w:val="none"/>
              <w:left w:val="none"/>
              <w:bottom w:val="none"/>
              <w:right w:val="none"/>
            </w:tcBorders>
            <w:tcMar>
              <w:top w:type="dxa" w:w="60"/>
              <w:left w:type="dxa" w:w="20"/>
              <w:bottom w:type="dxa" w:w="60"/>
              <w:right w:type="dxa" w:w="120"/>
            </w:tcMar>
          </w:tcPr>
          <w:tbl>
            <w:tblPr>
              <w:tblW w:type="dxa" w:w="280"/>
              <w:tblBorders>
                <w:top w:val="single" w:color="404040" w:sz="6"/>
                <w:left w:val="single" w:color="404040" w:sz="6"/>
                <w:bottom w:val="single" w:color="404040" w:sz="6"/>
                <w:right w:val="single" w:color="404040" w:sz="6"/>
                <w:insideH w:val="none"/>
                <w:insideV w:val="none"/>
              </w:tblBorders>
            </w:tblPr>
            <w:tblGrid>
              <w:gridCol w:w="280"/>
            </w:tblGrid>
            <w:tr>
              <w:trPr>
                <w:trHeight w:val="280" w:hRule="exact"/>
              </w:trPr>
              <w:tc>
                <w:tcPr>
                  <w:tcW w:type="dxa" w:w="280"/>
                  <w:tcMar>
                    <w:top w:type="dxa" w:w="0"/>
                    <w:left w:type="dxa" w:w="0"/>
                    <w:bottom w:type="dxa" w:w="0"/>
                    <w:right w:type="dxa" w:w="0"/>
                  </w:tcMar>
                </w:tcPr>
                <w:p>
                  <w:pPr>
                    <w:spacing w:after="0" w:before="0"/>
                  </w:pPr>
                  <w:r>
                    <w:rPr>
                      <w:sz w:val="2"/>
                      <w:szCs w:val="2"/>
                    </w:rPr>
                    <w:t xml:space="preserve"/>
                  </w:r>
                </w:p>
              </w:tc>
            </w:tr>
          </w:tbl>
          <w:p>
            <w:pPr>
              <w:spacing w:after="0"/>
            </w:pPr>
            <w:r>
              <w:rPr>
                <w:sz w:val="2"/>
                <w:szCs w:val="2"/>
              </w:rPr>
              <w:t xml:space="preserve"/>
            </w:r>
          </w:p>
        </w:tc>
        <w:tc>
          <w:tcPr>
            <w:tcW w:type="dxa" w:w="8606"/>
            <w:tcBorders>
              <w:top w:val="none"/>
              <w:left w:val="none"/>
              <w:bottom w:val="none"/>
              <w:right w:val="none"/>
            </w:tcBorders>
            <w:tcMar>
              <w:top w:type="dxa" w:w="60"/>
              <w:left w:type="dxa" w:w="160"/>
              <w:bottom w:type="dxa" w:w="60"/>
              <w:right w:type="dxa" w:w="60"/>
            </w:tcMar>
          </w:tcPr>
          <w:p>
            <w:pPr>
              <w:spacing w:after="40" w:before="40" w:line="250"/>
            </w:pPr>
            <w:r>
              <w:rPr>
                <w:rFonts w:ascii="Calibri" w:cs="Calibri" w:eastAsia="Calibri" w:hAnsi="Calibri"/>
                <w:b/>
                <w:bCs/>
                <w:color w:val="000000"/>
                <w:sz w:val="19"/>
                <w:szCs w:val="19"/>
              </w:rPr>
              <w:t xml:space="preserve">4  Die AF EduTech übernimmt den vollständigen Betrieb aller drei Komponenten.</w:t>
            </w:r>
          </w:p>
          <w:p>
            <w:pPr>
              <w:spacing w:after="40" w:before="40" w:line="250"/>
            </w:pPr>
            <w:r>
              <w:rPr>
                <w:rFonts w:ascii="Calibri" w:cs="Calibri" w:eastAsia="Calibri" w:hAnsi="Calibri"/>
                <w:color w:val="595959"/>
                <w:sz w:val="18"/>
                <w:szCs w:val="18"/>
              </w:rPr>
              <w:t xml:space="preserve">Nachweisführung nach Anlage 3; Bestätigung der Vollständigkeit durch den Group-CISO binnen 10 Arbeitstagen.</w:t>
            </w:r>
          </w:p>
        </w:tc>
      </w:tr>
      <w:tr>
        <w:tc>
          <w:tcPr>
            <w:tcW w:type="dxa" w:w="420"/>
            <w:tcBorders>
              <w:top w:val="none"/>
              <w:left w:val="none"/>
              <w:bottom w:val="none"/>
              <w:right w:val="none"/>
            </w:tcBorders>
            <w:tcMar>
              <w:top w:type="dxa" w:w="60"/>
              <w:left w:type="dxa" w:w="20"/>
              <w:bottom w:type="dxa" w:w="60"/>
              <w:right w:type="dxa" w:w="120"/>
            </w:tcMar>
          </w:tcPr>
          <w:tbl>
            <w:tblPr>
              <w:tblW w:type="dxa" w:w="280"/>
              <w:tblBorders>
                <w:top w:val="single" w:color="404040" w:sz="6"/>
                <w:left w:val="single" w:color="404040" w:sz="6"/>
                <w:bottom w:val="single" w:color="404040" w:sz="6"/>
                <w:right w:val="single" w:color="404040" w:sz="6"/>
                <w:insideH w:val="none"/>
                <w:insideV w:val="none"/>
              </w:tblBorders>
            </w:tblPr>
            <w:tblGrid>
              <w:gridCol w:w="280"/>
            </w:tblGrid>
            <w:tr>
              <w:trPr>
                <w:trHeight w:val="280" w:hRule="exact"/>
              </w:trPr>
              <w:tc>
                <w:tcPr>
                  <w:tcW w:type="dxa" w:w="280"/>
                  <w:tcMar>
                    <w:top w:type="dxa" w:w="0"/>
                    <w:left w:type="dxa" w:w="0"/>
                    <w:bottom w:type="dxa" w:w="0"/>
                    <w:right w:type="dxa" w:w="0"/>
                  </w:tcMar>
                </w:tcPr>
                <w:p>
                  <w:pPr>
                    <w:spacing w:after="0" w:before="0"/>
                  </w:pPr>
                  <w:r>
                    <w:rPr>
                      <w:sz w:val="2"/>
                      <w:szCs w:val="2"/>
                    </w:rPr>
                    <w:t xml:space="preserve"/>
                  </w:r>
                </w:p>
              </w:tc>
            </w:tr>
          </w:tbl>
          <w:p>
            <w:pPr>
              <w:spacing w:after="0"/>
            </w:pPr>
            <w:r>
              <w:rPr>
                <w:sz w:val="2"/>
                <w:szCs w:val="2"/>
              </w:rPr>
              <w:t xml:space="preserve"/>
            </w:r>
          </w:p>
        </w:tc>
        <w:tc>
          <w:tcPr>
            <w:tcW w:type="dxa" w:w="8606"/>
            <w:tcBorders>
              <w:top w:val="none"/>
              <w:left w:val="none"/>
              <w:bottom w:val="none"/>
              <w:right w:val="none"/>
            </w:tcBorders>
            <w:tcMar>
              <w:top w:type="dxa" w:w="60"/>
              <w:left w:type="dxa" w:w="160"/>
              <w:bottom w:type="dxa" w:w="60"/>
              <w:right w:type="dxa" w:w="60"/>
            </w:tcMar>
          </w:tcPr>
          <w:p>
            <w:pPr>
              <w:spacing w:after="40" w:before="40" w:line="250"/>
            </w:pPr>
            <w:r>
              <w:rPr>
                <w:rFonts w:ascii="Calibri" w:cs="Calibri" w:eastAsia="Calibri" w:hAnsi="Calibri"/>
                <w:b/>
                <w:bCs/>
                <w:color w:val="000000"/>
                <w:sz w:val="19"/>
                <w:szCs w:val="19"/>
              </w:rPr>
              <w:t xml:space="preserve">5  Über Ausnahmen von Konzernstandards entscheidet bis zur Verabschiedung der IT-Governance der Vorstand.</w:t>
            </w:r>
          </w:p>
          <w:p>
            <w:pPr>
              <w:spacing w:after="40" w:before="40" w:line="250"/>
            </w:pPr>
            <w:r>
              <w:rPr>
                <w:rFonts w:ascii="Calibri" w:cs="Calibri" w:eastAsia="Calibri" w:hAnsi="Calibri"/>
                <w:color w:val="595959"/>
                <w:sz w:val="18"/>
                <w:szCs w:val="18"/>
              </w:rPr>
              <w:t xml:space="preserve">Vorlage durch Group-CIO und betroffene Gesellschaft gemeinsam.</w:t>
            </w:r>
          </w:p>
        </w:tc>
      </w:tr>
      <w:tr>
        <w:tc>
          <w:tcPr>
            <w:tcW w:type="dxa" w:w="420"/>
            <w:tcBorders>
              <w:top w:val="none"/>
              <w:left w:val="none"/>
              <w:bottom w:val="none"/>
              <w:right w:val="none"/>
            </w:tcBorders>
            <w:tcMar>
              <w:top w:type="dxa" w:w="60"/>
              <w:left w:type="dxa" w:w="20"/>
              <w:bottom w:type="dxa" w:w="60"/>
              <w:right w:type="dxa" w:w="120"/>
            </w:tcMar>
          </w:tcPr>
          <w:tbl>
            <w:tblPr>
              <w:tblW w:type="dxa" w:w="280"/>
              <w:tblBorders>
                <w:top w:val="single" w:color="404040" w:sz="6"/>
                <w:left w:val="single" w:color="404040" w:sz="6"/>
                <w:bottom w:val="single" w:color="404040" w:sz="6"/>
                <w:right w:val="single" w:color="404040" w:sz="6"/>
                <w:insideH w:val="none"/>
                <w:insideV w:val="none"/>
              </w:tblBorders>
            </w:tblPr>
            <w:tblGrid>
              <w:gridCol w:w="280"/>
            </w:tblGrid>
            <w:tr>
              <w:trPr>
                <w:trHeight w:val="280" w:hRule="exact"/>
              </w:trPr>
              <w:tc>
                <w:tcPr>
                  <w:tcW w:type="dxa" w:w="280"/>
                  <w:tcMar>
                    <w:top w:type="dxa" w:w="0"/>
                    <w:left w:type="dxa" w:w="0"/>
                    <w:bottom w:type="dxa" w:w="0"/>
                    <w:right w:type="dxa" w:w="0"/>
                  </w:tcMar>
                </w:tcPr>
                <w:p>
                  <w:pPr>
                    <w:spacing w:after="0" w:before="0"/>
                  </w:pPr>
                  <w:r>
                    <w:rPr>
                      <w:sz w:val="2"/>
                      <w:szCs w:val="2"/>
                    </w:rPr>
                    <w:t xml:space="preserve"/>
                  </w:r>
                </w:p>
              </w:tc>
            </w:tr>
          </w:tbl>
          <w:p>
            <w:pPr>
              <w:spacing w:after="0"/>
            </w:pPr>
            <w:r>
              <w:rPr>
                <w:sz w:val="2"/>
                <w:szCs w:val="2"/>
              </w:rPr>
              <w:t xml:space="preserve"/>
            </w:r>
          </w:p>
        </w:tc>
        <w:tc>
          <w:tcPr>
            <w:tcW w:type="dxa" w:w="8606"/>
            <w:tcBorders>
              <w:top w:val="none"/>
              <w:left w:val="none"/>
              <w:bottom w:val="none"/>
              <w:right w:val="none"/>
            </w:tcBorders>
            <w:tcMar>
              <w:top w:type="dxa" w:w="60"/>
              <w:left w:type="dxa" w:w="160"/>
              <w:bottom w:type="dxa" w:w="60"/>
              <w:right w:type="dxa" w:w="60"/>
            </w:tcMar>
          </w:tcPr>
          <w:p>
            <w:pPr>
              <w:spacing w:after="40" w:before="40" w:line="250"/>
            </w:pPr>
            <w:r>
              <w:rPr>
                <w:rFonts w:ascii="Calibri" w:cs="Calibri" w:eastAsia="Calibri" w:hAnsi="Calibri"/>
                <w:b/>
                <w:bCs/>
                <w:color w:val="000000"/>
                <w:sz w:val="19"/>
                <w:szCs w:val="19"/>
              </w:rPr>
              <w:t xml:space="preserve">6  Die Group-IT vervollständigt das Waiver-Verfahren bis zum 31.10.2026.</w:t>
            </w:r>
          </w:p>
          <w:p>
            <w:pPr>
              <w:spacing w:after="40" w:before="40" w:line="250"/>
            </w:pPr>
            <w:r>
              <w:rPr>
                <w:rFonts w:ascii="Calibri" w:cs="Calibri" w:eastAsia="Calibri" w:hAnsi="Calibri"/>
                <w:color w:val="595959"/>
                <w:sz w:val="18"/>
                <w:szCs w:val="18"/>
              </w:rPr>
              <w:t xml:space="preserve">Antragsformular, Dokumentationsanforderung, Entscheidungsfrist, Register, Bagatellgrenze, Übergangsregelung. Der Analyseaufwand von 3–4 PT wird erst danach freigegeben.</w:t>
            </w:r>
          </w:p>
        </w:tc>
      </w:tr>
    </w:tbl>
    <w:p>
      <w:pPr>
        <w:spacing w:after="80"/>
      </w:pPr>
      <w:r>
        <w:rPr>
          <w:sz w:val="12"/>
          <w:szCs w:val="12"/>
        </w:rPr>
        <w:t xml:space="preserve"/>
      </w:r>
    </w:p>
    <w:p>
      <w:pPr>
        <w:spacing w:after="220" w:before="0" w:line="276"/>
      </w:pPr>
      <w:r>
        <w:rPr>
          <w:rFonts w:ascii="Calibri" w:cs="Calibri" w:eastAsia="Calibri" w:hAnsi="Calibri"/>
          <w:b/>
          <w:bCs/>
          <w:sz w:val="20"/>
          <w:szCs w:val="20"/>
        </w:rPr>
        <w:t xml:space="preserve">Empfehlung der Geschäftsführung AF EduTech: </w:t>
      </w:r>
      <w:r>
        <w:rPr>
          <w:rFonts w:ascii="Calibri" w:cs="Calibri" w:eastAsia="Calibri" w:hAnsi="Calibri"/>
          <w:sz w:val="20"/>
          <w:szCs w:val="20"/>
        </w:rPr>
        <w:t xml:space="preserve">Zustimmung zu allen sechs Punkten. Die Beschlüsse sind einzeln beschlussfähig; Volltext in Abschnitt 8.</w:t>
      </w:r>
    </w:p>
    <w:tbl>
      <w:tblPr>
        <w:tblW w:type="dxa" w:w="9026"/>
        <w:tblBorders>
          <w:top w:val="none"/>
          <w:left w:val="none"/>
          <w:bottom w:val="none"/>
          <w:right w:val="none"/>
          <w:insideH w:val="none"/>
          <w:insideV w:val="none"/>
        </w:tblBorders>
      </w:tblPr>
      <w:tblGrid>
        <w:gridCol w:w="4513"/>
        <w:gridCol w:w="4513"/>
      </w:tblGrid>
      <w:tr>
        <w:tc>
          <w:tcPr>
            <w:tcW w:type="dxa" w:w="4513"/>
            <w:tcMar>
              <w:top w:type="dxa" w:w="60"/>
              <w:left w:type="dxa" w:w="0"/>
              <w:bottom w:type="dxa" w:w="60"/>
              <w:right w:type="dxa" w:w="220"/>
            </w:tcMar>
          </w:tcPr>
          <w:p>
            <w:pPr>
              <w:spacing w:after="0"/>
            </w:pPr>
            <w:r>
              <w:rPr>
                <w:sz w:val="20"/>
                <w:szCs w:val="20"/>
              </w:rPr>
              <w:t xml:space="preserve"/>
            </w:r>
          </w:p>
          <w:p>
            <w:pPr>
              <w:pBdr>
                <w:bottom w:val="single" w:color="404040" w:sz="6"/>
              </w:pBdr>
              <w:spacing w:after="40" w:before="420"/>
            </w:pPr>
            <w:r>
              <w:rPr>
                <w:sz w:val="2"/>
                <w:szCs w:val="2"/>
              </w:rPr>
              <w:t xml:space="preserve"/>
            </w:r>
          </w:p>
          <w:p>
            <w:pPr>
              <w:spacing w:after="20"/>
            </w:pPr>
            <w:r>
              <w:rPr>
                <w:rFonts w:ascii="Calibri" w:cs="Calibri" w:eastAsia="Calibri" w:hAnsi="Calibri"/>
                <w:sz w:val="18"/>
                <w:szCs w:val="18"/>
              </w:rPr>
              <w:t xml:space="preserve">Ort, Datum</w:t>
            </w:r>
          </w:p>
          <w:p>
            <w:pPr>
              <w:spacing w:after="0"/>
            </w:pPr>
            <w:r>
              <w:rPr>
                <w:rFonts w:ascii="Calibri" w:cs="Calibri" w:eastAsia="Calibri" w:hAnsi="Calibri"/>
                <w:color w:val="595959"/>
                <w:sz w:val="16"/>
                <w:szCs w:val="16"/>
              </w:rPr>
              <w:t xml:space="preserve"/>
            </w:r>
          </w:p>
        </w:tc>
        <w:tc>
          <w:tcPr>
            <w:tcW w:type="dxa" w:w="4513"/>
            <w:tcMar>
              <w:top w:type="dxa" w:w="60"/>
              <w:left w:type="dxa" w:w="0"/>
              <w:bottom w:type="dxa" w:w="60"/>
              <w:right w:type="dxa" w:w="220"/>
            </w:tcMar>
          </w:tcPr>
          <w:p>
            <w:pPr>
              <w:spacing w:after="0"/>
            </w:pPr>
            <w:r>
              <w:rPr>
                <w:sz w:val="20"/>
                <w:szCs w:val="20"/>
              </w:rPr>
              <w:t xml:space="preserve"/>
            </w:r>
          </w:p>
          <w:p>
            <w:pPr>
              <w:pBdr>
                <w:bottom w:val="single" w:color="404040" w:sz="6"/>
              </w:pBdr>
              <w:spacing w:after="40" w:before="420"/>
            </w:pPr>
            <w:r>
              <w:rPr>
                <w:sz w:val="2"/>
                <w:szCs w:val="2"/>
              </w:rPr>
              <w:t xml:space="preserve"/>
            </w:r>
          </w:p>
          <w:p>
            <w:pPr>
              <w:spacing w:after="20"/>
            </w:pPr>
            <w:r>
              <w:rPr>
                <w:rFonts w:ascii="Calibri" w:cs="Calibri" w:eastAsia="Calibri" w:hAnsi="Calibri"/>
                <w:sz w:val="18"/>
                <w:szCs w:val="18"/>
              </w:rPr>
              <w:t xml:space="preserve">Für den Vorstand der Amadeus Fire AG</w:t>
            </w:r>
          </w:p>
          <w:p>
            <w:pPr>
              <w:spacing w:after="0"/>
            </w:pPr>
            <w:r>
              <w:rPr>
                <w:rFonts w:ascii="Calibri" w:cs="Calibri" w:eastAsia="Calibri" w:hAnsi="Calibri"/>
                <w:color w:val="595959"/>
                <w:sz w:val="16"/>
                <w:szCs w:val="16"/>
              </w:rPr>
              <w:t xml:space="preserve">Name in Blockschrift und Unterschrift</w:t>
            </w:r>
          </w:p>
        </w:tc>
      </w:tr>
    </w:tbl>
    <w:p>
      <w:r>
        <w:br w:type="page"/>
      </w:r>
    </w:p>
    <w:p>
      <w:pPr>
        <w:pStyle w:val="Heading1"/>
        <w:spacing w:after="160" w:before="400"/>
      </w:pPr>
      <w:r>
        <w:rPr>
          <w:rFonts w:ascii="Calibri" w:cs="Calibri" w:eastAsia="Calibri" w:hAnsi="Calibri"/>
          <w:b/>
          <w:bCs/>
          <w:color w:val="3B1A62"/>
          <w:sz w:val="30"/>
          <w:szCs w:val="30"/>
        </w:rPr>
        <w:t xml:space="preserve">1  Ausgangslage und Entscheidungsbedarf</w:t>
      </w:r>
    </w:p>
    <w:p>
      <w:pPr>
        <w:spacing w:after="120" w:before="0" w:line="276"/>
      </w:pPr>
      <w:r>
        <w:rPr>
          <w:rFonts w:ascii="Calibri" w:cs="Calibri" w:eastAsia="Calibri" w:hAnsi="Calibri"/>
          <w:sz w:val="21"/>
          <w:szCs w:val="21"/>
        </w:rPr>
        <w:t xml:space="preserve">Der Group-CIO hat am 31.08.2026 klargestellt, dass es nicht um den Vollzug eines Rückbaus geht, sondern um Dauer und Rückbauplan als Grundlage einer Waiver-Entscheidung. Beide Angaben fehlten in unserem ursprünglichen Antrag und werden mit dieser Vorlage und den Anlagen 1, 2 und 4 nachgereicht.</w:t>
      </w:r>
    </w:p>
    <w:p>
      <w:pPr>
        <w:spacing w:after="120" w:before="0" w:line="276"/>
      </w:pPr>
      <w:r>
        <w:rPr>
          <w:rFonts w:ascii="Calibri" w:cs="Calibri" w:eastAsia="Calibri" w:hAnsi="Calibri"/>
          <w:sz w:val="21"/>
          <w:szCs w:val="21"/>
        </w:rPr>
        <w:t xml:space="preserve">Der Group-CIO hat außerdem angemerkt, dass Aussagen des Umsetzungspartners als solche kenntlich zu machen sind. Diese Vorlage folgt dem: Jede Zahl und jede technische Aussage ist entweder mit einer nachprüfbaren Quelle versehen — das Quellenverzeichnis in Abschnitt 9 nennt sie — oder ausdrücklich als Schätzung des Umsetzungspartners beziehungsweise des Entwicklungsteams bezeichnet.</w:t>
      </w:r>
    </w:p>
    <w:p>
      <w:pPr>
        <w:spacing w:after="140" w:before="0" w:line="276"/>
      </w:pPr>
      <w:r>
        <w:rPr>
          <w:rFonts w:ascii="Calibri" w:cs="Calibri" w:eastAsia="Calibri" w:hAnsi="Calibri"/>
          <w:sz w:val="21"/>
          <w:szCs w:val="21"/>
        </w:rPr>
        <w:t xml:space="preserve">Offen und nicht durch die Sachargumente auflösbar ist die Frage der Entscheidungshoheit:</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2307"/>
        <w:gridCol w:w="3310"/>
        <w:gridCol w:w="3409"/>
      </w:tblGrid>
      <w:tr>
        <w:trPr>
          <w:tblHeader/>
        </w:trPr>
        <w:tc>
          <w:tcPr>
            <w:tcW w:type="dxa" w:w="2307"/>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Punkt</w:t>
            </w:r>
          </w:p>
        </w:tc>
        <w:tc>
          <w:tcPr>
            <w:tcW w:type="dxa" w:w="3310"/>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Lage heute</w:t>
            </w:r>
          </w:p>
        </w:tc>
        <w:tc>
          <w:tcPr>
            <w:tcW w:type="dxa" w:w="3409"/>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Warum das eine Vorstandsfrage ist</w:t>
            </w:r>
          </w:p>
        </w:tc>
      </w:tr>
      <w:tr>
        <w:trPr>
          <w:tblHeader w:val="false"/>
        </w:trPr>
        <w:tc>
          <w:tcPr>
            <w:tcW w:type="dxa" w:w="2307"/>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Entscheidungshoheit</w:t>
            </w:r>
          </w:p>
        </w:tc>
        <w:tc>
          <w:tcPr>
            <w:tcW w:type="dxa" w:w="331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Nach Entwurf 0.8 genehmigt der CIO Waiver, in Sicherheitsfragen der CISO. Ein Waiver Board ist genannt; die Eskalation an den Vorstand ist ausdrücklich als optional bezeichnet.</w:t>
            </w:r>
          </w:p>
        </w:tc>
        <w:tc>
          <w:tcPr>
            <w:tcW w:type="dxa" w:w="3409"/>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Der CIO setzt den Standard und entscheidet über die Ausnahme von seinem eigenen Standard. Ohne unabhängige Instanz findet keine Kontrolle statt. In einem föderierten Modell ist diese Trennung konstitutiv.</w:t>
            </w:r>
          </w:p>
        </w:tc>
      </w:tr>
      <w:tr>
        <w:trPr>
          <w:tblHeader w:val="false"/>
        </w:trPr>
        <w:tc>
          <w:tcPr>
            <w:tcW w:type="dxa" w:w="2307"/>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Verfahrensstand</w:t>
            </w:r>
          </w:p>
        </w:tc>
        <w:tc>
          <w:tcPr>
            <w:tcW w:type="dxa" w:w="331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Der Foliensatz trägt die Version 0.8 und den Status „Entwurf". Ein Vorstandsbeschluss über die IT-Governance liegt nicht vor.</w:t>
            </w:r>
          </w:p>
        </w:tc>
        <w:tc>
          <w:tcPr>
            <w:tcW w:type="dxa" w:w="3409"/>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Ob ein nicht beschlossenes Regelwerk bindende Rückbaupflichten erzeugt, kann nur der Vorstand entscheiden.</w:t>
            </w:r>
          </w:p>
        </w:tc>
      </w:tr>
      <w:tr>
        <w:trPr>
          <w:tblHeader w:val="false"/>
        </w:trPr>
        <w:tc>
          <w:tcPr>
            <w:tcW w:type="dxa" w:w="2307"/>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Aufwandshoheit</w:t>
            </w:r>
          </w:p>
        </w:tc>
        <w:tc>
          <w:tcPr>
            <w:tcW w:type="dxa" w:w="331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Für die geforderte Dokumentation sind 3–4 PT geschätzt. Eine Anforderung an Umfang, Tiefe und Format liegt nicht vor.</w:t>
            </w:r>
          </w:p>
        </w:tc>
        <w:tc>
          <w:tcPr>
            <w:tcW w:type="dxa" w:w="3409"/>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Wer Aufwand auslöst, ohne ihn zu definieren, kann ihn unbegrenzt ausdehnen. Die Freigabe gehört zur Budgetverantwortung.</w:t>
            </w:r>
          </w:p>
        </w:tc>
      </w:tr>
      <w:tr>
        <w:trPr>
          <w:tblHeader w:val="false"/>
        </w:trPr>
        <w:tc>
          <w:tcPr>
            <w:tcW w:type="dxa" w:w="2307"/>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Übergang</w:t>
            </w:r>
          </w:p>
        </w:tc>
        <w:tc>
          <w:tcPr>
            <w:tcW w:type="dxa" w:w="331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ILP wurde begonnen, bevor der Governance-Entwurf vorlag. Eine Übergangsregelung enthält der Entwurf nicht.</w:t>
            </w:r>
          </w:p>
        </w:tc>
        <w:tc>
          <w:tcPr>
            <w:tcW w:type="dxa" w:w="3409"/>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Die Forderung nach Abstimmung vor der Umsetzung ist für künftige Vorhaben richtig. Rückwirkend angewandt erzeugt sie Rückbau ohne Nutzen.</w:t>
            </w:r>
          </w:p>
        </w:tc>
      </w:tr>
    </w:tbl>
    <w:p>
      <w:pPr>
        <w:spacing w:after="140"/>
      </w:pPr>
      <w:r>
        <w:rPr>
          <w:sz w:val="12"/>
          <w:szCs w:val="12"/>
        </w:rPr>
        <w:t xml:space="preserve"/>
      </w:r>
    </w:p>
    <w:tbl>
      <w:tblPr>
        <w:tblW w:type="dxa" w:w="9026"/>
        <w:tblBorders>
          <w:top w:val="single" w:color="D9D9D9" w:sz="2"/>
          <w:left w:val="single" w:color="09C4BF" w:sz="18"/>
          <w:bottom w:val="single" w:color="D9D9D9" w:sz="2"/>
          <w:right w:val="single" w:color="D9D9D9" w:sz="2"/>
          <w:insideH w:val="none"/>
          <w:insideV w:val="none"/>
        </w:tblBorders>
      </w:tblPr>
      <w:tblGrid>
        <w:gridCol w:w="9026"/>
      </w:tblGrid>
      <w:tr>
        <w:tc>
          <w:tcPr>
            <w:tcW w:type="dxa" w:w="9026"/>
            <w:shd w:fill="FAFAFA" w:color="auto" w:val="clear"/>
            <w:tcMar>
              <w:top w:type="dxa" w:w="130"/>
              <w:left w:type="dxa" w:w="200"/>
              <w:bottom w:type="dxa" w:w="130"/>
              <w:right w:type="dxa" w:w="160"/>
            </w:tcMar>
          </w:tcPr>
          <w:p>
            <w:pPr>
              <w:spacing w:after="80"/>
            </w:pPr>
            <w:r>
              <w:rPr>
                <w:rFonts w:ascii="Calibri" w:cs="Calibri" w:eastAsia="Calibri" w:hAnsi="Calibri"/>
                <w:b/>
                <w:bCs/>
                <w:color w:val="3B1A62"/>
                <w:sz w:val="21"/>
                <w:szCs w:val="21"/>
              </w:rPr>
              <w:t xml:space="preserve">Was wir ausdrücklich mittragen</w:t>
            </w:r>
          </w:p>
          <w:p>
            <w:pPr>
              <w:spacing w:after="60" w:line="270"/>
            </w:pPr>
            <w:r>
              <w:rPr>
                <w:rFonts w:ascii="Calibri" w:cs="Calibri" w:eastAsia="Calibri" w:hAnsi="Calibri"/>
                <w:sz w:val="21"/>
                <w:szCs w:val="21"/>
              </w:rPr>
              <w:t xml:space="preserve">Waiver haben Projektbezug. Eine Zustimmung für ILP ist kein Präzedenzfall für andere Vorhaben, und wir beantragen sie auch nicht als solchen.</w:t>
            </w:r>
          </w:p>
          <w:p>
            <w:pPr>
              <w:spacing w:after="60" w:line="270"/>
            </w:pPr>
            <w:r>
              <w:rPr>
                <w:rFonts w:ascii="Calibri" w:cs="Calibri" w:eastAsia="Calibri" w:hAnsi="Calibri"/>
                <w:sz w:val="21"/>
                <w:szCs w:val="21"/>
              </w:rPr>
              <w:t xml:space="preserve">Standardisierung hat einen Eigenwert — Skaleneffekte, geringere Komplexität, vorgeklärte Betreibbarkeit. Unser Einwand ist eng und gilt diesen drei Fällen, nicht dem Grundsatz.</w:t>
            </w:r>
          </w:p>
          <w:p>
            <w:pPr>
              <w:spacing w:after="60" w:line="270"/>
            </w:pPr>
            <w:r>
              <w:rPr>
                <w:rFonts w:ascii="Calibri" w:cs="Calibri" w:eastAsia="Calibri" w:hAnsi="Calibri"/>
                <w:sz w:val="21"/>
                <w:szCs w:val="21"/>
              </w:rPr>
              <w:t xml:space="preserve">Die Abstimmung mit den Querschnittsfunktionen vor der Umsetzung ist richtig und für künftige Vorhaben der EduTech zugesagt. Für ILP fehlte zum Projektstart das Verfahren, an dem sie hätte stattfinden können.</w:t>
            </w:r>
          </w:p>
        </w:tc>
      </w:tr>
    </w:tbl>
    <w:p>
      <w:r>
        <w:br w:type="page"/>
      </w:r>
    </w:p>
    <w:p>
      <w:pPr>
        <w:pStyle w:val="Heading1"/>
        <w:spacing w:after="160" w:before="400"/>
      </w:pPr>
      <w:r>
        <w:rPr>
          <w:rFonts w:ascii="Calibri" w:cs="Calibri" w:eastAsia="Calibri" w:hAnsi="Calibri"/>
          <w:b/>
          <w:bCs/>
          <w:color w:val="3B1A62"/>
          <w:sz w:val="30"/>
          <w:szCs w:val="30"/>
        </w:rPr>
        <w:t xml:space="preserve">2  Verfahrensstand der Group-IT</w:t>
      </w:r>
    </w:p>
    <w:p>
      <w:pPr>
        <w:spacing w:after="120" w:before="0" w:line="276"/>
      </w:pPr>
      <w:r>
        <w:rPr>
          <w:rFonts w:ascii="Calibri" w:cs="Calibri" w:eastAsia="Calibri" w:hAnsi="Calibri"/>
          <w:sz w:val="21"/>
          <w:szCs w:val="21"/>
        </w:rPr>
        <w:t xml:space="preserve">Der Entwurf 0.8 beschreibt den Waiver-Prozess in sechs Schritten: Beantragung, Vorprüfung, fachliche Evaluierung, Entscheidung durch den CIO, optionale Eskalation, Monitoring im Register. Diese Abfolge ist schlüssig. Unvollständig ist sie an den Stellen, an denen sie Aufwand bei den Gesellschaften auslöst.</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2708"/>
        <w:gridCol w:w="3209"/>
        <w:gridCol w:w="3109"/>
      </w:tblGrid>
      <w:tr>
        <w:trPr>
          <w:tblHeader/>
        </w:trPr>
        <w:tc>
          <w:tcPr>
            <w:tcW w:type="dxa" w:w="2708"/>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Fehlender Baustein</w:t>
            </w:r>
          </w:p>
        </w:tc>
        <w:tc>
          <w:tcPr>
            <w:tcW w:type="dxa" w:w="3209"/>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Folge in diesem Fall</w:t>
            </w:r>
          </w:p>
        </w:tc>
        <w:tc>
          <w:tcPr>
            <w:tcW w:type="dxa" w:w="3109"/>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Vorschlag</w:t>
            </w:r>
          </w:p>
        </w:tc>
      </w:tr>
      <w:tr>
        <w:trPr>
          <w:tblHeader w:val="false"/>
        </w:trPr>
        <w:tc>
          <w:tcPr>
            <w:tcW w:type="dxa" w:w="2708"/>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Antragsformular und Dokumentationsanforderung (Umfang, Tiefe, Format)</w:t>
            </w:r>
          </w:p>
        </w:tc>
        <w:tc>
          <w:tcPr>
            <w:tcW w:type="dxa" w:w="3209"/>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Die geschätzten 3–4 PT sind eine Schätzung ins Unbestimmte. Ein Dokument „nach bestem Wissen und Gewissen" kann als unvollständig zurückgewiesen werden — beliebig oft.</w:t>
            </w:r>
          </w:p>
        </w:tc>
        <w:tc>
          <w:tcPr>
            <w:tcW w:type="dxa" w:w="3109"/>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Formular mit abschließender Feldliste. Erst danach Freigabe des Aufwands.</w:t>
            </w:r>
          </w:p>
        </w:tc>
      </w:tr>
      <w:tr>
        <w:trPr>
          <w:tblHeader w:val="false"/>
        </w:trPr>
        <w:tc>
          <w:tcPr>
            <w:tcW w:type="dxa" w:w="2708"/>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Entscheidungsfrist und Rechtsfolge bei Fristüberschreitung</w:t>
            </w:r>
          </w:p>
        </w:tc>
        <w:tc>
          <w:tcPr>
            <w:tcW w:type="dxa" w:w="3209"/>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Der Waiver ist der einzige Flexibilitätsmechanismus des Modells. Ohne Frist wird er zum Engpass.</w:t>
            </w:r>
          </w:p>
        </w:tc>
        <w:tc>
          <w:tcPr>
            <w:tcW w:type="dxa" w:w="3109"/>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Entscheidung binnen 10 Arbeitstagen nach vollständigem Antrag; bei Fristablauf gilt der Waiver befristet auf 6 Monate als erteilt, Widerruf mit Begründung bleibt möglich.</w:t>
            </w:r>
          </w:p>
        </w:tc>
      </w:tr>
      <w:tr>
        <w:trPr>
          <w:tblHeader w:val="false"/>
        </w:trPr>
        <w:tc>
          <w:tcPr>
            <w:tcW w:type="dxa" w:w="2708"/>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Überprüfbarkeit einer Ablehnung</w:t>
            </w:r>
          </w:p>
        </w:tc>
        <w:tc>
          <w:tcPr>
            <w:tcW w:type="dxa" w:w="3209"/>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Regelsetzer und Entscheider sind identisch. Eine Ablehnung ist derzeit endgültig.</w:t>
            </w:r>
          </w:p>
        </w:tc>
        <w:tc>
          <w:tcPr>
            <w:tcW w:type="dxa" w:w="3109"/>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Ablehnung binnen 10 Arbeitstagen im IT-Governance Board überprüfbar, unter Beteiligung der betroffenen Gesellschaft.</w:t>
            </w:r>
          </w:p>
        </w:tc>
      </w:tr>
      <w:tr>
        <w:trPr>
          <w:tblHeader w:val="false"/>
        </w:trPr>
        <w:tc>
          <w:tcPr>
            <w:tcW w:type="dxa" w:w="2708"/>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Waiver-Register</w:t>
            </w:r>
          </w:p>
        </w:tc>
        <w:tc>
          <w:tcPr>
            <w:tcW w:type="dxa" w:w="3209"/>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Der Entwurf setzt das Register mehrfach voraus; es existiert nicht. Anti-Waiver-Drift lässt sich ohne Register nicht messen.</w:t>
            </w:r>
          </w:p>
        </w:tc>
        <w:tc>
          <w:tcPr>
            <w:tcW w:type="dxa" w:w="3109"/>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Register mit Gegenstand, Begründung, Frist und Status, konzernweit einsehbar.</w:t>
            </w:r>
          </w:p>
        </w:tc>
      </w:tr>
      <w:tr>
        <w:trPr>
          <w:tblHeader w:val="false"/>
        </w:trPr>
        <w:tc>
          <w:tcPr>
            <w:tcW w:type="dxa" w:w="2708"/>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Bagatellgrenze</w:t>
            </w:r>
          </w:p>
        </w:tc>
        <w:tc>
          <w:tcPr>
            <w:tcW w:type="dxa" w:w="3209"/>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Jede Abweichung durchläuft dasselbe Verfahren, auch eine ohne Risiko. Das erzeugt Aufwand ohne Steuerungsgewinn.</w:t>
            </w:r>
          </w:p>
        </w:tc>
        <w:tc>
          <w:tcPr>
            <w:tcW w:type="dxa" w:w="3109"/>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Schwellenwerte nach Volumen, Schutzklasse und Technologie; unterhalb genügt die Registrierung.</w:t>
            </w:r>
          </w:p>
        </w:tc>
      </w:tr>
      <w:tr>
        <w:trPr>
          <w:tblHeader w:val="false"/>
        </w:trPr>
        <w:tc>
          <w:tcPr>
            <w:tcW w:type="dxa" w:w="2708"/>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Übergangsregelung für laufende Vorhaben</w:t>
            </w:r>
          </w:p>
        </w:tc>
        <w:tc>
          <w:tcPr>
            <w:tcW w:type="dxa" w:w="3209"/>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ILP begann vor dem Entwurf. Die rückwirkende Anwendung erzeugt Rückbau, wo Abstimmung gemeint war.</w:t>
            </w:r>
          </w:p>
        </w:tc>
        <w:tc>
          <w:tcPr>
            <w:tcW w:type="dxa" w:w="3109"/>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Stichtagsregelung: Vorhaben vor dem Stichtag werden registriert und bewertet, nicht zurückgebaut.</w:t>
            </w:r>
          </w:p>
        </w:tc>
      </w:tr>
      <w:tr>
        <w:trPr>
          <w:tblHeader w:val="false"/>
        </w:trPr>
        <w:tc>
          <w:tcPr>
            <w:tcW w:type="dxa" w:w="2708"/>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Lieferzusagen der Group-IT</w:t>
            </w:r>
          </w:p>
        </w:tc>
        <w:tc>
          <w:tcPr>
            <w:tcW w:type="dxa" w:w="3209"/>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Die Standardpflicht ist einseitig: Wer den Standard verlangt, sagt keine Bereitstellungsfrist zu.</w:t>
            </w:r>
          </w:p>
        </w:tc>
        <w:tc>
          <w:tcPr>
            <w:tcW w:type="dxa" w:w="3109"/>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Katalog verbindlicher Fristen je Standardservice; bei Überschreitung wandelt sich die Standardpflicht in eine Anzeigepflicht.</w:t>
            </w:r>
          </w:p>
        </w:tc>
      </w:tr>
    </w:tbl>
    <w:p>
      <w:pPr>
        <w:spacing w:after="140"/>
      </w:pPr>
      <w:r>
        <w:rPr>
          <w:sz w:val="12"/>
          <w:szCs w:val="12"/>
        </w:rPr>
        <w:t xml:space="preserve"/>
      </w:r>
    </w:p>
    <w:tbl>
      <w:tblPr>
        <w:tblW w:type="dxa" w:w="9026"/>
        <w:tblBorders>
          <w:top w:val="single" w:color="D9D9D9" w:sz="2"/>
          <w:left w:val="single" w:color="9C6BB0" w:sz="18"/>
          <w:bottom w:val="single" w:color="D9D9D9" w:sz="2"/>
          <w:right w:val="single" w:color="D9D9D9" w:sz="2"/>
          <w:insideH w:val="none"/>
          <w:insideV w:val="none"/>
        </w:tblBorders>
      </w:tblPr>
      <w:tblGrid>
        <w:gridCol w:w="9026"/>
      </w:tblGrid>
      <w:tr>
        <w:tc>
          <w:tcPr>
            <w:tcW w:type="dxa" w:w="9026"/>
            <w:shd w:fill="FAFAFA" w:color="auto" w:val="clear"/>
            <w:tcMar>
              <w:top w:type="dxa" w:w="130"/>
              <w:left w:type="dxa" w:w="200"/>
              <w:bottom w:type="dxa" w:w="130"/>
              <w:right w:type="dxa" w:w="160"/>
            </w:tcMar>
          </w:tcPr>
          <w:p>
            <w:pPr>
              <w:spacing w:after="80"/>
            </w:pPr>
            <w:r>
              <w:rPr>
                <w:rFonts w:ascii="Calibri" w:cs="Calibri" w:eastAsia="Calibri" w:hAnsi="Calibri"/>
                <w:b/>
                <w:bCs/>
                <w:color w:val="3B1A62"/>
                <w:sz w:val="21"/>
                <w:szCs w:val="21"/>
              </w:rPr>
              <w:t xml:space="preserve">Eine Unstimmigkeit im Entwurf selbst</w:t>
            </w:r>
          </w:p>
          <w:p>
            <w:pPr>
              <w:spacing w:after="60" w:line="270"/>
            </w:pPr>
            <w:r>
              <w:rPr>
                <w:rFonts w:ascii="Calibri" w:cs="Calibri" w:eastAsia="Calibri" w:hAnsi="Calibri"/>
                <w:sz w:val="21"/>
                <w:szCs w:val="21"/>
              </w:rPr>
              <w:t xml:space="preserve">Folie 6 legt die vierstufige Policy-Hierarchie fest und ordnet die Frage, wie Arbeitsschritte </w:t>
            </w:r>
            <w:r>
              <w:rPr>
                <w:rFonts w:ascii="Calibri" w:cs="Calibri" w:eastAsia="Calibri" w:hAnsi="Calibri"/>
                <w:i/>
                <w:iCs/>
                <w:sz w:val="21"/>
                <w:szCs w:val="21"/>
              </w:rPr>
              <w:t xml:space="preserve">toolspezifisch</w:t>
            </w:r>
            <w:r>
              <w:rPr>
                <w:rFonts w:ascii="Calibri" w:cs="Calibri" w:eastAsia="Calibri" w:hAnsi="Calibri"/>
                <w:sz w:val="21"/>
                <w:szCs w:val="21"/>
              </w:rPr>
              <w:t xml:space="preserve"> umgesetzt werden, ausdrücklich der Ebene 4 zu. Folie 41 führt jedoch unter der Überschrift </w:t>
            </w:r>
            <w:r>
              <w:rPr>
                <w:rFonts w:ascii="Calibri" w:cs="Calibri" w:eastAsia="Calibri" w:hAnsi="Calibri"/>
                <w:b/>
                <w:bCs/>
                <w:sz w:val="21"/>
                <w:szCs w:val="21"/>
              </w:rPr>
              <w:t xml:space="preserve">Standards</w:t>
            </w:r>
            <w:r>
              <w:rPr>
                <w:rFonts w:ascii="Calibri" w:cs="Calibri" w:eastAsia="Calibri" w:hAnsi="Calibri"/>
                <w:sz w:val="21"/>
                <w:szCs w:val="21"/>
              </w:rPr>
              <w:t xml:space="preserve"> — also Ebene 2 — die Produktnamen „Azure DevOps / GitLab".</w:t>
            </w:r>
          </w:p>
          <w:p>
            <w:pPr>
              <w:spacing w:after="60" w:line="270"/>
            </w:pPr>
            <w:r>
              <w:rPr>
                <w:rFonts w:ascii="Calibri" w:cs="Calibri" w:eastAsia="Calibri" w:hAnsi="Calibri"/>
                <w:sz w:val="21"/>
                <w:szCs w:val="21"/>
              </w:rPr>
              <w:t xml:space="preserve">Auf Ebene 2 gehört nach der eigenen Systematik die Anforderung: nachvollziehbare Versionierung, Quality Gates, Testabdeckung, sichere Toolchain. Das Produkt gehört auf Ebene 4. Wir schlagen vor, das mit der Verabschiedung zu bereinigen — dann entfällt ein Teil der Waiver-Fälle, ohne dass Steuerung verloren geht.</w:t>
            </w:r>
          </w:p>
        </w:tc>
      </w:tr>
    </w:tbl>
    <w:p>
      <w:r>
        <w:br w:type="page"/>
      </w:r>
    </w:p>
    <w:p>
      <w:pPr>
        <w:pStyle w:val="Heading1"/>
        <w:spacing w:after="160" w:before="400"/>
      </w:pPr>
      <w:r>
        <w:rPr>
          <w:rFonts w:ascii="Calibri" w:cs="Calibri" w:eastAsia="Calibri" w:hAnsi="Calibri"/>
          <w:b/>
          <w:bCs/>
          <w:color w:val="3B1A62"/>
          <w:sz w:val="30"/>
          <w:szCs w:val="30"/>
        </w:rPr>
        <w:t xml:space="preserve">3  GitHub — Begründung des Antrags</w:t>
      </w:r>
    </w:p>
    <w:p>
      <w:pPr>
        <w:spacing w:after="160" w:before="0" w:line="276"/>
      </w:pPr>
      <w:r>
        <w:rPr>
          <w:rFonts w:ascii="Calibri" w:cs="Calibri" w:eastAsia="Calibri" w:hAnsi="Calibri"/>
          <w:color w:val="595959"/>
          <w:sz w:val="19"/>
          <w:szCs w:val="19"/>
        </w:rPr>
        <w:t xml:space="preserve">Ausführliche Fassung mit allen Antragsfeldern: Anlage 1.</w:t>
      </w:r>
    </w:p>
    <w:p>
      <w:pPr>
        <w:pStyle w:val="Heading3"/>
        <w:spacing w:after="100" w:before="240"/>
      </w:pPr>
      <w:r>
        <w:rPr>
          <w:rFonts w:ascii="Calibri" w:cs="Calibri" w:eastAsia="Calibri" w:hAnsi="Calibri"/>
          <w:b/>
          <w:bCs/>
          <w:sz w:val="22"/>
          <w:szCs w:val="22"/>
        </w:rPr>
        <w:t xml:space="preserve">Der Wechsel würde die Landschaft nicht vereinheitlichen</w:t>
      </w:r>
    </w:p>
    <w:p>
      <w:pPr>
        <w:spacing w:after="120" w:before="0" w:line="276"/>
      </w:pPr>
      <w:r>
        <w:rPr>
          <w:rFonts w:ascii="Calibri" w:cs="Calibri" w:eastAsia="Calibri" w:hAnsi="Calibri"/>
          <w:sz w:val="21"/>
          <w:szCs w:val="21"/>
        </w:rPr>
        <w:t xml:space="preserve">Der Entwurf 0.8 nennt auf Folie 41 als Standard „Entwicklungsmanagement mittels AF Azure DevOps / GitLab" — zwei Plattformen nebeneinander. Ein Wechsel von GitHub auf eine dieser beiden führt daher nicht zu einer einheitlichen Plattform, sondern ersetzt eine dritte durch eine von zwei bereits zugelassenen. Ein Skaleneffekt entstünde erst bei Konsolidierung auf genau eine Plattform. Solange diese Entscheidung nicht getroffen ist, trägt der Wechsel die Kosten der Standardisierung, ohne ihren Ertrag zu erzeugen.</w:t>
      </w:r>
    </w:p>
    <w:p>
      <w:pPr>
        <w:pStyle w:val="Heading3"/>
        <w:spacing w:after="100" w:before="240"/>
      </w:pPr>
      <w:r>
        <w:rPr>
          <w:rFonts w:ascii="Calibri" w:cs="Calibri" w:eastAsia="Calibri" w:hAnsi="Calibri"/>
          <w:b/>
          <w:bCs/>
          <w:sz w:val="22"/>
          <w:szCs w:val="22"/>
        </w:rPr>
        <w:t xml:space="preserve">Verbreitung als Skaleneffekt</w:t>
      </w:r>
    </w:p>
    <w:p>
      <w:pPr>
        <w:spacing w:after="120" w:before="0" w:line="276"/>
      </w:pPr>
      <w:r>
        <w:rPr>
          <w:rFonts w:ascii="Calibri" w:cs="Calibri" w:eastAsia="Calibri" w:hAnsi="Calibri"/>
          <w:sz w:val="21"/>
          <w:szCs w:val="21"/>
        </w:rPr>
        <w:t xml:space="preserve">GitHub weist für 2025 über 180 Millionen Entwickler und 630 Millionen Repositories aus (GitHub Octoverse 2025). Erhebungen zum Marktanteil im Bereich Quellcodeverwaltung sehen GitHub bei rund 68 Prozent, GitLab bei rund 16 Prozent und Azure DevOps bei rund 10 Prozent (6sense-Daten, wiedergegeben bei FOSS Post, 27.05.2026 — Sekundärquelle, Methodik nicht unabhängig geprüft). Für Personalgewinnung, Dienstleisterfähigkeit, Werkzeug-Ökosystem und verfügbares Schulungsmaterial wirkt Verbreitung selbst wie ein Skaleneffekt.</w:t>
      </w:r>
    </w:p>
    <w:p>
      <w:pPr>
        <w:pStyle w:val="Heading3"/>
        <w:spacing w:after="100" w:before="240"/>
      </w:pPr>
      <w:r>
        <w:rPr>
          <w:rFonts w:ascii="Calibri" w:cs="Calibri" w:eastAsia="Calibri" w:hAnsi="Calibri"/>
          <w:b/>
          <w:bCs/>
          <w:sz w:val="22"/>
          <w:szCs w:val="22"/>
        </w:rPr>
        <w:t xml:space="preserve">Betreibbarkeit und Compliance sind geklärt, nicht offen</w:t>
      </w:r>
    </w:p>
    <w:p>
      <w:pPr>
        <w:pStyle w:val="ListParagraph"/>
        <w:numPr>
          <w:ilvl w:val="0"/>
          <w:numId w:val="2"/>
        </w:numPr>
        <w:spacing w:after="80" w:line="276"/>
      </w:pPr>
      <w:r>
        <w:rPr>
          <w:rFonts w:ascii="Calibri" w:cs="Calibri" w:eastAsia="Calibri" w:hAnsi="Calibri"/>
          <w:sz w:val="21"/>
          <w:szCs w:val="21"/>
        </w:rPr>
        <w:t xml:space="preserve">GitHub Enterprise Cloud ist nach ISO/IEC 27001:2022, SOC 1 Type 2 und SOC 2 Type 2 sowie CSA STAR Level 2 zertifiziert (GitHub Docs, Compliance Reports).</w:t>
      </w:r>
    </w:p>
    <w:p>
      <w:pPr>
        <w:pStyle w:val="ListParagraph"/>
        <w:numPr>
          <w:ilvl w:val="0"/>
          <w:numId w:val="2"/>
        </w:numPr>
        <w:spacing w:after="80" w:line="276"/>
      </w:pPr>
      <w:r>
        <w:rPr>
          <w:rFonts w:ascii="Calibri" w:cs="Calibri" w:eastAsia="Calibri" w:hAnsi="Calibri"/>
          <w:sz w:val="21"/>
          <w:szCs w:val="21"/>
        </w:rPr>
        <w:t xml:space="preserve">EU-Datenresidenz ist über ghe.com mit Rechenzentren in Deutschland, Frankreich, Schweden und den Niederlanden verfügbar; seit dem 01.05.2026 erweitert um die EFTA-Staaten (GitHub Changelog, 31.03.2026).</w:t>
      </w:r>
    </w:p>
    <w:p>
      <w:pPr>
        <w:pStyle w:val="ListParagraph"/>
        <w:numPr>
          <w:ilvl w:val="0"/>
          <w:numId w:val="2"/>
        </w:numPr>
        <w:spacing w:after="80" w:line="276"/>
      </w:pPr>
      <w:r>
        <w:rPr>
          <w:rFonts w:ascii="Calibri" w:cs="Calibri" w:eastAsia="Calibri" w:hAnsi="Calibri"/>
          <w:sz w:val="21"/>
          <w:szCs w:val="21"/>
        </w:rPr>
        <w:t xml:space="preserve">Für die angestrebte Verbund-Zertifizierung ist ein zertifizierter Anbieter im Lieferantenmanagement einfacher nachzuweisen als ein selbst betriebener Dienst, bei dem zusätzlich Plattformbetrieb, Patching und Verfügbarkeit bei uns lägen.</w:t>
      </w:r>
    </w:p>
    <w:p>
      <w:pPr>
        <w:pStyle w:val="Heading3"/>
        <w:spacing w:after="100" w:before="240"/>
      </w:pPr>
      <w:r>
        <w:rPr>
          <w:rFonts w:ascii="Calibri" w:cs="Calibri" w:eastAsia="Calibri" w:hAnsi="Calibri"/>
          <w:b/>
          <w:bCs/>
          <w:sz w:val="22"/>
          <w:szCs w:val="22"/>
        </w:rPr>
        <w:t xml:space="preserve">Sicherheitsfunktionen mit Bezug zu einer Norm, die der Entwurf selbst nennt</w:t>
      </w:r>
    </w:p>
    <w:p>
      <w:pPr>
        <w:spacing w:after="120" w:before="0" w:line="276"/>
      </w:pPr>
      <w:r>
        <w:rPr>
          <w:rFonts w:ascii="Calibri" w:cs="Calibri" w:eastAsia="Calibri" w:hAnsi="Calibri"/>
          <w:sz w:val="21"/>
          <w:szCs w:val="21"/>
        </w:rPr>
        <w:t xml:space="preserve">Code Scanning, Secret Scanning, Dependabot und Artifact Attestations mit SLSA-Provenance auf Sigstore-Basis (GitHub Changelog, 18.02.2025) unterstützen die Umsetzung von NIST SP 800-218 (SSDF), den der Entwurf 0.8 auf Folie 4 als Referenz führt. </w:t>
      </w:r>
      <w:r>
        <w:rPr>
          <w:rFonts w:ascii="Calibri" w:cs="Calibri" w:eastAsia="Calibri" w:hAnsi="Calibri"/>
          <w:b/>
          <w:bCs/>
          <w:sz w:val="21"/>
          <w:szCs w:val="21"/>
        </w:rPr>
        <w:t xml:space="preserve">Einschränkung, die zur Vollständigkeit gehört: </w:t>
      </w:r>
      <w:r>
        <w:rPr>
          <w:rFonts w:ascii="Calibri" w:cs="Calibri" w:eastAsia="Calibri" w:hAnsi="Calibri"/>
          <w:sz w:val="21"/>
          <w:szCs w:val="21"/>
        </w:rPr>
        <w:t xml:space="preserve">Diese Funktionen sind über „GitHub Advanced Security for Azure DevOps" auch in Azure DevOps verfügbar (Microsoft Learn). Der Vorteil liegt in der nativen Integration und im entfallenden Zusatzvertrag, nicht darin, dass die Funktion anderswo fehlte.</w:t>
      </w:r>
    </w:p>
    <w:p>
      <w:pPr>
        <w:pStyle w:val="Heading3"/>
        <w:spacing w:after="100" w:before="240"/>
      </w:pPr>
      <w:r>
        <w:rPr>
          <w:rFonts w:ascii="Calibri" w:cs="Calibri" w:eastAsia="Calibri" w:hAnsi="Calibri"/>
          <w:b/>
          <w:bCs/>
          <w:sz w:val="22"/>
          <w:szCs w:val="22"/>
        </w:rPr>
        <w:t xml:space="preserve">Wechselaufwand</w:t>
      </w:r>
    </w:p>
    <w:p>
      <w:pPr>
        <w:spacing w:after="120" w:before="0" w:line="276"/>
      </w:pPr>
      <w:r>
        <w:rPr>
          <w:rFonts w:ascii="Calibri" w:cs="Calibri" w:eastAsia="Calibri" w:hAnsi="Calibri"/>
          <w:sz w:val="21"/>
          <w:szCs w:val="21"/>
        </w:rPr>
        <w:t xml:space="preserve">Der Umsetzungspartner schätzt den Migrationsaufwand auf 45 Personentage, im Wesentlichen für die Übertragung der CI/CD-Workflows. Diese Zahl haben wir nicht unabhängig verifiziert. Dass der Schwerpunkt dort liegt, ist unabhängig belegt: Der offizielle GitHub Actions Importer konvertiert Trigger, Jobs, Stages und Variablen automatisch, benennt aber Secrets, Service Connections, die Konfiguration selbst gehosteter Runner sowie Pre- und Post-Deployment-Approvals ausdrücklich als manuell nachzuarbeiten (GitHub Docs). Ein entsprechendes offizielles Werkzeug für die umgekehrte Richtung ist nicht dokumentiert.</w:t>
      </w:r>
    </w:p>
    <w:p>
      <w:pPr>
        <w:pStyle w:val="Heading3"/>
        <w:spacing w:after="100" w:before="240"/>
      </w:pPr>
      <w:r>
        <w:rPr>
          <w:rFonts w:ascii="Calibri" w:cs="Calibri" w:eastAsia="Calibri" w:hAnsi="Calibri"/>
          <w:b/>
          <w:bCs/>
          <w:sz w:val="22"/>
          <w:szCs w:val="22"/>
        </w:rPr>
        <w:t xml:space="preserve">Dauer und Begründung der Dauer</w:t>
      </w:r>
    </w:p>
    <w:p>
      <w:pPr>
        <w:spacing w:after="120" w:before="0" w:line="276"/>
      </w:pPr>
      <w:r>
        <w:rPr>
          <w:rFonts w:ascii="Calibri" w:cs="Calibri" w:eastAsia="Calibri" w:hAnsi="Calibri"/>
          <w:sz w:val="21"/>
          <w:szCs w:val="21"/>
        </w:rPr>
        <w:t xml:space="preserve">Beantragt wird eine unbefristete Ausnahme als Zielarchitektur mit verpflichtender Überprüfung alle 24 Monate im IT-Governance Board.</w:t>
      </w:r>
    </w:p>
    <w:p>
      <w:pPr>
        <w:spacing w:after="120" w:before="0" w:line="276"/>
      </w:pPr>
      <w:r>
        <w:rPr>
          <w:rFonts w:ascii="Calibri" w:cs="Calibri" w:eastAsia="Calibri" w:hAnsi="Calibri"/>
          <w:sz w:val="21"/>
          <w:szCs w:val="21"/>
        </w:rPr>
        <w:t xml:space="preserve">Eine Befristung setzt voraus, dass die Abweichung ein Provisorium ist und der Standard das bessere Ziel. Beides trifft hier nach unserer Einschätzung nicht zu. Eine Befristung ohne diese Voraussetzung erzeugt lediglich einen Termin, an dem dieselbe Diskussion mit demselben Ergebnis erneut geführt wird. Die Überprüfung alle 24 Monate leistet, was die Befristung leisten soll: Sie zwingt zur Neubewertung, wenn sich die Grundlage geändert hat.</w:t>
      </w:r>
    </w:p>
    <w:p>
      <w:pPr>
        <w:pStyle w:val="Heading3"/>
        <w:spacing w:after="100" w:before="240"/>
      </w:pPr>
      <w:r>
        <w:rPr>
          <w:rFonts w:ascii="Calibri" w:cs="Calibri" w:eastAsia="Calibri" w:hAnsi="Calibri"/>
          <w:b/>
          <w:bCs/>
          <w:sz w:val="22"/>
          <w:szCs w:val="22"/>
        </w:rPr>
        <w:t xml:space="preserve">Rückbauplanung</w:t>
      </w:r>
    </w:p>
    <w:p>
      <w:pPr>
        <w:spacing w:after="120" w:before="0" w:line="276"/>
      </w:pPr>
      <w:r>
        <w:rPr>
          <w:rFonts w:ascii="Calibri" w:cs="Calibri" w:eastAsia="Calibri" w:hAnsi="Calibri"/>
          <w:sz w:val="21"/>
          <w:szCs w:val="21"/>
        </w:rPr>
        <w:t xml:space="preserve">An die Stelle eines Rückbau-Terminplans tritt der Nachweis der Exit-Fähigkeit — inhaltlich das, was der EU Data Act für Cloud-Dienste ohnehin verlangt. Ein Terminplan für einen Rückbau, den niemand auslösen will, hat keinen Adressaten; eine geprüfte Exit-Fähigkeit wirkt jederzeit. Die Einzelheiten einschließlich der abschließend definierten Auslöser stehen in Anlage 1.</w:t>
      </w:r>
    </w:p>
    <w:p>
      <w:r>
        <w:br w:type="page"/>
      </w:r>
    </w:p>
    <w:p>
      <w:pPr>
        <w:pStyle w:val="Heading1"/>
        <w:spacing w:after="160" w:before="400"/>
      </w:pPr>
      <w:r>
        <w:rPr>
          <w:rFonts w:ascii="Calibri" w:cs="Calibri" w:eastAsia="Calibri" w:hAnsi="Calibri"/>
          <w:b/>
          <w:bCs/>
          <w:color w:val="3B1A62"/>
          <w:sz w:val="30"/>
          <w:szCs w:val="30"/>
        </w:rPr>
        <w:t xml:space="preserve">4  DragonflyDB — Begründung des Antrags</w:t>
      </w:r>
    </w:p>
    <w:p>
      <w:pPr>
        <w:spacing w:after="160" w:before="0" w:line="276"/>
      </w:pPr>
      <w:r>
        <w:rPr>
          <w:rFonts w:ascii="Calibri" w:cs="Calibri" w:eastAsia="Calibri" w:hAnsi="Calibri"/>
          <w:color w:val="595959"/>
          <w:sz w:val="19"/>
          <w:szCs w:val="19"/>
        </w:rPr>
        <w:t xml:space="preserve">Ausführliche Fassung mit allen Antragsfeldern: Anlage 2.</w:t>
      </w:r>
    </w:p>
    <w:tbl>
      <w:tblPr>
        <w:tblW w:type="dxa" w:w="9026"/>
        <w:tblBorders>
          <w:top w:val="single" w:color="D9D9D9" w:sz="2"/>
          <w:left w:val="single" w:color="B45309" w:sz="18"/>
          <w:bottom w:val="single" w:color="D9D9D9" w:sz="2"/>
          <w:right w:val="single" w:color="D9D9D9" w:sz="2"/>
          <w:insideH w:val="none"/>
          <w:insideV w:val="none"/>
        </w:tblBorders>
      </w:tblPr>
      <w:tblGrid>
        <w:gridCol w:w="9026"/>
      </w:tblGrid>
      <w:tr>
        <w:tc>
          <w:tcPr>
            <w:tcW w:type="dxa" w:w="9026"/>
            <w:shd w:fill="FAFAFA" w:color="auto" w:val="clear"/>
            <w:tcMar>
              <w:top w:type="dxa" w:w="130"/>
              <w:left w:type="dxa" w:w="200"/>
              <w:bottom w:type="dxa" w:w="130"/>
              <w:right w:type="dxa" w:w="160"/>
            </w:tcMar>
          </w:tcPr>
          <w:p>
            <w:pPr>
              <w:spacing w:after="80"/>
            </w:pPr>
            <w:r>
              <w:rPr>
                <w:rFonts w:ascii="Calibri" w:cs="Calibri" w:eastAsia="Calibri" w:hAnsi="Calibri"/>
                <w:b/>
                <w:bCs/>
                <w:color w:val="3B1A62"/>
                <w:sz w:val="21"/>
                <w:szCs w:val="21"/>
              </w:rPr>
              <w:t xml:space="preserve">Vorfrage: von welchem Standard wird hier abgewichen?</w:t>
            </w:r>
          </w:p>
          <w:p>
            <w:pPr>
              <w:spacing w:after="60" w:line="270"/>
            </w:pPr>
            <w:r>
              <w:rPr>
                <w:rFonts w:ascii="Calibri" w:cs="Calibri" w:eastAsia="Calibri" w:hAnsi="Calibri"/>
                <w:sz w:val="21"/>
                <w:szCs w:val="21"/>
              </w:rPr>
              <w:t xml:space="preserve">Der Entwurf 0.8 benennt für In-Memory-Datastores, Caches oder Datenbanken keinen Konzernstandard. Folie 41 führt unter „Standards" ausschließlich Sonar-basierte Quality Gates, die Testpyramide und Azure DevOps / GitLab. Weder Redis noch Azure Cache for Redis noch eine Kategorie „Caching" sind genannt.</w:t>
            </w:r>
          </w:p>
          <w:p>
            <w:pPr>
              <w:spacing w:after="60" w:line="270"/>
            </w:pPr>
            <w:r>
              <w:rPr>
                <w:rFonts w:ascii="Calibri" w:cs="Calibri" w:eastAsia="Calibri" w:hAnsi="Calibri"/>
                <w:b/>
                <w:bCs/>
                <w:sz w:val="21"/>
                <w:szCs w:val="21"/>
              </w:rPr>
              <w:t xml:space="preserve">Ein Waiver ist die Abweichung von einem definierten Standard. </w:t>
            </w:r>
            <w:r>
              <w:rPr>
                <w:rFonts w:ascii="Calibri" w:cs="Calibri" w:eastAsia="Calibri" w:hAnsi="Calibri"/>
                <w:sz w:val="21"/>
                <w:szCs w:val="21"/>
              </w:rPr>
              <w:t xml:space="preserve">Wir stellen den Antrag dennoch — vorsorglich und zur Aufnahme ins Register —, halten aber fest: Sachlich näher läge hier eine Anzeige. Der Fall zeigt zugleich, dass eine Anzeige- beziehungsweise Bagatellregelung im Verfahren fehlt.</w:t>
            </w:r>
          </w:p>
        </w:tc>
      </w:tr>
    </w:tbl>
    <w:p>
      <w:pPr>
        <w:pStyle w:val="Heading3"/>
        <w:spacing w:after="100" w:before="240"/>
      </w:pPr>
      <w:r>
        <w:rPr>
          <w:rFonts w:ascii="Calibri" w:cs="Calibri" w:eastAsia="Calibri" w:hAnsi="Calibri"/>
          <w:b/>
          <w:bCs/>
          <w:sz w:val="22"/>
          <w:szCs w:val="22"/>
        </w:rPr>
        <w:t xml:space="preserve">Der Leistungsnachteil des Wechsels ist beim Anbieter des Zielprodukts dokumentiert</w:t>
      </w:r>
    </w:p>
    <w:p>
      <w:pPr>
        <w:spacing w:after="120" w:before="0" w:line="276"/>
      </w:pPr>
      <w:r>
        <w:rPr>
          <w:rFonts w:ascii="Calibri" w:cs="Calibri" w:eastAsia="Calibri" w:hAnsi="Calibri"/>
          <w:sz w:val="21"/>
          <w:szCs w:val="21"/>
        </w:rPr>
        <w:t xml:space="preserve">Microsoft dokumentiert selbst, dass die Tarife Basic, Standard und Premium von Azure Cache for Redis auf der Community Edition von Redis laufen — „einschließlich single-threaded" — und dass diese Einschränkung die Leistung deutlich reduziert (Microsoft Learn, Azure Managed Redis Architecture). Die Aussage aus dem Projekt, ein Wechsel bedeute einen Leistungsrückschritt, stützt sich damit auf den Anbieter des Zielprodukts.</w:t>
      </w:r>
    </w:p>
    <w:p>
      <w:pPr>
        <w:spacing w:after="120" w:before="0" w:line="276"/>
      </w:pPr>
      <w:r>
        <w:rPr>
          <w:rFonts w:ascii="Calibri" w:cs="Calibri" w:eastAsia="Calibri" w:hAnsi="Calibri"/>
          <w:b/>
          <w:bCs/>
          <w:sz w:val="21"/>
          <w:szCs w:val="21"/>
        </w:rPr>
        <w:t xml:space="preserve">Zur Vollständigkeit gehört: </w:t>
      </w:r>
      <w:r>
        <w:rPr>
          <w:rFonts w:ascii="Calibri" w:cs="Calibri" w:eastAsia="Calibri" w:hAnsi="Calibri"/>
          <w:sz w:val="21"/>
          <w:szCs w:val="21"/>
        </w:rPr>
        <w:t xml:space="preserve">Das neuere Azure Managed Redis führt laut derselben Quelle mehrere Shards je Knoten parallel aus und wäre technisch geeignet. Es liegt in den Enterprise-Preisklassen; einen belastbaren Kostenvergleich haben wir nicht erhoben, weil uns dafür nur eine Wettbewerberquelle vorlag. Ein benannter Konzernstandard ist auch dieses Produkt nicht.</w:t>
      </w:r>
    </w:p>
    <w:p>
      <w:pPr>
        <w:pStyle w:val="Heading3"/>
        <w:spacing w:after="100" w:before="240"/>
      </w:pPr>
      <w:r>
        <w:rPr>
          <w:rFonts w:ascii="Calibri" w:cs="Calibri" w:eastAsia="Calibri" w:hAnsi="Calibri"/>
          <w:b/>
          <w:bCs/>
          <w:sz w:val="22"/>
          <w:szCs w:val="22"/>
        </w:rPr>
        <w:t xml:space="preserve">Die Rückbauplanung ist deshalb unkritisch</w:t>
      </w:r>
    </w:p>
    <w:p>
      <w:pPr>
        <w:spacing w:after="120" w:before="0" w:line="276"/>
      </w:pPr>
      <w:r>
        <w:rPr>
          <w:rFonts w:ascii="Calibri" w:cs="Calibri" w:eastAsia="Calibri" w:hAnsi="Calibri"/>
          <w:sz w:val="21"/>
          <w:szCs w:val="21"/>
        </w:rPr>
        <w:t xml:space="preserve">DragonflyDB ist auf Ebene der Redis-API kompatibel und für den Einsatz ohne Änderung des Anwendungscodes ausgelegt (Projektdokumentation des Herstellers). Für die Rückbauplanung ist das der entscheidende Punkt: Ein späterer Wechsel ist im Kern eine Konfigurations- und Lasttestaufgabe, kein Umbau der Anwendung. Der Umsetzungspartner schätzt den Aufwand auf 15 Personentage; auch diese Zahl haben wir nicht unabhängig verifiziert. Das verbleibende Risiko liegt nicht im Wechsel selbst, sondern in der anschließenden Optimierung, falls die Zielplattform die Last nicht in gleicher Weise trägt.</w:t>
      </w:r>
    </w:p>
    <w:p>
      <w:pPr>
        <w:pStyle w:val="Heading3"/>
        <w:spacing w:after="100" w:before="240"/>
      </w:pPr>
      <w:r>
        <w:rPr>
          <w:rFonts w:ascii="Calibri" w:cs="Calibri" w:eastAsia="Calibri" w:hAnsi="Calibri"/>
          <w:b/>
          <w:bCs/>
          <w:sz w:val="22"/>
          <w:szCs w:val="22"/>
        </w:rPr>
        <w:t xml:space="preserve">Lizenzlage</w:t>
      </w:r>
    </w:p>
    <w:p>
      <w:pPr>
        <w:spacing w:after="120" w:before="0" w:line="276"/>
      </w:pPr>
      <w:r>
        <w:rPr>
          <w:rFonts w:ascii="Calibri" w:cs="Calibri" w:eastAsia="Calibri" w:hAnsi="Calibri"/>
          <w:sz w:val="21"/>
          <w:szCs w:val="21"/>
        </w:rPr>
        <w:t xml:space="preserve">DragonflyDB steht unter der Business Source License 1.1 (Lizenztext des Projekts). Die Nutzung im eigenen Betrieb ist zulässig; untersagt ist im Kern das Anbieten als konkurrierender Managed Service. Ob die Nutzung auch dann gedeckt ist, wenn ILP Dritten als Dienst bereitgestellt wird, ist durch Legal zu bestätigen. Wir schlagen vor, diese Prüfung als Auflage in den Waiver aufzunehmen — sie ist in Anlage 2 so vorgesehen.</w:t>
      </w:r>
    </w:p>
    <w:p>
      <w:pPr>
        <w:pStyle w:val="Heading3"/>
        <w:spacing w:after="100" w:before="240"/>
      </w:pPr>
      <w:r>
        <w:rPr>
          <w:rFonts w:ascii="Calibri" w:cs="Calibri" w:eastAsia="Calibri" w:hAnsi="Calibri"/>
          <w:b/>
          <w:bCs/>
          <w:sz w:val="22"/>
          <w:szCs w:val="22"/>
        </w:rPr>
        <w:t xml:space="preserve">Dauer</w:t>
      </w:r>
    </w:p>
    <w:p>
      <w:pPr>
        <w:spacing w:after="120" w:before="0" w:line="276"/>
      </w:pPr>
      <w:r>
        <w:rPr>
          <w:rFonts w:ascii="Calibri" w:cs="Calibri" w:eastAsia="Calibri" w:hAnsi="Calibri"/>
          <w:sz w:val="21"/>
          <w:szCs w:val="21"/>
        </w:rPr>
        <w:t xml:space="preserve">Unbefristet als Zielarchitektur mit Überprüfung alle 24 Monate, analog GitHub. Solange kein Konzernstandard für In-Memory-Datastores definiert ist, kann eine Befristung an dessen Erreichung ohnehin nicht anknüpfen.</w:t>
      </w:r>
    </w:p>
    <w:p>
      <w:r>
        <w:br w:type="page"/>
      </w:r>
    </w:p>
    <w:p>
      <w:pPr>
        <w:pStyle w:val="Heading1"/>
        <w:spacing w:after="160" w:before="400"/>
      </w:pPr>
      <w:r>
        <w:rPr>
          <w:rFonts w:ascii="Calibri" w:cs="Calibri" w:eastAsia="Calibri" w:hAnsi="Calibri"/>
          <w:b/>
          <w:bCs/>
          <w:color w:val="3B1A62"/>
          <w:sz w:val="30"/>
          <w:szCs w:val="30"/>
        </w:rPr>
        <w:t xml:space="preserve">5  Azure Kubernetes Service — Begründung des Antrags</w:t>
      </w:r>
    </w:p>
    <w:p>
      <w:pPr>
        <w:spacing w:after="160" w:before="0" w:line="276"/>
      </w:pPr>
      <w:r>
        <w:rPr>
          <w:rFonts w:ascii="Calibri" w:cs="Calibri" w:eastAsia="Calibri" w:hAnsi="Calibri"/>
          <w:color w:val="595959"/>
          <w:sz w:val="19"/>
          <w:szCs w:val="19"/>
        </w:rPr>
        <w:t xml:space="preserve">Ausführliche Fassung mit allen Antragsfeldern: Anlage 4.</w:t>
      </w:r>
    </w:p>
    <w:tbl>
      <w:tblPr>
        <w:tblW w:type="dxa" w:w="9026"/>
        <w:tblBorders>
          <w:top w:val="single" w:color="D9D9D9" w:sz="2"/>
          <w:left w:val="single" w:color="B45309" w:sz="18"/>
          <w:bottom w:val="single" w:color="D9D9D9" w:sz="2"/>
          <w:right w:val="single" w:color="D9D9D9" w:sz="2"/>
          <w:insideH w:val="none"/>
          <w:insideV w:val="none"/>
        </w:tblBorders>
      </w:tblPr>
      <w:tblGrid>
        <w:gridCol w:w="9026"/>
      </w:tblGrid>
      <w:tr>
        <w:tc>
          <w:tcPr>
            <w:tcW w:type="dxa" w:w="9026"/>
            <w:shd w:fill="FAFAFA" w:color="auto" w:val="clear"/>
            <w:tcMar>
              <w:top w:type="dxa" w:w="130"/>
              <w:left w:type="dxa" w:w="200"/>
              <w:bottom w:type="dxa" w:w="130"/>
              <w:right w:type="dxa" w:w="160"/>
            </w:tcMar>
          </w:tcPr>
          <w:p>
            <w:pPr>
              <w:spacing w:after="80"/>
            </w:pPr>
            <w:r>
              <w:rPr>
                <w:rFonts w:ascii="Calibri" w:cs="Calibri" w:eastAsia="Calibri" w:hAnsi="Calibri"/>
                <w:b/>
                <w:bCs/>
                <w:color w:val="3B1A62"/>
                <w:sz w:val="21"/>
                <w:szCs w:val="21"/>
              </w:rPr>
              <w:t xml:space="preserve">Vorfrage: von welchem Standard wird hier abgewichen?</w:t>
            </w:r>
          </w:p>
          <w:p>
            <w:pPr>
              <w:spacing w:after="60" w:line="270"/>
            </w:pPr>
            <w:r>
              <w:rPr>
                <w:rFonts w:ascii="Calibri" w:cs="Calibri" w:eastAsia="Calibri" w:hAnsi="Calibri"/>
                <w:sz w:val="21"/>
                <w:szCs w:val="21"/>
              </w:rPr>
              <w:t xml:space="preserve">Der Entwurf 0.8 benennt für Container-Laufzeitumgebungen, Orchestrierung oder Compute keinen Konzernstandard. Azure Container Apps ist im Abstimmungsgespräch als Zielbild genannt, im Entwurf aber nicht als Standard gesetzt worden.</w:t>
            </w:r>
          </w:p>
          <w:p>
            <w:pPr>
              <w:spacing w:after="60" w:line="270"/>
            </w:pPr>
            <w:r>
              <w:rPr>
                <w:rFonts w:ascii="Calibri" w:cs="Calibri" w:eastAsia="Calibri" w:hAnsi="Calibri"/>
                <w:b/>
                <w:bCs/>
                <w:sz w:val="21"/>
                <w:szCs w:val="21"/>
              </w:rPr>
              <w:t xml:space="preserve">Hinzu kommt eine Besonderheit dieses Falls: Beide Dienste sind Managed Services derselben Plattform und laufen im selben Azure-Tenant. Zur Entscheidung steht nicht, ob wir den Cloudanbieter des Konzerns nutzen, sondern welchen seiner beiden Container-Dienste. Wir stellen den Antrag dennoch — vorsorglich und zur Aufnahme ins Register.</w:t>
            </w:r>
          </w:p>
        </w:tc>
      </w:tr>
    </w:tbl>
    <w:p>
      <w:pPr>
        <w:pStyle w:val="Heading3"/>
        <w:spacing w:after="100" w:before="240"/>
      </w:pPr>
      <w:r>
        <w:rPr>
          <w:rFonts w:ascii="Calibri" w:cs="Calibri" w:eastAsia="Calibri" w:hAnsi="Calibri"/>
          <w:b/>
          <w:bCs/>
          <w:sz w:val="22"/>
          <w:szCs w:val="22"/>
        </w:rPr>
        <w:t xml:space="preserve">Die Ressourcengrenze des Zieldienstes ist beim Anbieter dokumentiert</w:t>
      </w:r>
    </w:p>
    <w:p>
      <w:pPr>
        <w:spacing w:after="120" w:before="0" w:line="276"/>
      </w:pPr>
      <w:r>
        <w:rPr>
          <w:rFonts w:ascii="Calibri" w:cs="Calibri" w:eastAsia="Calibri" w:hAnsi="Calibri"/>
          <w:sz w:val="21"/>
          <w:szCs w:val="21"/>
        </w:rPr>
        <w:t xml:space="preserve">Die Analyse und Verarbeitung der Quelldokumente in der Content Factory ist der aufwändigste Schritt der Verarbeitungskette und für den Speicherbedarf bestimmend. Microsoft dokumentiert für Azure Container Apps, dass Consumption-Profile je Replikat 0,25 bis 4 vCPU und 0,5 bis 8 GiB Arbeitsspeicher zulassen (Microsoft Learn, „Workload profiles in Azure Container Apps"). Diese Grenze lässt sich nicht durch Konfiguration erweitern, sondern nur durch einen Wechsel des Profiltyps.</w:t>
      </w:r>
    </w:p>
    <w:p>
      <w:pPr>
        <w:pStyle w:val="Heading3"/>
        <w:spacing w:after="100" w:before="240"/>
      </w:pPr>
      <w:r>
        <w:rPr>
          <w:rFonts w:ascii="Calibri" w:cs="Calibri" w:eastAsia="Calibri" w:hAnsi="Calibri"/>
          <w:b/>
          <w:bCs/>
          <w:sz w:val="22"/>
          <w:szCs w:val="22"/>
        </w:rPr>
        <w:t xml:space="preserve">Oberhalb dieser Grenze entfällt der Vorteil, der für den Zieldienst spricht</w:t>
      </w:r>
    </w:p>
    <w:p>
      <w:pPr>
        <w:spacing w:after="120" w:before="0" w:line="276"/>
      </w:pPr>
      <w:r>
        <w:rPr>
          <w:rFonts w:ascii="Calibri" w:cs="Calibri" w:eastAsia="Calibri" w:hAnsi="Calibri"/>
          <w:sz w:val="21"/>
          <w:szCs w:val="21"/>
        </w:rPr>
        <w:t xml:space="preserve">Für höhere Anforderungen sieht dieselbe Quelle Dedicated-Profile vor — D4 bis D32 mit 4 bis 32 vCPU und 16 bis 128 GiB, speicheroptimiert E4 bis E32 mit bis zu 256 GiB. Die Zuteilung erfolgt dort ausdrücklich je Knoten und nicht je Replikat: Größe und Anzahl der Knoten sind zu dimensionieren, zu betreiben und zu bezahlen. Damit entsteht genau die Aufgabe, die AKS heute bereits löst. Das Flexible-Profil, das je Replikat bis 16 GiB zulässt, ist Vorschauversion und kann nicht auf null skalieren. Ergänzend sind Speicher und GPU enger gefasst: Azure Container Apps unterstützt nur ephemere Volumes und Azure-Files-Freigaben, und serverlose GPUs sind auf Consumption-Profile beschränkt, kontingentpflichtig und in Germany West Central nicht verfügbar (Microsoft Learn).</w:t>
      </w:r>
    </w:p>
    <w:p>
      <w:pPr>
        <w:pStyle w:val="Heading3"/>
        <w:spacing w:after="100" w:before="240"/>
      </w:pPr>
      <w:r>
        <w:rPr>
          <w:rFonts w:ascii="Calibri" w:cs="Calibri" w:eastAsia="Calibri" w:hAnsi="Calibri"/>
          <w:b/>
          <w:bCs/>
          <w:sz w:val="22"/>
          <w:szCs w:val="22"/>
        </w:rPr>
        <w:t xml:space="preserve">Die Rückbauplanung ist deshalb überschaubar, das Restrisiko liegt in der Zielplattform</w:t>
      </w:r>
    </w:p>
    <w:p>
      <w:pPr>
        <w:spacing w:after="120" w:before="0" w:line="276"/>
      </w:pPr>
      <w:r>
        <w:rPr>
          <w:rFonts w:ascii="Calibri" w:cs="Calibri" w:eastAsia="Calibri" w:hAnsi="Calibri"/>
          <w:sz w:val="21"/>
          <w:szCs w:val="21"/>
        </w:rPr>
        <w:t xml:space="preserve">Die Dienste werden als OCI-Container aus der GitHub Container Registry ausgeliefert und sind nicht an AKS-spezifische Schnittstellen gebunden. Ein Wechsel betrifft Deployment, Skalierung, Konfiguration und Speicheranbindung, nicht den Anwendungscode. Das Entwicklungsteam schätzt den Aufwand auf rund 25 Personentage, mit dem größten Einzelposten von 10 Personentagen für Queuing und Autoscaling; auch diese Zahl haben wir nicht unabhängig verifiziert. Das verbleibende Risiko liegt nicht im Wechsel selbst, sondern in den oben genannten Ressourcengrenzen: Reicht das Consumption-Profil für die Dokumentanalyse nicht aus, ist auf ein Dedicated-Profil zu wechseln — und der erwartete Betriebsvorteil entfällt.</w:t>
      </w:r>
    </w:p>
    <w:p>
      <w:pPr>
        <w:pStyle w:val="Heading3"/>
        <w:spacing w:after="100" w:before="240"/>
      </w:pPr>
      <w:r>
        <w:rPr>
          <w:rFonts w:ascii="Calibri" w:cs="Calibri" w:eastAsia="Calibri" w:hAnsi="Calibri"/>
          <w:b/>
          <w:bCs/>
          <w:sz w:val="22"/>
          <w:szCs w:val="22"/>
        </w:rPr>
        <w:t xml:space="preserve">Dauer</w:t>
      </w:r>
    </w:p>
    <w:p>
      <w:pPr>
        <w:spacing w:after="120" w:before="0" w:line="276"/>
      </w:pPr>
      <w:r>
        <w:rPr>
          <w:rFonts w:ascii="Calibri" w:cs="Calibri" w:eastAsia="Calibri" w:hAnsi="Calibri"/>
          <w:sz w:val="21"/>
          <w:szCs w:val="21"/>
        </w:rPr>
        <w:t xml:space="preserve">Unbefristet als Zielarchitektur mit Überprüfung alle 24 Monate, analog GitHub und DragonflyDB. Maßgeblich für eine Neubewertung ist nicht der Zeitablauf, sondern eine Anhebung der dokumentierten Ressourcengrenzen durch den Anbieter.</w:t>
      </w:r>
    </w:p>
    <w:p>
      <w:r>
        <w:br w:type="page"/>
      </w:r>
    </w:p>
    <w:p>
      <w:pPr>
        <w:pStyle w:val="Heading1"/>
        <w:spacing w:after="160" w:before="400"/>
      </w:pPr>
      <w:r>
        <w:rPr>
          <w:rFonts w:ascii="Calibri" w:cs="Calibri" w:eastAsia="Calibri" w:hAnsi="Calibri"/>
          <w:b/>
          <w:bCs/>
          <w:color w:val="3B1A62"/>
          <w:sz w:val="30"/>
          <w:szCs w:val="30"/>
        </w:rPr>
        <w:t xml:space="preserve">6  Betrieb durch die AF EduTech</w:t>
      </w:r>
    </w:p>
    <w:p>
      <w:pPr>
        <w:spacing w:after="120" w:before="0" w:line="276"/>
      </w:pPr>
      <w:r>
        <w:rPr>
          <w:rFonts w:ascii="Calibri" w:cs="Calibri" w:eastAsia="Calibri" w:hAnsi="Calibri"/>
          <w:sz w:val="21"/>
          <w:szCs w:val="21"/>
        </w:rPr>
        <w:t xml:space="preserve">Der Group-CIO hat Zweifel geäußert, ob die EduTech über geeignete Werkzeuge in korrekter Lizenzierung verfügt und diese angemessen einsetzt, mit ausdrücklichem Bezug auf Datensicherungskonzept und dokumentierte Rücksicherungstests sowie auf die angestrebte Verbund-Zertifizierung. Der Punkt ist berechtigt. Er wird nicht mit Argumenten beantwortet, sondern mit Nachweisen: Anlage 3 enthält die Erklärung in der Form, in der sie ausgefüllt und vom Group-CISO gegengezeichnet werden kann.</w:t>
      </w:r>
    </w:p>
    <w:p>
      <w:pPr>
        <w:pStyle w:val="Heading2"/>
        <w:spacing w:after="120" w:before="320"/>
      </w:pPr>
      <w:r>
        <w:rPr>
          <w:rFonts w:ascii="Calibri" w:cs="Calibri" w:eastAsia="Calibri" w:hAnsi="Calibri"/>
          <w:b/>
          <w:bCs/>
          <w:color w:val="3B1A62"/>
          <w:sz w:val="25"/>
          <w:szCs w:val="25"/>
        </w:rPr>
        <w:t xml:space="preserve">6.1  Zuordnung der Betriebsprozesse</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2006"/>
        <w:gridCol w:w="2340"/>
        <w:gridCol w:w="2340"/>
        <w:gridCol w:w="2340"/>
      </w:tblGrid>
      <w:tr>
        <w:trPr>
          <w:tblHeader/>
        </w:trPr>
        <w:tc>
          <w:tcPr>
            <w:tcW w:type="dxa" w:w="2006"/>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Betriebsprozess</w:t>
            </w:r>
          </w:p>
        </w:tc>
        <w:tc>
          <w:tcPr>
            <w:tcW w:type="dxa" w:w="2340"/>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GitHub Enterprise Cloud (SaaS)</w:t>
            </w:r>
          </w:p>
        </w:tc>
        <w:tc>
          <w:tcPr>
            <w:tcW w:type="dxa" w:w="2340"/>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DragonflyDB (Eigenbetrieb)</w:t>
            </w:r>
          </w:p>
        </w:tc>
        <w:tc>
          <w:tcPr>
            <w:tcW w:type="dxa" w:w="2340"/>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Azure Kubernetes Service (Managed Service)</w:t>
            </w:r>
          </w:p>
        </w:tc>
      </w:tr>
      <w:tr>
        <w:trPr>
          <w:tblHeader w:val="false"/>
        </w:trPr>
        <w:tc>
          <w:tcPr>
            <w:tcW w:type="dxa" w:w="2006"/>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Verfügbarkeit der Plattform</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Anbieter</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Anbieter für die Steuerungsebene; AF EduTech für Knoten und Anwendungen</w:t>
            </w:r>
          </w:p>
        </w:tc>
      </w:tr>
      <w:tr>
        <w:trPr>
          <w:tblHeader w:val="false"/>
        </w:trPr>
        <w:tc>
          <w:tcPr>
            <w:tcW w:type="dxa" w:w="2006"/>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Patching und Härtung</w:t>
            </w:r>
          </w:p>
        </w:tc>
        <w:tc>
          <w:tcPr>
            <w:tcW w:type="dxa" w:w="23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Anbieter für die Plattform; EduTech für Konfiguration und Zugriffsmodell</w:t>
            </w:r>
          </w:p>
        </w:tc>
        <w:tc>
          <w:tcPr>
            <w:tcW w:type="dxa" w:w="23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nach Patch-SLA je CVSS-Klasse</w:t>
            </w:r>
          </w:p>
        </w:tc>
        <w:tc>
          <w:tcPr>
            <w:tcW w:type="dxa" w:w="23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für Cluster-Version, Knotenimages und Konfiguration, nach Patch-SLA je CVSS-Klasse</w:t>
            </w:r>
          </w:p>
        </w:tc>
      </w:tr>
      <w:tr>
        <w:trPr>
          <w:tblHeader w:val="false"/>
        </w:trPr>
        <w:tc>
          <w:tcPr>
            <w:tcW w:type="dxa" w:w="2006"/>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Identität und Zugriff</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über die Konzern-Identitätsföderation, keine lokalen Benutzerdatenbanken</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ebenso</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über die Konzern-Identitätsföderation, keine lokalen Benutzerdatenbanken</w:t>
            </w:r>
          </w:p>
        </w:tc>
      </w:tr>
      <w:tr>
        <w:trPr>
          <w:tblHeader w:val="false"/>
        </w:trPr>
        <w:tc>
          <w:tcPr>
            <w:tcW w:type="dxa" w:w="2006"/>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Datensicherung</w:t>
            </w:r>
          </w:p>
        </w:tc>
        <w:tc>
          <w:tcPr>
            <w:tcW w:type="dxa" w:w="23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Ein natives Backup der Kundeninhalte ist für Enterprise Cloud nicht dokumentiert; ghe-migrator adressiert Enterprise Server (GitHub Docs). Die Sicherung von Repositories und Metadaten liegt damit bei uns.</w:t>
            </w:r>
          </w:p>
        </w:tc>
        <w:tc>
          <w:tcPr>
            <w:tcW w:type="dxa" w:w="23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über den Snapshot-Mechanismus des Produkts. Ob eine Sicherungspflicht besteht, hängt von der Datenkategorie ab — siehe 6.3.</w:t>
            </w:r>
          </w:p>
        </w:tc>
        <w:tc>
          <w:tcPr>
            <w:tcW w:type="dxa" w:w="23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Die Cluster- und Deployment-Konfiguration wird versioniert vorgehalten; zustandsbehaftete Daten liegen außerhalb des Clusters.</w:t>
            </w:r>
          </w:p>
        </w:tc>
      </w:tr>
      <w:tr>
        <w:trPr>
          <w:tblHeader w:val="false"/>
        </w:trPr>
        <w:tc>
          <w:tcPr>
            <w:tcW w:type="dxa" w:w="2006"/>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Rücksicherungstest</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dokumentiert; Turnus in Anlage 3</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ebenso</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dokumentiert; Turnus in Anlage 3</w:t>
            </w:r>
          </w:p>
        </w:tc>
      </w:tr>
      <w:tr>
        <w:trPr>
          <w:tblHeader w:val="false"/>
        </w:trPr>
        <w:tc>
          <w:tcPr>
            <w:tcW w:type="dxa" w:w="2006"/>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Protokollierung und SoC-Anbindung</w:t>
            </w:r>
          </w:p>
        </w:tc>
        <w:tc>
          <w:tcPr>
            <w:tcW w:type="dxa" w:w="23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liefert Audit-Log in das Konzern-SoC</w:t>
            </w:r>
          </w:p>
        </w:tc>
        <w:tc>
          <w:tcPr>
            <w:tcW w:type="dxa" w:w="23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ebenso</w:t>
            </w:r>
          </w:p>
        </w:tc>
        <w:tc>
          <w:tcPr>
            <w:tcW w:type="dxa" w:w="23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ebenso</w:t>
            </w:r>
          </w:p>
        </w:tc>
      </w:tr>
      <w:tr>
        <w:trPr>
          <w:tblHeader w:val="false"/>
        </w:trPr>
        <w:tc>
          <w:tcPr>
            <w:tcW w:type="dxa" w:w="2006"/>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1st-Level-Support</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Group-IT (Ticket-Routing und Erstqualifizierung), verrechnet</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Group-IT (Ticket-Routing), verrechnet</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Group-IT (Ticket-Routing), verrechnet</w:t>
            </w:r>
          </w:p>
        </w:tc>
      </w:tr>
      <w:tr>
        <w:trPr>
          <w:tblHeader w:val="false"/>
        </w:trPr>
        <w:tc>
          <w:tcPr>
            <w:tcW w:type="dxa" w:w="2006"/>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2nd/3rd Level, Releases, Changes</w:t>
            </w:r>
          </w:p>
        </w:tc>
        <w:tc>
          <w:tcPr>
            <w:tcW w:type="dxa" w:w="23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w:t>
            </w:r>
          </w:p>
        </w:tc>
        <w:tc>
          <w:tcPr>
            <w:tcW w:type="dxa" w:w="23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w:t>
            </w:r>
          </w:p>
        </w:tc>
        <w:tc>
          <w:tcPr>
            <w:tcW w:type="dxa" w:w="23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w:t>
            </w:r>
          </w:p>
        </w:tc>
      </w:tr>
      <w:tr>
        <w:trPr>
          <w:tblHeader w:val="false"/>
        </w:trPr>
        <w:tc>
          <w:tcPr>
            <w:tcW w:type="dxa" w:w="2006"/>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Betriebsdokumentation und Inventarisierung</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Eintrag im Application Portfolio</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ebenso</w:t>
            </w:r>
          </w:p>
        </w:tc>
        <w:tc>
          <w:tcPr>
            <w:tcW w:type="dxa" w:w="23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AF EduTech, Eintrag im Application Portfolio</w:t>
            </w:r>
          </w:p>
        </w:tc>
      </w:tr>
    </w:tbl>
    <w:p>
      <w:pPr>
        <w:pStyle w:val="Heading2"/>
        <w:spacing w:after="120" w:before="320"/>
      </w:pPr>
      <w:r>
        <w:rPr>
          <w:rFonts w:ascii="Calibri" w:cs="Calibri" w:eastAsia="Calibri" w:hAnsi="Calibri"/>
          <w:b/>
          <w:bCs/>
          <w:color w:val="3B1A62"/>
          <w:sz w:val="25"/>
          <w:szCs w:val="25"/>
        </w:rPr>
        <w:t xml:space="preserve">6.2  Wirkung auf die Verbund-Zertifizierung</w:t>
      </w:r>
    </w:p>
    <w:p>
      <w:pPr>
        <w:spacing w:after="120" w:before="0" w:line="276"/>
      </w:pPr>
      <w:r>
        <w:rPr>
          <w:rFonts w:ascii="Calibri" w:cs="Calibri" w:eastAsia="Calibri" w:hAnsi="Calibri"/>
          <w:sz w:val="21"/>
          <w:szCs w:val="21"/>
        </w:rPr>
        <w:t xml:space="preserve">Eine Zertifizierung nach ISO/IEC 27001 über mehrere Standorte setzt voraus, dass diese nicht unabhängig agieren, sondern über ein zentral gesteuertes Informationssicherheits-Managementsystem geführt, fortlaufend überwacht und auditiert werden. Der Einwand des Group-CIO richtet sich damit im Kern nicht gegen GitHub, DragonflyDB oder Azure Kubernetes Service, sondern gegen unzureichend dokumentierten Betrieb — und der wäre bei einer selbst betriebenen Alternative größer, weil dann zusätzlich Plattformbetrieb, Verfügbarkeit und Patching bei uns lägen. Was fehlt, ist nicht die Eignung, sondern die Nachweisführung. Genau die liefert Anlage 3.</w:t>
      </w:r>
    </w:p>
    <w:p>
      <w:pPr>
        <w:pStyle w:val="Heading2"/>
        <w:spacing w:after="120" w:before="320"/>
      </w:pPr>
      <w:r>
        <w:rPr>
          <w:rFonts w:ascii="Calibri" w:cs="Calibri" w:eastAsia="Calibri" w:hAnsi="Calibri"/>
          <w:b/>
          <w:bCs/>
          <w:color w:val="3B1A62"/>
          <w:sz w:val="25"/>
          <w:szCs w:val="25"/>
        </w:rPr>
        <w:t xml:space="preserve">6.3  Offener Punkt zur Datensicherung</w:t>
      </w:r>
    </w:p>
    <w:p>
      <w:pPr>
        <w:spacing w:after="120" w:before="0" w:line="276"/>
      </w:pPr>
      <w:r>
        <w:rPr>
          <w:rFonts w:ascii="Calibri" w:cs="Calibri" w:eastAsia="Calibri" w:hAnsi="Calibri"/>
          <w:sz w:val="21"/>
          <w:szCs w:val="21"/>
        </w:rPr>
        <w:t xml:space="preserve">Ob der in DragonflyDB gehaltene Bestand sicherungspflichtig ist, hängt davon ab, ob es sich um einen reinen Cache mit aus Quellsystemen regenerierbaren Daten handelt oder um primäre Datenhaltung, etwa Sitzungsdaten oder Warteschlangen. Das Projekt bestätigt die Datenkategorie im Rahmen von Anlage 3; die Sicherungsanforderung richtet sich danach.</w:t>
      </w:r>
    </w:p>
    <w:p>
      <w:r>
        <w:br w:type="page"/>
      </w:r>
    </w:p>
    <w:p>
      <w:pPr>
        <w:pStyle w:val="Heading1"/>
        <w:spacing w:after="160" w:before="400"/>
      </w:pPr>
      <w:r>
        <w:rPr>
          <w:rFonts w:ascii="Calibri" w:cs="Calibri" w:eastAsia="Calibri" w:hAnsi="Calibri"/>
          <w:b/>
          <w:bCs/>
          <w:color w:val="3B1A62"/>
          <w:sz w:val="30"/>
          <w:szCs w:val="30"/>
        </w:rPr>
        <w:t xml:space="preserve">7  Antwort auf die sechs Rückfragen des Group-CIO</w:t>
      </w:r>
    </w:p>
    <w:p>
      <w:pPr>
        <w:spacing w:after="140" w:before="0" w:line="276"/>
      </w:pPr>
      <w:r>
        <w:rPr>
          <w:rFonts w:ascii="Calibri" w:cs="Calibri" w:eastAsia="Calibri" w:hAnsi="Calibri"/>
          <w:color w:val="595959"/>
          <w:sz w:val="19"/>
          <w:szCs w:val="19"/>
        </w:rPr>
        <w:t xml:space="preserve">Übersicht. Die vollständige Fassung je Waiver steht in Anlage 1, Anlage 2 und Anlage 4.</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1705"/>
        <w:gridCol w:w="2440"/>
        <w:gridCol w:w="2440"/>
        <w:gridCol w:w="2441"/>
      </w:tblGrid>
      <w:tr>
        <w:trPr>
          <w:tblHeader/>
        </w:trPr>
        <w:tc>
          <w:tcPr>
            <w:tcW w:type="dxa" w:w="1705"/>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Rückfrage</w:t>
            </w:r>
          </w:p>
        </w:tc>
        <w:tc>
          <w:tcPr>
            <w:tcW w:type="dxa" w:w="2440"/>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GitHub</w:t>
            </w:r>
          </w:p>
        </w:tc>
        <w:tc>
          <w:tcPr>
            <w:tcW w:type="dxa" w:w="2440"/>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DragonflyDB</w:t>
            </w:r>
          </w:p>
        </w:tc>
        <w:tc>
          <w:tcPr>
            <w:tcW w:type="dxa" w:w="2441"/>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Azure Kubernetes Service</w:t>
            </w:r>
          </w:p>
        </w:tc>
      </w:tr>
      <w:tr>
        <w:trPr>
          <w:tblHeader w:val="false"/>
        </w:trPr>
        <w:tc>
          <w:tcPr>
            <w:tcW w:type="dxa" w:w="1705"/>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1  Business-Begründung</w:t>
            </w:r>
          </w:p>
        </w:tc>
        <w:tc>
          <w:tcPr>
            <w:tcW w:type="dxa" w:w="24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Der Wechsel vereinheitlicht nichts, da der Entwurf bereits zwei Plattformen zulässt. Verbreitung als Skaleneffekt. Zertifizierungen und EU-Datenresidenz vorhanden. Sicherheitsfunktionen mit SSDF-Bezug. 45 PT Wechselaufwand (Schätzung Umsetzungspartner) ohne bezifferten Gegenwert.</w:t>
            </w:r>
          </w:p>
        </w:tc>
        <w:tc>
          <w:tcPr>
            <w:tcW w:type="dxa" w:w="24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Der Zieltarif ist beim Anbieter selbst als single-threaded und leistungsmindernd dokumentiert. Ein Konzernstandard für In-Memory-Datastores ist nicht benannt. 15 PT Wechselaufwand (Schätzung Umsetzungspartner) zuzüglich Optimierungsrisiko.</w:t>
            </w:r>
          </w:p>
        </w:tc>
        <w:tc>
          <w:tcPr>
            <w:tcW w:type="dxa" w:w="244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Die Ressourcengrenze des Zieldienstes — 4 vCPU und 8 GiB je Replikat auf Consumption-Profilen — ist beim Anbieter dokumentiert; oberhalb davon wird je Knoten zugeteilt, womit der Betriebsvorteil entfällt. Ein Konzernstandard für Container-Laufzeitumgebungen ist nicht benannt. 25 PT Wechselaufwand (Schätzung des Entwicklungsteams).</w:t>
            </w:r>
          </w:p>
        </w:tc>
      </w:tr>
      <w:tr>
        <w:trPr>
          <w:tblHeader w:val="false"/>
        </w:trPr>
        <w:tc>
          <w:tcPr>
            <w:tcW w:type="dxa" w:w="1705"/>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2  Dauer und Gründe für die Dauer</w:t>
            </w:r>
          </w:p>
        </w:tc>
        <w:tc>
          <w:tcPr>
            <w:tcW w:type="dxa" w:w="24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Unbefristet als Zielarchitektur, Überprüfung alle 24 Monate. Keine Übergangslösung; eine Befristung ohne Rückbauabsicht erzeugt nur einen Wiedervorlagetermin.</w:t>
            </w:r>
          </w:p>
        </w:tc>
        <w:tc>
          <w:tcPr>
            <w:tcW w:type="dxa" w:w="24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Identisch. Zusätzlich: Ohne definierten Standard kann eine Befristung nicht an dessen Erreichung anknüpfen.</w:t>
            </w:r>
          </w:p>
        </w:tc>
        <w:tc>
          <w:tcPr>
            <w:tcW w:type="dxa" w:w="2441"/>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Identisch. Maßgeblich für eine Neubewertung ist nicht der Zeitablauf, sondern eine Anhebung der Ressourcengrenzen beim Anbieter.</w:t>
            </w:r>
          </w:p>
        </w:tc>
      </w:tr>
      <w:tr>
        <w:trPr>
          <w:tblHeader w:val="false"/>
        </w:trPr>
        <w:tc>
          <w:tcPr>
            <w:tcW w:type="dxa" w:w="1705"/>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3  Rückbauplan</w:t>
            </w:r>
          </w:p>
        </w:tc>
        <w:tc>
          <w:tcPr>
            <w:tcW w:type="dxa" w:w="24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Nachweis der Exit-Fähigkeit statt Terminplan; Git-Historie vollständig portabel, Metadaten über die API exportierbar, Aufwand auf die CI/CD-Workflows konzentriert; jährlicher Nachweis; fünf abschließend definierte Auslöser (Anlage 1).</w:t>
            </w:r>
          </w:p>
        </w:tc>
        <w:tc>
          <w:tcPr>
            <w:tcW w:type="dxa" w:w="24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Wegen der Redis-Protokollkompatibilität im Kern Konfiguration und Lasttest; fünf abschließend definierte Auslöser (Anlage 2).</w:t>
            </w:r>
          </w:p>
        </w:tc>
        <w:tc>
          <w:tcPr>
            <w:tcW w:type="dxa" w:w="244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Standard-Container ohne AKS-spezifische Schnittstellen; der Wechsel betrifft Deployment, Skalierung, Konfiguration und Speicheranbindung, nicht den Anwendungscode; fünf abschließend definierte Auslöser (Anlage 4).</w:t>
            </w:r>
          </w:p>
        </w:tc>
      </w:tr>
      <w:tr>
        <w:trPr>
          <w:tblHeader w:val="false"/>
        </w:trPr>
        <w:tc>
          <w:tcPr>
            <w:tcW w:type="dxa" w:w="1705"/>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4  Betrieb bis zum Rückbau</w:t>
            </w:r>
          </w:p>
        </w:tc>
        <w:tc>
          <w:tcPr>
            <w:tcW w:type="dxa" w:w="24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Vollständig AF EduTech; bei SaaS liegt die Plattformverfügbarkeit beim Anbieter. Prozessweise Zuordnung in 6.1, Nachweise in Anlage 3.</w:t>
            </w:r>
          </w:p>
        </w:tc>
        <w:tc>
          <w:tcPr>
            <w:tcW w:type="dxa" w:w="24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Vollständig AF EduTech einschließlich Plattformbetrieb. Sicherungspflicht abhängig von der zu bestätigenden Datenkategorie.</w:t>
            </w:r>
          </w:p>
        </w:tc>
        <w:tc>
          <w:tcPr>
            <w:tcW w:type="dxa" w:w="2441"/>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Vollständig AF EduTech; die Steuerungsebene stellt Microsoft als Managed Service bereit. Prozessweise Zuordnung in 6.1.</w:t>
            </w:r>
          </w:p>
        </w:tc>
      </w:tr>
      <w:tr>
        <w:trPr>
          <w:tblHeader w:val="false"/>
        </w:trPr>
        <w:tc>
          <w:tcPr>
            <w:tcW w:type="dxa" w:w="1705"/>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5  Ansprechpartner</w:t>
            </w:r>
          </w:p>
        </w:tc>
        <w:tc>
          <w:tcPr>
            <w:tcW w:type="dxa" w:w="24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Fachlich und für den Betrieb benannt in Anlage 1; Eskalation Nils Manegold.</w:t>
            </w:r>
          </w:p>
        </w:tc>
        <w:tc>
          <w:tcPr>
            <w:tcW w:type="dxa" w:w="244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Fachlich und für den Betrieb benannt in Anlage 2; Eskalation Nils Manegold.</w:t>
            </w:r>
          </w:p>
        </w:tc>
        <w:tc>
          <w:tcPr>
            <w:tcW w:type="dxa" w:w="244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Fachlich und für den Betrieb benannt in Anlage 4; Eskalation Nils Manegold.</w:t>
            </w:r>
          </w:p>
        </w:tc>
      </w:tr>
      <w:tr>
        <w:trPr>
          <w:tblHeader w:val="false"/>
        </w:trPr>
        <w:tc>
          <w:tcPr>
            <w:tcW w:type="dxa" w:w="1705"/>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6  Prozess</w:t>
            </w:r>
          </w:p>
        </w:tc>
        <w:tc>
          <w:tcPr>
            <w:tcW w:type="dxa" w:w="24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Wir folgen dem sechsstufigen Ablauf, sobald Antragsformular, Dokumentationsanforderung, Frist und Register vorliegen (Abschnitt 2, Beschluss 5).</w:t>
            </w:r>
          </w:p>
        </w:tc>
        <w:tc>
          <w:tcPr>
            <w:tcW w:type="dxa" w:w="244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Ergänzend: Ohne benannten Standard sollte eine Anzeige genügen. Der Fall zeigt die fehlende Bagatellregelung.</w:t>
            </w:r>
          </w:p>
        </w:tc>
        <w:tc>
          <w:tcPr>
            <w:tcW w:type="dxa" w:w="2441"/>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Ergänzend: Beide Dienste sind Managed Services derselben Plattform im selben Tenant. Auch hier sollte eine Anzeige genügen.</w:t>
            </w:r>
          </w:p>
        </w:tc>
      </w:tr>
    </w:tbl>
    <w:p>
      <w:pPr>
        <w:spacing w:after="180"/>
      </w:pPr>
      <w:r>
        <w:rPr>
          <w:sz w:val="12"/>
          <w:szCs w:val="12"/>
        </w:rPr>
        <w:t xml:space="preserve"/>
      </w:r>
    </w:p>
    <w:p>
      <w:pPr>
        <w:pStyle w:val="Heading2"/>
        <w:spacing w:after="120" w:before="320"/>
      </w:pPr>
      <w:r>
        <w:rPr>
          <w:rFonts w:ascii="Calibri" w:cs="Calibri" w:eastAsia="Calibri" w:hAnsi="Calibri"/>
          <w:b/>
          <w:bCs/>
          <w:color w:val="3B1A62"/>
          <w:sz w:val="25"/>
          <w:szCs w:val="25"/>
        </w:rPr>
        <w:t xml:space="preserve">Gegenüberstellung der beiden Optionen</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1905"/>
        <w:gridCol w:w="3560"/>
        <w:gridCol w:w="3561"/>
      </w:tblGrid>
      <w:tr>
        <w:trPr>
          <w:tblHeader/>
        </w:trPr>
        <w:tc>
          <w:tcPr>
            <w:tcW w:type="dxa" w:w="1905"/>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Kriterium</w:t>
            </w:r>
          </w:p>
        </w:tc>
        <w:tc>
          <w:tcPr>
            <w:tcW w:type="dxa" w:w="3560"/>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Waiver erteilen (Antrag)</w:t>
            </w:r>
          </w:p>
        </w:tc>
        <w:tc>
          <w:tcPr>
            <w:tcW w:type="dxa" w:w="3561"/>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Rückbau auf Konzernstandard</w:t>
            </w:r>
          </w:p>
        </w:tc>
      </w:tr>
      <w:tr>
        <w:trPr>
          <w:tblHeader w:val="false"/>
        </w:trPr>
        <w:tc>
          <w:tcPr>
            <w:tcW w:type="dxa" w:w="1905"/>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Direkter Aufwand</w:t>
            </w:r>
          </w:p>
        </w:tc>
        <w:tc>
          <w:tcPr>
            <w:tcW w:type="dxa" w:w="356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Nachweisführung und Registerpflege, danach jährliche Bestätigung.</w:t>
            </w:r>
          </w:p>
        </w:tc>
        <w:tc>
          <w:tcPr>
            <w:tcW w:type="dxa" w:w="356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85 PT Umsetzung (Schätzungen des Umsetzungspartners und des Entwicklungsteams) zuzüglich 3–4 PT Analyse und Dokumentation.</w:t>
            </w:r>
          </w:p>
        </w:tc>
      </w:tr>
      <w:tr>
        <w:trPr>
          <w:tblHeader w:val="false"/>
        </w:trPr>
        <w:tc>
          <w:tcPr>
            <w:tcW w:type="dxa" w:w="1905"/>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Projektwirkung</w:t>
            </w:r>
          </w:p>
        </w:tc>
        <w:tc>
          <w:tcPr>
            <w:tcW w:type="dxa" w:w="356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Keine Verzögerung von ILP.</w:t>
            </w:r>
          </w:p>
        </w:tc>
        <w:tc>
          <w:tcPr>
            <w:tcW w:type="dxa" w:w="3561"/>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Verzögerung; Bindung des Kernteams in Migrationsarbeit statt in der Fachfunktion.</w:t>
            </w:r>
          </w:p>
        </w:tc>
      </w:tr>
      <w:tr>
        <w:trPr>
          <w:tblHeader w:val="false"/>
        </w:trPr>
        <w:tc>
          <w:tcPr>
            <w:tcW w:type="dxa" w:w="1905"/>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Technisches Risiko</w:t>
            </w:r>
          </w:p>
        </w:tc>
        <w:tc>
          <w:tcPr>
            <w:tcW w:type="dxa" w:w="356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Gering. Drei etablierte Komponenten, dokumentierte Exit-Fähigkeit.</w:t>
            </w:r>
          </w:p>
        </w:tc>
        <w:tc>
          <w:tcPr>
            <w:tcW w:type="dxa" w:w="356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Bei DragonflyDB Leistungsabfall durch die beim Anbieter dokumentierte Single-Thread-Architektur der in Frage kommenden Tarife; bei AKS die beim Anbieter dokumentierten Ressourcengrenzen der Consumption-Profile. In beiden Fällen Folgeaufwand für Analyse und Optimierung.</w:t>
            </w:r>
          </w:p>
        </w:tc>
      </w:tr>
      <w:tr>
        <w:trPr>
          <w:tblHeader w:val="false"/>
        </w:trPr>
        <w:tc>
          <w:tcPr>
            <w:tcW w:type="dxa" w:w="1905"/>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Sicherheit und Zertifizierung</w:t>
            </w:r>
          </w:p>
        </w:tc>
        <w:tc>
          <w:tcPr>
            <w:tcW w:type="dxa" w:w="356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Zertifizierter Anbieter, dokumentierte Betriebsübernahme, Registereintrag.</w:t>
            </w:r>
          </w:p>
        </w:tc>
        <w:tc>
          <w:tcPr>
            <w:tcW w:type="dxa" w:w="3561"/>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Bei einer selbst betriebenen Alternative ungünstiger, weil Plattformbetrieb und Verfügbarkeit zusätzlich bei uns lägen.</w:t>
            </w:r>
          </w:p>
        </w:tc>
      </w:tr>
      <w:tr>
        <w:trPr>
          <w:tblHeader w:val="false"/>
        </w:trPr>
        <w:tc>
          <w:tcPr>
            <w:tcW w:type="dxa" w:w="1905"/>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Wirkung auf die Governance</w:t>
            </w:r>
          </w:p>
        </w:tc>
        <w:tc>
          <w:tcPr>
            <w:tcW w:type="dxa" w:w="3560"/>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Zeigt, dass das föderierte Modell trägt: Abweichung ist möglich, transparent, überprüfbar und überprüfungspflichtig.</w:t>
            </w:r>
          </w:p>
        </w:tc>
        <w:tc>
          <w:tcPr>
            <w:tcW w:type="dxa" w:w="356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Zeigt, dass Ausnahmen faktisch nicht erreichbar sind. Anträge werden dann unterlassen; das Register bleibt leer, ohne dass die Landschaft einheitlicher würde.</w:t>
            </w:r>
          </w:p>
        </w:tc>
      </w:tr>
      <w:tr>
        <w:trPr>
          <w:tblHeader w:val="false"/>
        </w:trPr>
        <w:tc>
          <w:tcPr>
            <w:tcW w:type="dxa" w:w="1905"/>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Konzernnutzen</w:t>
            </w:r>
          </w:p>
        </w:tc>
        <w:tc>
          <w:tcPr>
            <w:tcW w:type="dxa" w:w="3560"/>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Skaleneffekte bleiben unverändert: Für Entwicklungsplattformen sind ohnehin zwei Standards zugelassen, für die beiden anderen Kategorien ist keiner benannt.</w:t>
            </w:r>
          </w:p>
        </w:tc>
        <w:tc>
          <w:tcPr>
            <w:tcW w:type="dxa" w:w="3561"/>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Ein Skalen- oder Synergieeffekt ist bisher nicht beziffert. Sollte die Group-IT ihn beziffern können, ändert das die Abwägung — wir tragen sie dann mit.</w:t>
            </w:r>
          </w:p>
        </w:tc>
      </w:tr>
    </w:tbl>
    <w:p>
      <w:r>
        <w:br w:type="page"/>
      </w:r>
    </w:p>
    <w:p>
      <w:pPr>
        <w:pStyle w:val="Heading1"/>
        <w:spacing w:after="160" w:before="400"/>
      </w:pPr>
      <w:r>
        <w:rPr>
          <w:rFonts w:ascii="Calibri" w:cs="Calibri" w:eastAsia="Calibri" w:hAnsi="Calibri"/>
          <w:b/>
          <w:bCs/>
          <w:color w:val="3B1A62"/>
          <w:sz w:val="30"/>
          <w:szCs w:val="30"/>
        </w:rPr>
        <w:t xml:space="preserve">8  Beschlussvorschlag im Wortlaut</w:t>
      </w:r>
    </w:p>
    <w:p>
      <w:pPr>
        <w:spacing w:after="160" w:before="0" w:line="276"/>
      </w:pPr>
      <w:r>
        <w:rPr>
          <w:rFonts w:ascii="Calibri" w:cs="Calibri" w:eastAsia="Calibri" w:hAnsi="Calibri"/>
          <w:color w:val="595959"/>
          <w:sz w:val="19"/>
          <w:szCs w:val="19"/>
        </w:rPr>
        <w:t xml:space="preserve">Die Zeichnung erfolgt auf Seite 1. Die folgenden Texte sind der verbindliche Wortlaut der dort angekreuzten Punkte.</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602"/>
        <w:gridCol w:w="2006"/>
        <w:gridCol w:w="6418"/>
      </w:tblGrid>
      <w:tr>
        <w:trPr>
          <w:tblHeader/>
        </w:trPr>
        <w:tc>
          <w:tcPr>
            <w:tcW w:type="dxa" w:w="602"/>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Nr.</w:t>
            </w:r>
          </w:p>
        </w:tc>
        <w:tc>
          <w:tcPr>
            <w:tcW w:type="dxa" w:w="2006"/>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Gegenstand</w:t>
            </w:r>
          </w:p>
        </w:tc>
        <w:tc>
          <w:tcPr>
            <w:tcW w:type="dxa" w:w="6418"/>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Beschlusstext</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1</w:t>
            </w:r>
          </w:p>
        </w:tc>
        <w:tc>
          <w:tcPr>
            <w:tcW w:type="dxa" w:w="2006"/>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Waiver GitHub</w:t>
            </w:r>
          </w:p>
        </w:tc>
        <w:tc>
          <w:tcPr>
            <w:tcW w:type="dxa" w:w="6418"/>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Das Projekt ILP verbleibt auf GitHub. Der Waiver wird unbefristet als Zielarchitektur erteilt und alle 24 Monate im IT-Governance Board überprüft. Ein Rückbau erfolgt nur bei Eintritt eines der in Anlage 1 abschließend definierten Auslöser. Anstelle eines Rückbau-Terminplans wird die dokumentierte Exit-Fähigkeit nachgewiesen und jährlich bestätigt. Der Waiver gilt ausschließlich für das Projekt ILP.</w:t>
            </w:r>
          </w:p>
        </w:tc>
      </w:tr>
      <w:tr>
        <w:trPr>
          <w:tblHeader w:val="false"/>
        </w:trPr>
        <w:tc>
          <w:tcPr>
            <w:tcW w:type="dxa" w:w="602"/>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2</w:t>
            </w:r>
          </w:p>
        </w:tc>
        <w:tc>
          <w:tcPr>
            <w:tcW w:type="dxa" w:w="2006"/>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Waiver DragonflyDB</w:t>
            </w:r>
          </w:p>
        </w:tc>
        <w:tc>
          <w:tcPr>
            <w:tcW w:type="dxa" w:w="6418"/>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Das Projekt ILP verbleibt auf DragonflyDB. Waiver-Dauer und Überprüfungstakt gelten analog Beschluss 1. Der Vorstand stellt fest, dass der Governance-Entwurf 0.8 für In-Memory-Datastores keinen Konzernstandard benennt; die Ausnahme wird vorsorglich erteilt und in das Waiver-Register aufgenommen. Die lizenzrechtliche Bestätigung durch Legal ist Auflage.</w:t>
            </w:r>
          </w:p>
        </w:tc>
      </w:tr>
      <w:tr>
        <w:trPr>
          <w:tblHeader w:val="false"/>
        </w:trPr>
        <w:tc>
          <w:tcPr>
            <w:tcW w:type="dxa" w:w="602"/>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3</w:t>
            </w:r>
          </w:p>
        </w:tc>
        <w:tc>
          <w:tcPr>
            <w:tcW w:type="dxa" w:w="2006"/>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Waiver Azure Kubernetes Service</w:t>
            </w:r>
          </w:p>
        </w:tc>
        <w:tc>
          <w:tcPr>
            <w:tcW w:type="dxa" w:w="6418"/>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Content Factory und Content Delivery des Projekts ILP verbleiben auf Azure Kubernetes Service. Waiver-Dauer und Überprüfungstakt gelten analog Beschluss 1. Der Vorstand stellt fest, dass der Governance-Entwurf 0.8 für Container-Laufzeitumgebungen keinen Konzernstandard benennt; die Ausnahme wird vorsorglich erteilt und in das Waiver-Register aufgenommen. Die tatsächlich angeforderten Ressourcenprofile je Service werden im Register jährlich fortgeschrieben.</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4</w:t>
            </w:r>
          </w:p>
        </w:tc>
        <w:tc>
          <w:tcPr>
            <w:tcW w:type="dxa" w:w="2006"/>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Betrieb</w:t>
            </w:r>
          </w:p>
        </w:tc>
        <w:tc>
          <w:tcPr>
            <w:tcW w:type="dxa" w:w="6418"/>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Die AF EduTech übernimmt den vollständigen Betrieb aller drei Komponenten einschließlich aller Betriebsprozesse nach Anlage 3. Sie bleibt im Geltungsbereich des Konzern-ISMS, hält das technische Mindestniveau ein und stellt die Auditierbarkeit sicher. Der Group-CISO bestätigt die Vollständigkeit der Betriebsübernahme-Erklärung binnen 10 Arbeitstagen nach Vorlage oder benennt konkret, was zu ergänzen ist.</w:t>
            </w:r>
          </w:p>
        </w:tc>
      </w:tr>
      <w:tr>
        <w:trPr>
          <w:tblHeader w:val="false"/>
        </w:trPr>
        <w:tc>
          <w:tcPr>
            <w:tcW w:type="dxa" w:w="602"/>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5</w:t>
            </w:r>
          </w:p>
        </w:tc>
        <w:tc>
          <w:tcPr>
            <w:tcW w:type="dxa" w:w="2006"/>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Entscheidungshoheit</w:t>
            </w:r>
          </w:p>
        </w:tc>
        <w:tc>
          <w:tcPr>
            <w:tcW w:type="dxa" w:w="6418"/>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Über Ausnahmen von Konzernstandards entscheidet bis zur Verabschiedung der IT-Governance der Vorstand auf gemeinsame Vorlage des Group-CIO und der betroffenen Gesellschaft. Nach Verabschiedung gilt das dort geregelte Verfahren einschließlich einer Möglichkeit, ablehnende Entscheidungen in einem Gremium überprüfen zu lassen, in dem die betroffene Gesellschaft vertreten ist.</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6</w:t>
            </w:r>
          </w:p>
        </w:tc>
        <w:tc>
          <w:tcPr>
            <w:tcW w:type="dxa" w:w="2006"/>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Aufträge an die Group-IT</w:t>
            </w:r>
          </w:p>
        </w:tc>
        <w:tc>
          <w:tcPr>
            <w:tcW w:type="dxa" w:w="6418"/>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Die Group-IT legt bis zum 31.10.2026 vor: (a) Antragsformular und Dokumentationsanforderung für Waiver mit abschließender Feldliste und definiertem Umfang, (b) Entscheidungsfrist und Rechtsfolge bei Fristüberschreitung, (c) das Waiver-Register, (d) eine Bagatell- beziehungsweise Anzeigegrenze sowie (e) eine Übergangsregelung für Vorhaben, die vor Inkrafttreten der Governance begonnen wurden. Der Analyseaufwand von 3–4 PT wird erst nach Vorlage von (a) freigegeben.</w:t>
            </w:r>
          </w:p>
        </w:tc>
      </w:tr>
    </w:tbl>
    <w:p>
      <w:pPr>
        <w:spacing w:after="180"/>
      </w:pPr>
      <w:r>
        <w:rPr>
          <w:sz w:val="12"/>
          <w:szCs w:val="12"/>
        </w:rPr>
        <w:t xml:space="preserve"/>
      </w:r>
    </w:p>
    <w:tbl>
      <w:tblPr>
        <w:tblW w:type="dxa" w:w="9026"/>
        <w:tblBorders>
          <w:top w:val="single" w:color="D9D9D9" w:sz="2"/>
          <w:left w:val="single" w:color="3B1A62" w:sz="18"/>
          <w:bottom w:val="single" w:color="D9D9D9" w:sz="2"/>
          <w:right w:val="single" w:color="D9D9D9" w:sz="2"/>
          <w:insideH w:val="none"/>
          <w:insideV w:val="none"/>
        </w:tblBorders>
      </w:tblPr>
      <w:tblGrid>
        <w:gridCol w:w="9026"/>
      </w:tblGrid>
      <w:tr>
        <w:tc>
          <w:tcPr>
            <w:tcW w:type="dxa" w:w="9026"/>
            <w:shd w:fill="FAFAFA" w:color="auto" w:val="clear"/>
            <w:tcMar>
              <w:top w:type="dxa" w:w="130"/>
              <w:left w:type="dxa" w:w="200"/>
              <w:bottom w:type="dxa" w:w="130"/>
              <w:right w:type="dxa" w:w="160"/>
            </w:tcMar>
          </w:tcPr>
          <w:p>
            <w:pPr>
              <w:spacing w:after="80"/>
            </w:pPr>
            <w:r>
              <w:rPr>
                <w:rFonts w:ascii="Calibri" w:cs="Calibri" w:eastAsia="Calibri" w:hAnsi="Calibri"/>
                <w:b/>
                <w:bCs/>
                <w:color w:val="3B1A62"/>
                <w:sz w:val="21"/>
                <w:szCs w:val="21"/>
              </w:rPr>
              <w:t xml:space="preserve">Was die AF EduTech im Gegenzug zusagt</w:t>
            </w:r>
          </w:p>
          <w:p>
            <w:pPr>
              <w:spacing w:after="60" w:line="270"/>
            </w:pPr>
            <w:r>
              <w:rPr>
                <w:rFonts w:ascii="Calibri" w:cs="Calibri" w:eastAsia="Calibri" w:hAnsi="Calibri"/>
                <w:sz w:val="21"/>
                <w:szCs w:val="21"/>
              </w:rPr>
              <w:t xml:space="preserve">Volle Transparenz: automatisierte Lieferung der Pflichtdaten in das zentrale Portfolio-System, vollständiger Eintrag aller drei Komponenten im Application Portfolio und im Waiver-Register.</w:t>
            </w:r>
          </w:p>
          <w:p>
            <w:pPr>
              <w:spacing w:after="60" w:line="270"/>
            </w:pPr>
            <w:r>
              <w:rPr>
                <w:rFonts w:ascii="Calibri" w:cs="Calibri" w:eastAsia="Calibri" w:hAnsi="Calibri"/>
                <w:sz w:val="21"/>
                <w:szCs w:val="21"/>
              </w:rPr>
              <w:t xml:space="preserve">Uneingeschränktes Sicherheitsniveau: Anbindung an ISMS, SoC und Identitätsföderation, keine lokalen Benutzerdatenbanken, Einhaltung des technischen Mindestniveaus.</w:t>
            </w:r>
          </w:p>
          <w:p>
            <w:pPr>
              <w:spacing w:after="60" w:line="270"/>
            </w:pPr>
            <w:r>
              <w:rPr>
                <w:rFonts w:ascii="Calibri" w:cs="Calibri" w:eastAsia="Calibri" w:hAnsi="Calibri"/>
                <w:sz w:val="21"/>
                <w:szCs w:val="21"/>
              </w:rPr>
              <w:t xml:space="preserve">Kein Eigenbetrieb dort, wo die Group-IT fristgerecht liefert. Abstimmung mit den Querschnittsfunktionen vor der Umsetzung künftiger Vorhaben.</w:t>
            </w:r>
          </w:p>
          <w:p>
            <w:pPr>
              <w:spacing w:after="60" w:line="270"/>
            </w:pPr>
            <w:r>
              <w:rPr>
                <w:rFonts w:ascii="Calibri" w:cs="Calibri" w:eastAsia="Calibri" w:hAnsi="Calibri"/>
                <w:sz w:val="21"/>
                <w:szCs w:val="21"/>
              </w:rPr>
              <w:t xml:space="preserve">Vollständige Kostenübernahme für Lizenzen, Betrieb und Nachweisführung aller drei Komponenten.</w:t>
            </w:r>
          </w:p>
        </w:tc>
      </w:tr>
    </w:tbl>
    <w:p>
      <w:r>
        <w:br w:type="page"/>
      </w:r>
    </w:p>
    <w:p>
      <w:pPr>
        <w:pStyle w:val="Heading1"/>
        <w:spacing w:after="160" w:before="400"/>
      </w:pPr>
      <w:r>
        <w:rPr>
          <w:rFonts w:ascii="Calibri" w:cs="Calibri" w:eastAsia="Calibri" w:hAnsi="Calibri"/>
          <w:b/>
          <w:bCs/>
          <w:color w:val="3B1A62"/>
          <w:sz w:val="30"/>
          <w:szCs w:val="30"/>
        </w:rPr>
        <w:t xml:space="preserve">9  Quellenverzeichnis</w:t>
      </w:r>
    </w:p>
    <w:p>
      <w:pPr>
        <w:spacing w:after="140" w:before="0" w:line="276"/>
      </w:pPr>
      <w:r>
        <w:rPr>
          <w:rFonts w:ascii="Calibri" w:cs="Calibri" w:eastAsia="Calibri" w:hAnsi="Calibri"/>
          <w:color w:val="595959"/>
          <w:sz w:val="19"/>
          <w:szCs w:val="19"/>
        </w:rPr>
        <w:t xml:space="preserve">Geprüft am 01.09.2026; die Quellen 11 bis 13 am 02.09.2026. Angaben ohne Quellenangabe im Text sind entweder als Schätzung des Umsetzungspartners oder des Entwicklungsteams bezeichnet oder als eigene Bewertung erkennbar.</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602"/>
        <w:gridCol w:w="4513"/>
        <w:gridCol w:w="3911"/>
      </w:tblGrid>
      <w:tr>
        <w:trPr>
          <w:tblHeader/>
        </w:trPr>
        <w:tc>
          <w:tcPr>
            <w:tcW w:type="dxa" w:w="602"/>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Nr.</w:t>
            </w:r>
          </w:p>
        </w:tc>
        <w:tc>
          <w:tcPr>
            <w:tcW w:type="dxa" w:w="4513"/>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Aussage</w:t>
            </w:r>
          </w:p>
        </w:tc>
        <w:tc>
          <w:tcPr>
            <w:tcW w:type="dxa" w:w="3911"/>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Quelle</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1</w:t>
            </w:r>
          </w:p>
        </w:tc>
        <w:tc>
          <w:tcPr>
            <w:tcW w:type="dxa" w:w="4513"/>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Über 180 Mio. Entwickler, 630 Mio. Repositories (2025)</w:t>
            </w:r>
          </w:p>
        </w:tc>
        <w:tc>
          <w:tcPr>
            <w:tcW w:type="dxa" w:w="391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GitHub Octoverse Report 2025 (Herstellerangabe)</w:t>
            </w:r>
          </w:p>
        </w:tc>
      </w:tr>
      <w:tr>
        <w:trPr>
          <w:tblHeader w:val="false"/>
        </w:trPr>
        <w:tc>
          <w:tcPr>
            <w:tcW w:type="dxa" w:w="602"/>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2</w:t>
            </w:r>
          </w:p>
        </w:tc>
        <w:tc>
          <w:tcPr>
            <w:tcW w:type="dxa" w:w="4513"/>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Marktanteile Quellcodeverwaltung: GitHub ~68 %, GitLab ~16 %, Azure DevOps ~10 %</w:t>
            </w:r>
          </w:p>
        </w:tc>
        <w:tc>
          <w:tcPr>
            <w:tcW w:type="dxa" w:w="3911"/>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6sense-Daten, wiedergegeben bei FOSS Post, 27.05.2026 — Sekundärquelle, Methodik nicht unabhängig geprüft</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3</w:t>
            </w:r>
          </w:p>
        </w:tc>
        <w:tc>
          <w:tcPr>
            <w:tcW w:type="dxa" w:w="4513"/>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GitHub Enterprise Cloud: SOC 1 und SOC 2 Type 2, ISO/IEC 27001:2022, CSA STAR Level 2</w:t>
            </w:r>
          </w:p>
        </w:tc>
        <w:tc>
          <w:tcPr>
            <w:tcW w:type="dxa" w:w="391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GitHub Docs, „Accessing compliance reports for your enterprise"</w:t>
            </w:r>
          </w:p>
        </w:tc>
      </w:tr>
      <w:tr>
        <w:trPr>
          <w:tblHeader w:val="false"/>
        </w:trPr>
        <w:tc>
          <w:tcPr>
            <w:tcW w:type="dxa" w:w="602"/>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4</w:t>
            </w:r>
          </w:p>
        </w:tc>
        <w:tc>
          <w:tcPr>
            <w:tcW w:type="dxa" w:w="4513"/>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EU-Datenresidenz über ghe.com (DE, FR, SE, NL), Erweiterung um EFTA ab 01.05.2026</w:t>
            </w:r>
          </w:p>
        </w:tc>
        <w:tc>
          <w:tcPr>
            <w:tcW w:type="dxa" w:w="3911"/>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GitHub Changelog, 31.03.2026</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5</w:t>
            </w:r>
          </w:p>
        </w:tc>
        <w:tc>
          <w:tcPr>
            <w:tcW w:type="dxa" w:w="4513"/>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GitHub Actions Importer: automatisch konvertiert werden Trigger, Jobs, Stages, Variablen; manuell nachzuarbeiten sind Secrets, Service Connections, selbst gehostete Runner und Approval-Gates</w:t>
            </w:r>
          </w:p>
        </w:tc>
        <w:tc>
          <w:tcPr>
            <w:tcW w:type="dxa" w:w="391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GitHub Docs, „Migrating from Azure DevOps with GitHub Actions Importer"</w:t>
            </w:r>
          </w:p>
        </w:tc>
      </w:tr>
      <w:tr>
        <w:trPr>
          <w:tblHeader w:val="false"/>
        </w:trPr>
        <w:tc>
          <w:tcPr>
            <w:tcW w:type="dxa" w:w="602"/>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6</w:t>
            </w:r>
          </w:p>
        </w:tc>
        <w:tc>
          <w:tcPr>
            <w:tcW w:type="dxa" w:w="4513"/>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Artifact Attestations mit SLSA-Provenance auf Sigstore-Basis</w:t>
            </w:r>
          </w:p>
        </w:tc>
        <w:tc>
          <w:tcPr>
            <w:tcW w:type="dxa" w:w="3911"/>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GitHub Changelog, 18.02.2025</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7</w:t>
            </w:r>
          </w:p>
        </w:tc>
        <w:tc>
          <w:tcPr>
            <w:tcW w:type="dxa" w:w="4513"/>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GitHub Advanced Security ist auch für Azure DevOps verfügbar</w:t>
            </w:r>
          </w:p>
        </w:tc>
        <w:tc>
          <w:tcPr>
            <w:tcW w:type="dxa" w:w="391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Microsoft Learn, „Configure GitHub Advanced Security for Azure DevOps features"</w:t>
            </w:r>
          </w:p>
        </w:tc>
      </w:tr>
      <w:tr>
        <w:trPr>
          <w:tblHeader w:val="false"/>
        </w:trPr>
        <w:tc>
          <w:tcPr>
            <w:tcW w:type="dxa" w:w="602"/>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8</w:t>
            </w:r>
          </w:p>
        </w:tc>
        <w:tc>
          <w:tcPr>
            <w:tcW w:type="dxa" w:w="4513"/>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Kein natives Backup der Kundeninhalte in Enterprise Cloud dokumentiert; ghe-migrator adressiert Enterprise Server</w:t>
            </w:r>
          </w:p>
        </w:tc>
        <w:tc>
          <w:tcPr>
            <w:tcW w:type="dxa" w:w="3911"/>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GitHub Docs, „About ghe-migrator"</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9</w:t>
            </w:r>
          </w:p>
        </w:tc>
        <w:tc>
          <w:tcPr>
            <w:tcW w:type="dxa" w:w="4513"/>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Azure Cache for Redis Basic, Standard und Premium laufen auf Community Redis, single-threaded, mit deutlich reduzierter Leistung; Azure Managed Redis führt mehrere Shards je Knoten parallel aus</w:t>
            </w:r>
          </w:p>
        </w:tc>
        <w:tc>
          <w:tcPr>
            <w:tcW w:type="dxa" w:w="391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Microsoft Learn, „Azure Managed Redis architecture"</w:t>
            </w:r>
          </w:p>
        </w:tc>
      </w:tr>
      <w:tr>
        <w:trPr>
          <w:tblHeader w:val="false"/>
        </w:trPr>
        <w:tc>
          <w:tcPr>
            <w:tcW w:type="dxa" w:w="602"/>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10</w:t>
            </w:r>
          </w:p>
        </w:tc>
        <w:tc>
          <w:tcPr>
            <w:tcW w:type="dxa" w:w="4513"/>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DragonflyDB: Business Source License 1.1, Redis-API-kompatibel, Snapshot-Mechanismus</w:t>
            </w:r>
          </w:p>
        </w:tc>
        <w:tc>
          <w:tcPr>
            <w:tcW w:type="dxa" w:w="3911"/>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Projektdokumentation und Lizenztext des Herstellers</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11</w:t>
            </w:r>
          </w:p>
        </w:tc>
        <w:tc>
          <w:tcPr>
            <w:tcW w:type="dxa" w:w="4513"/>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Azure Container Apps: Consumption-Profile 0,25–4 vCPU und 0,5–8 GiB je Replikat; Dedicated-Profile D4–D32 und E4–E32 mit Zuteilung je Knoten; Flexible-Profil in Vorschau, ohne Skalierung auf null</w:t>
            </w:r>
          </w:p>
        </w:tc>
        <w:tc>
          <w:tcPr>
            <w:tcW w:type="dxa" w:w="391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Microsoft Learn, „Workload profiles in Azure Container Apps"</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12</w:t>
            </w:r>
          </w:p>
        </w:tc>
        <w:tc>
          <w:tcPr>
            <w:tcW w:type="dxa" w:w="4513"/>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Azure Container Apps: nur ephemere Volumes und Azure-Files-Freigaben; Azure NetApp Files und Azure Blob Storage nicht unterstützt; ephemerer Speicher je Replikat bis 8 GiB</w:t>
            </w:r>
          </w:p>
        </w:tc>
        <w:tc>
          <w:tcPr>
            <w:tcW w:type="dxa" w:w="391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Microsoft Learn, „Use storage mounts in Azure Container Apps"</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13</w:t>
            </w:r>
          </w:p>
        </w:tc>
        <w:tc>
          <w:tcPr>
            <w:tcW w:type="dxa" w:w="4513"/>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Azure Container Apps: serverlose GPUs nur auf Consumption-Profilen, Kontingent über Supportfall, ein Container je Anwendung, keine Mehrfach- oder Teil-GPU-Replikate; Regionsliste ohne Germany West Central</w:t>
            </w:r>
          </w:p>
        </w:tc>
        <w:tc>
          <w:tcPr>
            <w:tcW w:type="dxa" w:w="391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Microsoft Learn, „Using serverless GPUs in Azure Container Apps"</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14</w:t>
            </w:r>
          </w:p>
        </w:tc>
        <w:tc>
          <w:tcPr>
            <w:tcW w:type="dxa" w:w="4513"/>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Aufwandsschätzung 25 PT für eine Migration AKS → Azure Container Apps sowie die Bewertung des Ressourcen- und Skalierungsmodells</w:t>
            </w:r>
          </w:p>
        </w:tc>
        <w:tc>
          <w:tcPr>
            <w:tcW w:type="dxa" w:w="391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Analyse des Entwicklungsteams der AF EduTech, 09/2026</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15</w:t>
            </w:r>
          </w:p>
        </w:tc>
        <w:tc>
          <w:tcPr>
            <w:tcW w:type="dxa" w:w="4513"/>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Föderale IT-Governance, Entwurf 0.8, Group-CIO, 08/2026 — insbesondere Folien 4, 6, 24, 31, 41, 42, 43</w:t>
            </w:r>
          </w:p>
        </w:tc>
        <w:tc>
          <w:tcPr>
            <w:tcW w:type="dxa" w:w="3911"/>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Interne Vorlage</w:t>
            </w:r>
          </w:p>
        </w:tc>
      </w:tr>
      <w:tr>
        <w:trPr>
          <w:tblHeader w:val="false"/>
        </w:trPr>
        <w:tc>
          <w:tcPr>
            <w:tcW w:type="dxa" w:w="602"/>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16</w:t>
            </w:r>
          </w:p>
        </w:tc>
        <w:tc>
          <w:tcPr>
            <w:tcW w:type="dxa" w:w="4513"/>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Föderale IT-Governance, Gegenentwurf 0.9, N. Manegold, 20.08.2026</w:t>
            </w:r>
          </w:p>
        </w:tc>
        <w:tc>
          <w:tcPr>
            <w:tcW w:type="dxa" w:w="3911"/>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Interne Vorlage</w:t>
            </w:r>
          </w:p>
        </w:tc>
      </w:tr>
    </w:tbl>
    <w:p>
      <w:pPr>
        <w:spacing w:after="200"/>
      </w:pPr>
      <w:r>
        <w:rPr>
          <w:sz w:val="12"/>
          <w:szCs w:val="12"/>
        </w:rPr>
        <w:t xml:space="preserve"/>
      </w:r>
    </w:p>
    <w:p>
      <w:pPr>
        <w:pStyle w:val="Heading2"/>
        <w:spacing w:after="120" w:before="320"/>
      </w:pPr>
      <w:r>
        <w:rPr>
          <w:rFonts w:ascii="Calibri" w:cs="Calibri" w:eastAsia="Calibri" w:hAnsi="Calibri"/>
          <w:b/>
          <w:bCs/>
          <w:color w:val="3B1A62"/>
          <w:sz w:val="25"/>
          <w:szCs w:val="25"/>
        </w:rPr>
        <w:t xml:space="preserve">Offene Punkte an die Group-IT</w:t>
      </w:r>
    </w:p>
    <w:p>
      <w:pPr>
        <w:spacing w:after="140" w:before="0" w:line="276"/>
      </w:pPr>
      <w:r>
        <w:rPr>
          <w:rFonts w:ascii="Calibri" w:cs="Calibri" w:eastAsia="Calibri" w:hAnsi="Calibri"/>
          <w:color w:val="595959"/>
          <w:sz w:val="19"/>
          <w:szCs w:val="19"/>
        </w:rPr>
        <w:t xml:space="preserve">Nicht Bedingung dieser Entscheidung, aber Voraussetzung dafür, dass das Verfahren künftig ohne Eskalation funktioniert.</w:t>
      </w:r>
    </w:p>
    <w:tbl>
      <w:tblPr>
        <w:tblW w:type="dxa" w:w="9026"/>
        <w:tblBorders>
          <w:top w:val="single" w:color="BFBFBF" w:sz="2"/>
          <w:left w:val="single" w:color="BFBFBF" w:sz="2"/>
          <w:bottom w:val="single" w:color="BFBFBF" w:sz="2"/>
          <w:right w:val="single" w:color="BFBFBF" w:sz="2"/>
          <w:insideH w:val="single" w:color="D9D9D9" w:sz="2"/>
          <w:insideV w:val="single" w:color="D9D9D9" w:sz="2"/>
        </w:tblBorders>
      </w:tblPr>
      <w:tblGrid>
        <w:gridCol w:w="602"/>
        <w:gridCol w:w="5616"/>
        <w:gridCol w:w="2808"/>
      </w:tblGrid>
      <w:tr>
        <w:trPr>
          <w:tblHeader/>
        </w:trPr>
        <w:tc>
          <w:tcPr>
            <w:tcW w:type="dxa" w:w="602"/>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Nr.</w:t>
            </w:r>
          </w:p>
        </w:tc>
        <w:tc>
          <w:tcPr>
            <w:tcW w:type="dxa" w:w="5616"/>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Offener Punkt</w:t>
            </w:r>
          </w:p>
        </w:tc>
        <w:tc>
          <w:tcPr>
            <w:tcW w:type="dxa" w:w="2808"/>
            <w:shd w:fill="3B1A62" w:color="auto" w:val="clear"/>
            <w:tcMar>
              <w:top w:type="dxa" w:w="80"/>
              <w:left w:type="dxa" w:w="110"/>
              <w:bottom w:type="dxa" w:w="80"/>
              <w:right w:type="dxa" w:w="110"/>
            </w:tcMar>
          </w:tcPr>
          <w:p>
            <w:pPr>
              <w:spacing w:after="40" w:before="40" w:line="250"/>
            </w:pPr>
            <w:r>
              <w:rPr>
                <w:rFonts w:ascii="Calibri" w:cs="Calibri" w:eastAsia="Calibri" w:hAnsi="Calibri"/>
                <w:b/>
                <w:bCs/>
                <w:color w:val="FFFFFF"/>
                <w:sz w:val="19"/>
                <w:szCs w:val="19"/>
              </w:rPr>
              <w:t xml:space="preserve">Vorschlag Termin</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1</w:t>
            </w:r>
          </w:p>
        </w:tc>
        <w:tc>
          <w:tcPr>
            <w:tcW w:type="dxa" w:w="5616"/>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Antragsformular und Dokumentationsanforderung mit abschließender Feldliste</w:t>
            </w:r>
          </w:p>
        </w:tc>
        <w:tc>
          <w:tcPr>
            <w:tcW w:type="dxa" w:w="2808"/>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31.10.2026</w:t>
            </w:r>
          </w:p>
        </w:tc>
      </w:tr>
      <w:tr>
        <w:trPr>
          <w:tblHeader w:val="false"/>
        </w:trPr>
        <w:tc>
          <w:tcPr>
            <w:tcW w:type="dxa" w:w="602"/>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2</w:t>
            </w:r>
          </w:p>
        </w:tc>
        <w:tc>
          <w:tcPr>
            <w:tcW w:type="dxa" w:w="5616"/>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Entscheidungsfrist und Rechtsfolge bei Fristüberschreitung</w:t>
            </w:r>
          </w:p>
        </w:tc>
        <w:tc>
          <w:tcPr>
            <w:tcW w:type="dxa" w:w="2808"/>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31.10.2026</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3</w:t>
            </w:r>
          </w:p>
        </w:tc>
        <w:tc>
          <w:tcPr>
            <w:tcW w:type="dxa" w:w="5616"/>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Überprüfungsmöglichkeit ablehnender Entscheidungen unter Beteiligung der Gesellschaft</w:t>
            </w:r>
          </w:p>
        </w:tc>
        <w:tc>
          <w:tcPr>
            <w:tcW w:type="dxa" w:w="2808"/>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31.10.2026</w:t>
            </w:r>
          </w:p>
        </w:tc>
      </w:tr>
      <w:tr>
        <w:trPr>
          <w:tblHeader w:val="false"/>
        </w:trPr>
        <w:tc>
          <w:tcPr>
            <w:tcW w:type="dxa" w:w="602"/>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4</w:t>
            </w:r>
          </w:p>
        </w:tc>
        <w:tc>
          <w:tcPr>
            <w:tcW w:type="dxa" w:w="5616"/>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Aufbau des Waiver-Registers</w:t>
            </w:r>
          </w:p>
        </w:tc>
        <w:tc>
          <w:tcPr>
            <w:tcW w:type="dxa" w:w="2808"/>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31.10.2026</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5</w:t>
            </w:r>
          </w:p>
        </w:tc>
        <w:tc>
          <w:tcPr>
            <w:tcW w:type="dxa" w:w="5616"/>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Bagatell- beziehungsweise Anzeigegrenze</w:t>
            </w:r>
          </w:p>
        </w:tc>
        <w:tc>
          <w:tcPr>
            <w:tcW w:type="dxa" w:w="2808"/>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31.10.2026</w:t>
            </w:r>
          </w:p>
        </w:tc>
      </w:tr>
      <w:tr>
        <w:trPr>
          <w:tblHeader w:val="false"/>
        </w:trPr>
        <w:tc>
          <w:tcPr>
            <w:tcW w:type="dxa" w:w="602"/>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6</w:t>
            </w:r>
          </w:p>
        </w:tc>
        <w:tc>
          <w:tcPr>
            <w:tcW w:type="dxa" w:w="5616"/>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Übergangsregelung für Vorhaben vor Inkrafttreten der Governance</w:t>
            </w:r>
          </w:p>
        </w:tc>
        <w:tc>
          <w:tcPr>
            <w:tcW w:type="dxa" w:w="2808"/>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31.10.2026</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7</w:t>
            </w:r>
          </w:p>
        </w:tc>
        <w:tc>
          <w:tcPr>
            <w:tcW w:type="dxa" w:w="5616"/>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Katalog der Lieferzusagen je Standardservice mit Rechtsfolge bei Überschreitung</w:t>
            </w:r>
          </w:p>
        </w:tc>
        <w:tc>
          <w:tcPr>
            <w:tcW w:type="dxa" w:w="2808"/>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31.10.2026</w:t>
            </w:r>
          </w:p>
        </w:tc>
      </w:tr>
      <w:tr>
        <w:trPr>
          <w:tblHeader w:val="false"/>
        </w:trPr>
        <w:tc>
          <w:tcPr>
            <w:tcW w:type="dxa" w:w="602"/>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8</w:t>
            </w:r>
          </w:p>
        </w:tc>
        <w:tc>
          <w:tcPr>
            <w:tcW w:type="dxa" w:w="5616"/>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Produktnamen von Ebene 2 auf Ebene 4 der Policy-Hierarchie überführen</w:t>
            </w:r>
          </w:p>
        </w:tc>
        <w:tc>
          <w:tcPr>
            <w:tcW w:type="dxa" w:w="2808"/>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mit Verabschiedung</w:t>
            </w:r>
          </w:p>
        </w:tc>
      </w:tr>
      <w:tr>
        <w:trPr>
          <w:tblHeader w:val="false"/>
        </w:trPr>
        <w:tc>
          <w:tcPr>
            <w:tcW w:type="dxa" w:w="602"/>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9</w:t>
            </w:r>
          </w:p>
        </w:tc>
        <w:tc>
          <w:tcPr>
            <w:tcW w:type="dxa" w:w="5616"/>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Bezifferung des Skalen- oder Synergieeffekts, der aus einem Wechsel der drei ILP-Komponenten entstünde</w:t>
            </w:r>
          </w:p>
        </w:tc>
        <w:tc>
          <w:tcPr>
            <w:tcW w:type="dxa" w:w="2808"/>
            <w:shd w:fill="FFFFFF"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vor der Entscheidung</w:t>
            </w:r>
          </w:p>
        </w:tc>
      </w:tr>
      <w:tr>
        <w:trPr>
          <w:tblHeader w:val="false"/>
        </w:trPr>
        <w:tc>
          <w:tcPr>
            <w:tcW w:type="dxa" w:w="602"/>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10</w:t>
            </w:r>
          </w:p>
        </w:tc>
        <w:tc>
          <w:tcPr>
            <w:tcW w:type="dxa" w:w="5616"/>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Bestätigung der Vollständigkeit der Betriebsübernahme-Erklärung durch den Group-CISO</w:t>
            </w:r>
          </w:p>
        </w:tc>
        <w:tc>
          <w:tcPr>
            <w:tcW w:type="dxa" w:w="2808"/>
            <w:shd w:fill="F2F2F2" w:color="auto" w:val="clear"/>
            <w:tcMar>
              <w:top w:type="dxa" w:w="80"/>
              <w:left w:type="dxa" w:w="110"/>
              <w:bottom w:type="dxa" w:w="80"/>
              <w:right w:type="dxa" w:w="110"/>
            </w:tcMar>
          </w:tcPr>
          <w:p>
            <w:pPr>
              <w:spacing w:after="40" w:before="40" w:line="250"/>
            </w:pPr>
            <w:r>
              <w:rPr>
                <w:rFonts w:ascii="Calibri" w:cs="Calibri" w:eastAsia="Calibri" w:hAnsi="Calibri"/>
                <w:b w:val="false"/>
                <w:bCs w:val="false"/>
                <w:color w:val="000000"/>
                <w:sz w:val="19"/>
                <w:szCs w:val="19"/>
              </w:rPr>
              <w:t xml:space="preserve">10 Arbeitstage nach Vorlage</w:t>
            </w:r>
          </w:p>
        </w:tc>
      </w:tr>
    </w:tbl>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Seite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von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spacing w:after="100"/>
      <w:jc w:val="right"/>
    </w:pPr>
    <w:r>
      <w:rPr>
        <w:rFonts w:ascii="Calibri" w:cs="Calibri" w:eastAsia="Calibri" w:hAnsi="Calibri"/>
        <w:color w:val="595959"/>
        <w:sz w:val="16"/>
        <w:szCs w:val="16"/>
      </w:rPr>
      <w:t xml:space="preserve">Vorstandsvorlage · Waiver ILP · 01.09.2026 ·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B105CD31D44D545838C67E13B3B8321" ma:contentTypeVersion="5" ma:contentTypeDescription="Ein neues Dokument erstellen." ma:contentTypeScope="" ma:versionID="9774b6a286f2902fc3e9192874467080">
  <xsd:schema xmlns:xsd="http://www.w3.org/2001/XMLSchema" xmlns:xs="http://www.w3.org/2001/XMLSchema" xmlns:p="http://schemas.microsoft.com/office/2006/metadata/properties" xmlns:ns2="64bbc66d-e05e-443d-afbf-73838fb9d0a2" xmlns:ns3="b3292797-695a-44da-ad9e-103626f49969" xmlns:ns4="bded290e-31f0-4cf9-b11d-4900c63fbab6" xmlns:ns5="d7ab27d2-00c8-492e-a0e6-8e5b1d2f8e42" targetNamespace="http://schemas.microsoft.com/office/2006/metadata/properties" ma:root="true" ma:fieldsID="095299ae0d55ee6b9c5d58dfe2768eca" ns2:_="" ns3:_="" ns4:_="" ns5:_="">
    <xsd:import namespace="64bbc66d-e05e-443d-afbf-73838fb9d0a2"/>
    <xsd:import namespace="b3292797-695a-44da-ad9e-103626f49969"/>
    <xsd:import namespace="bded290e-31f0-4cf9-b11d-4900c63fbab6"/>
    <xsd:import namespace="d7ab27d2-00c8-492e-a0e6-8e5b1d2f8e4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OCR" minOccurs="0"/>
                <xsd:element ref="ns2:MediaServiceSearchProperties" minOccurs="0"/>
                <xsd:element ref="ns2:MediaServiceDateTaken" minOccurs="0"/>
                <xsd:element ref="ns4:MediaServiceBillingMetadata"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bbc66d-e05e-443d-afbf-73838fb9d0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292797-695a-44da-ad9e-103626f49969"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ed290e-31f0-4cf9-b11d-4900c63fbab6" elementFormDefault="qualified">
    <xsd:import namespace="http://schemas.microsoft.com/office/2006/documentManagement/types"/>
    <xsd:import namespace="http://schemas.microsoft.com/office/infopath/2007/PartnerControls"/>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f3e62d2f-5509-4861-b82e-f54b42716e8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ab27d2-00c8-492e-a0e6-8e5b1d2f8e42"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2767f31-d572-448a-a27f-27d511c54201}" ma:internalName="TaxCatchAll" ma:showField="CatchAllData" ma:web="d7ab27d2-00c8-492e-a0e6-8e5b1d2f8e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ed290e-31f0-4cf9-b11d-4900c63fbab6">
      <Terms xmlns="http://schemas.microsoft.com/office/infopath/2007/PartnerControls"/>
    </lcf76f155ced4ddcb4097134ff3c332f>
    <TaxCatchAll xmlns="d7ab27d2-00c8-492e-a0e6-8e5b1d2f8e42" xsi:nil="true"/>
  </documentManagement>
</p:properties>
</file>

<file path=customXml/itemProps1.xml><?xml version="1.0" encoding="utf-8"?>
<ds:datastoreItem xmlns:ds="http://schemas.openxmlformats.org/officeDocument/2006/customXml" ds:itemID="{F293CBAA-EC16-4809-AF4F-6970CEC00849}"/>
</file>

<file path=customXml/itemProps2.xml><?xml version="1.0" encoding="utf-8"?>
<ds:datastoreItem xmlns:ds="http://schemas.openxmlformats.org/officeDocument/2006/customXml" ds:itemID="{B39E904C-9C5E-43D3-906E-1643BFDE236D}"/>
</file>

<file path=customXml/itemProps3.xml><?xml version="1.0" encoding="utf-8"?>
<ds:datastoreItem xmlns:ds="http://schemas.openxmlformats.org/officeDocument/2006/customXml" ds:itemID="{1DC847B0-210A-4334-891E-53078731163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Vorstandsvorlage Waiver ILP — GitHub und DragonflyDB</dc:title>
  <dc:creator>Nils Manegold</dc:creator>
  <cp:lastModifiedBy>Un-named</cp:lastModifiedBy>
  <cp:revision>1</cp:revision>
  <dcterms:created xsi:type="dcterms:W3CDTF">2026-09-01T16:11:01Z</dcterms:created>
  <dcterms:modified xsi:type="dcterms:W3CDTF">2026-09-01T16:11:01Z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0x010100EB105CD31D44D545838C67E13B3B8321</vt:lpwstr>
  </property>
</Properties>
</file>