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717CD780" wp14:textId="77777777">
      <w:pPr>
        <w:spacing w:after="40"/>
      </w:pPr>
      <w:r w:rsidRPr="2FB21A21" w:rsidR="2FB21A21">
        <w:rPr>
          <w:rFonts w:ascii="Calibri" w:hAnsi="Calibri" w:eastAsia="Calibri" w:cs="Calibri"/>
          <w:b w:val="1"/>
          <w:bCs w:val="1"/>
          <w:color w:val="09C4BF"/>
          <w:sz w:val="17"/>
          <w:szCs w:val="17"/>
          <w:lang w:val="en-US"/>
        </w:rPr>
        <w:t>WAIVER-ANTRAG 2  ·  PROJEKT ILP  ·  ZUR ENTSCHEIDUNG</w:t>
      </w:r>
    </w:p>
    <w:p xmlns:wp14="http://schemas.microsoft.com/office/word/2010/wordml" w14:paraId="781EED7E" wp14:textId="77777777">
      <w:pPr>
        <w:spacing w:after="60"/>
      </w:pPr>
      <w:r w:rsidRPr="2FB21A21" w:rsidR="2FB21A21">
        <w:rPr>
          <w:rFonts w:ascii="Calibri" w:hAnsi="Calibri" w:eastAsia="Calibri" w:cs="Calibri"/>
          <w:b w:val="1"/>
          <w:bCs w:val="1"/>
          <w:color w:val="3B1A62"/>
          <w:sz w:val="36"/>
          <w:szCs w:val="36"/>
          <w:lang w:val="en-US"/>
        </w:rPr>
        <w:t>DragonflyDB im Projekt ILP</w:t>
      </w:r>
    </w:p>
    <w:p xmlns:wp14="http://schemas.microsoft.com/office/word/2010/wordml" w14:paraId="5D789637" wp14:textId="77777777">
      <w:pPr>
        <w:spacing w:before="0" w:after="100" w:line="276" w:lineRule="auto"/>
      </w:pPr>
      <w:r w:rsidRPr="2FB21A21" w:rsidR="2FB21A21">
        <w:rPr>
          <w:rFonts w:ascii="Calibri" w:hAnsi="Calibri" w:eastAsia="Calibri" w:cs="Calibri"/>
          <w:color w:val="595959"/>
          <w:sz w:val="21"/>
          <w:szCs w:val="21"/>
          <w:lang w:val="en-US"/>
        </w:rPr>
        <w:t>Vorsorgliche Ausnahme — ein Konzernstandard für In-Memory-Datastores ist im Entwurf 0.8 nicht benannt</w:t>
      </w:r>
    </w:p>
    <w:p xmlns:wp14="http://schemas.microsoft.com/office/word/2010/wordml" w14:paraId="672A6659" wp14:textId="77777777">
      <w:pPr>
        <w:pBdr>
          <w:bottom w:val="single" w:color="09C4BF" w:sz="6"/>
        </w:pBdr>
        <w:spacing w:before="60" w:after="140"/>
      </w:pPr>
      <w:r>
        <w:rPr>
          <w:sz w:val="2"/>
          <w:szCs w:val="2"/>
        </w:rPr>
      </w:r>
    </w:p>
    <w:tbl>
      <w:tblPr>
        <w:tblW w:w="9026" w:type="dxa"/>
        <w:tblBorders>
          <w:top w:val="single" w:color="BFBFBF" w:sz="2"/>
          <w:left w:val="single" w:color="BFBFBF" w:sz="2"/>
          <w:bottom w:val="single" w:color="BFBFBF" w:sz="2"/>
          <w:right w:val="single" w:color="BFBFBF" w:sz="2"/>
          <w:insideH w:val="single" w:color="D9D9D9" w:sz="2"/>
          <w:insideV w:val="single" w:color="D9D9D9" w:sz="2"/>
        </w:tblBorders>
      </w:tblPr>
      <w:tblGrid>
        <w:gridCol w:w="2206"/>
        <w:gridCol w:w="6820"/>
      </w:tblGrid>
      <w:tr xmlns:wp14="http://schemas.microsoft.com/office/word/2010/wordml" w:rsidTr="59F1C9F4" w14:paraId="651CA367" wp14:textId="77777777">
        <w:trPr>
          <w:tblHeader/>
        </w:trPr>
        <w:tc>
          <w:tcPr>
            <w:tcW w:w="2206" w:type="dxa"/>
            <w:shd w:val="clear" w:color="auto" w:fill="3B1A62"/>
            <w:tcMar>
              <w:top w:w="80" w:type="dxa"/>
              <w:left w:w="110" w:type="dxa"/>
              <w:bottom w:w="80" w:type="dxa"/>
              <w:right w:w="110" w:type="dxa"/>
            </w:tcMar>
          </w:tcPr>
          <w:p w14:paraId="2E8910B2" wp14:textId="77777777">
            <w:pPr>
              <w:spacing w:before="40" w:after="40" w:line="250"/>
            </w:pPr>
            <w:r>
              <w:rPr>
                <w:rFonts w:ascii="Calibri" w:hAnsi="Calibri" w:eastAsia="Calibri" w:cs="Calibri"/>
                <w:b/>
                <w:bCs/>
                <w:color w:val="FFFFFF"/>
                <w:sz w:val="19"/>
                <w:szCs w:val="19"/>
              </w:rPr>
              <w:t xml:space="preserve">Feld</w:t>
            </w:r>
          </w:p>
        </w:tc>
        <w:tc>
          <w:tcPr>
            <w:tcW w:w="6820" w:type="dxa"/>
            <w:shd w:val="clear" w:color="auto" w:fill="3B1A62"/>
            <w:tcMar>
              <w:top w:w="80" w:type="dxa"/>
              <w:left w:w="110" w:type="dxa"/>
              <w:bottom w:w="80" w:type="dxa"/>
              <w:right w:w="110" w:type="dxa"/>
            </w:tcMar>
          </w:tcPr>
          <w:p w14:paraId="3405FBB2" wp14:textId="77777777">
            <w:pPr>
              <w:spacing w:before="40" w:after="40" w:line="250" w:lineRule="auto"/>
            </w:pPr>
            <w:r w:rsidRPr="2FB21A21" w:rsidR="2FB21A21">
              <w:rPr>
                <w:rFonts w:ascii="Calibri" w:hAnsi="Calibri" w:eastAsia="Calibri" w:cs="Calibri"/>
                <w:b w:val="1"/>
                <w:bCs w:val="1"/>
                <w:color w:val="FFFFFF"/>
                <w:sz w:val="19"/>
                <w:szCs w:val="19"/>
                <w:lang w:val="en-US"/>
              </w:rPr>
              <w:t>Angabe</w:t>
            </w:r>
          </w:p>
        </w:tc>
      </w:tr>
      <w:tr xmlns:wp14="http://schemas.microsoft.com/office/word/2010/wordml" w:rsidTr="59F1C9F4" w14:paraId="05998B5A" wp14:textId="77777777">
        <w:trPr>
          <w:tblHeader w:val="false"/>
        </w:trPr>
        <w:tc>
          <w:tcPr>
            <w:tcW w:w="2206" w:type="dxa"/>
            <w:shd w:val="clear" w:color="auto" w:fill="FFFFFF"/>
            <w:tcMar>
              <w:top w:w="80" w:type="dxa"/>
              <w:left w:w="110" w:type="dxa"/>
              <w:bottom w:w="80" w:type="dxa"/>
              <w:right w:w="110" w:type="dxa"/>
            </w:tcMar>
          </w:tcPr>
          <w:p w14:paraId="6F319016" wp14:textId="77777777">
            <w:pPr>
              <w:spacing w:before="40" w:after="40" w:line="250" w:lineRule="auto"/>
            </w:pPr>
            <w:r w:rsidRPr="2FB21A21" w:rsidR="2FB21A21">
              <w:rPr>
                <w:rFonts w:ascii="Calibri" w:hAnsi="Calibri" w:eastAsia="Calibri" w:cs="Calibri"/>
                <w:b w:val="0"/>
                <w:bCs w:val="0"/>
                <w:color w:val="000000"/>
                <w:sz w:val="19"/>
                <w:szCs w:val="19"/>
                <w:lang w:val="en-US"/>
              </w:rPr>
              <w:t>Antragsteller</w:t>
            </w:r>
          </w:p>
        </w:tc>
        <w:tc>
          <w:tcPr>
            <w:tcW w:w="6820" w:type="dxa"/>
            <w:shd w:val="clear" w:color="auto" w:fill="FFFFFF"/>
            <w:tcMar>
              <w:top w:w="80" w:type="dxa"/>
              <w:left w:w="110" w:type="dxa"/>
              <w:bottom w:w="80" w:type="dxa"/>
              <w:right w:w="110" w:type="dxa"/>
            </w:tcMar>
          </w:tcPr>
          <w:p w14:paraId="615CEC1A" wp14:textId="77777777">
            <w:pPr>
              <w:spacing w:before="40" w:after="40" w:line="250" w:lineRule="auto"/>
            </w:pPr>
            <w:r w:rsidRPr="2FB21A21" w:rsidR="2FB21A21">
              <w:rPr>
                <w:rFonts w:ascii="Calibri" w:hAnsi="Calibri" w:eastAsia="Calibri" w:cs="Calibri"/>
                <w:b w:val="0"/>
                <w:bCs w:val="0"/>
                <w:color w:val="000000"/>
                <w:sz w:val="19"/>
                <w:szCs w:val="19"/>
                <w:lang w:val="en-US"/>
              </w:rPr>
              <w:t>AF EduTech, vertreten durch Nils Manegold, Geschäftsführer</w:t>
            </w:r>
          </w:p>
        </w:tc>
      </w:tr>
      <w:tr xmlns:wp14="http://schemas.microsoft.com/office/word/2010/wordml" w:rsidTr="59F1C9F4" w14:paraId="787A3B95" wp14:textId="77777777">
        <w:trPr>
          <w:tblHeader w:val="false"/>
        </w:trPr>
        <w:tc>
          <w:tcPr>
            <w:tcW w:w="2206" w:type="dxa"/>
            <w:shd w:val="clear" w:color="auto" w:fill="F2F2F2"/>
            <w:tcMar>
              <w:top w:w="80" w:type="dxa"/>
              <w:left w:w="110" w:type="dxa"/>
              <w:bottom w:w="80" w:type="dxa"/>
              <w:right w:w="110" w:type="dxa"/>
            </w:tcMar>
          </w:tcPr>
          <w:p w14:paraId="12C069E1" wp14:textId="77777777">
            <w:pPr>
              <w:spacing w:before="40" w:after="40" w:line="250" w:lineRule="auto"/>
            </w:pPr>
            <w:r w:rsidRPr="2FB21A21" w:rsidR="2FB21A21">
              <w:rPr>
                <w:rFonts w:ascii="Calibri" w:hAnsi="Calibri" w:eastAsia="Calibri" w:cs="Calibri"/>
                <w:b w:val="0"/>
                <w:bCs w:val="0"/>
                <w:color w:val="000000"/>
                <w:sz w:val="19"/>
                <w:szCs w:val="19"/>
                <w:lang w:val="en-US"/>
              </w:rPr>
              <w:t>Entscheider</w:t>
            </w:r>
          </w:p>
        </w:tc>
        <w:tc>
          <w:tcPr>
            <w:tcW w:w="6820" w:type="dxa"/>
            <w:shd w:val="clear" w:color="auto" w:fill="F2F2F2"/>
            <w:tcMar>
              <w:top w:w="80" w:type="dxa"/>
              <w:left w:w="110" w:type="dxa"/>
              <w:bottom w:w="80" w:type="dxa"/>
              <w:right w:w="110" w:type="dxa"/>
            </w:tcMar>
          </w:tcPr>
          <w:p w14:paraId="17D7A6E0" wp14:textId="77777777">
            <w:pPr>
              <w:spacing w:before="40" w:after="40" w:line="250" w:lineRule="auto"/>
            </w:pPr>
            <w:r w:rsidRPr="2FB21A21" w:rsidR="2FB21A21">
              <w:rPr>
                <w:rFonts w:ascii="Calibri" w:hAnsi="Calibri" w:eastAsia="Calibri" w:cs="Calibri"/>
                <w:b w:val="0"/>
                <w:bCs w:val="0"/>
                <w:color w:val="000000"/>
                <w:sz w:val="19"/>
                <w:szCs w:val="19"/>
                <w:lang w:val="en-US"/>
              </w:rPr>
              <w:t>Vorstand der Amadeus Fire AG (bis zur Verabschiedung der IT-Governance)</w:t>
            </w:r>
          </w:p>
        </w:tc>
      </w:tr>
      <w:tr xmlns:wp14="http://schemas.microsoft.com/office/word/2010/wordml" w:rsidTr="59F1C9F4" w14:paraId="328F3932" wp14:textId="77777777">
        <w:trPr>
          <w:tblHeader w:val="false"/>
        </w:trPr>
        <w:tc>
          <w:tcPr>
            <w:tcW w:w="2206" w:type="dxa"/>
            <w:shd w:val="clear" w:color="auto" w:fill="FFFFFF"/>
            <w:tcMar>
              <w:top w:w="80" w:type="dxa"/>
              <w:left w:w="110" w:type="dxa"/>
              <w:bottom w:w="80" w:type="dxa"/>
              <w:right w:w="110" w:type="dxa"/>
            </w:tcMar>
          </w:tcPr>
          <w:p w14:paraId="746F1487" wp14:textId="77777777">
            <w:pPr>
              <w:spacing w:before="40" w:after="40" w:line="250"/>
            </w:pPr>
            <w:r>
              <w:rPr>
                <w:rFonts w:ascii="Calibri" w:hAnsi="Calibri" w:eastAsia="Calibri" w:cs="Calibri"/>
                <w:b w:val="false"/>
                <w:bCs w:val="false"/>
                <w:color w:val="000000"/>
                <w:sz w:val="19"/>
                <w:szCs w:val="19"/>
              </w:rPr>
              <w:t xml:space="preserve">Datum</w:t>
            </w:r>
          </w:p>
        </w:tc>
        <w:tc>
          <w:tcPr>
            <w:tcW w:w="6820" w:type="dxa"/>
            <w:shd w:val="clear" w:color="auto" w:fill="FFFFFF"/>
            <w:tcMar>
              <w:top w:w="80" w:type="dxa"/>
              <w:left w:w="110" w:type="dxa"/>
              <w:bottom w:w="80" w:type="dxa"/>
              <w:right w:w="110" w:type="dxa"/>
            </w:tcMar>
          </w:tcPr>
          <w:p w14:paraId="2B136ADB" wp14:textId="77777777">
            <w:pPr>
              <w:spacing w:before="40" w:after="40" w:line="250"/>
            </w:pPr>
            <w:r>
              <w:rPr>
                <w:rFonts w:ascii="Calibri" w:hAnsi="Calibri" w:eastAsia="Calibri" w:cs="Calibri"/>
                <w:b w:val="false"/>
                <w:bCs w:val="false"/>
                <w:color w:val="000000"/>
                <w:sz w:val="19"/>
                <w:szCs w:val="19"/>
              </w:rPr>
              <w:t xml:space="preserve">1. September 2026</w:t>
            </w:r>
          </w:p>
        </w:tc>
      </w:tr>
      <w:tr xmlns:wp14="http://schemas.microsoft.com/office/word/2010/wordml" w:rsidTr="59F1C9F4" w14:paraId="7A8DD04B" wp14:textId="77777777">
        <w:trPr>
          <w:tblHeader w:val="false"/>
        </w:trPr>
        <w:tc>
          <w:tcPr>
            <w:tcW w:w="2206" w:type="dxa"/>
            <w:shd w:val="clear" w:color="auto" w:fill="F2F2F2"/>
            <w:tcMar>
              <w:top w:w="80" w:type="dxa"/>
              <w:left w:w="110" w:type="dxa"/>
              <w:bottom w:w="80" w:type="dxa"/>
              <w:right w:w="110" w:type="dxa"/>
            </w:tcMar>
          </w:tcPr>
          <w:p w14:paraId="61E96A38" wp14:textId="77777777">
            <w:pPr>
              <w:spacing w:before="40" w:after="40" w:line="250" w:lineRule="auto"/>
            </w:pPr>
            <w:r w:rsidRPr="2FB21A21" w:rsidR="2FB21A21">
              <w:rPr>
                <w:rFonts w:ascii="Calibri" w:hAnsi="Calibri" w:eastAsia="Calibri" w:cs="Calibri"/>
                <w:b w:val="0"/>
                <w:bCs w:val="0"/>
                <w:color w:val="000000"/>
                <w:sz w:val="19"/>
                <w:szCs w:val="19"/>
                <w:lang w:val="en-US"/>
              </w:rPr>
              <w:t>Projekt / Vorgang</w:t>
            </w:r>
          </w:p>
        </w:tc>
        <w:tc>
          <w:tcPr>
            <w:tcW w:w="6820" w:type="dxa"/>
            <w:shd w:val="clear" w:color="auto" w:fill="F2F2F2"/>
            <w:tcMar>
              <w:top w:w="80" w:type="dxa"/>
              <w:left w:w="110" w:type="dxa"/>
              <w:bottom w:w="80" w:type="dxa"/>
              <w:right w:w="110" w:type="dxa"/>
            </w:tcMar>
          </w:tcPr>
          <w:p w14:paraId="29993EF1" wp14:textId="03DDB4ED">
            <w:pPr>
              <w:spacing w:before="40" w:after="40" w:line="250" w:lineRule="auto"/>
            </w:pPr>
            <w:r w:rsidRPr="79B593BA" w:rsidR="7A968D67">
              <w:rPr>
                <w:rFonts w:ascii="Calibri" w:hAnsi="Calibri" w:eastAsia="Calibri" w:cs="Calibri"/>
                <w:b w:val="0"/>
                <w:bCs w:val="0"/>
                <w:color w:val="000000"/>
                <w:sz w:val="19"/>
                <w:szCs w:val="19"/>
                <w:lang w:val="de-DE"/>
              </w:rPr>
              <w:t xml:space="preserve">ILP — </w:t>
            </w:r>
            <w:r w:rsidRPr="79B593BA" w:rsidR="52BA2117">
              <w:rPr>
                <w:rFonts w:ascii="Calibri" w:hAnsi="Calibri" w:eastAsia="Calibri" w:cs="Calibri"/>
                <w:b w:val="0"/>
                <w:bCs w:val="0"/>
                <w:color w:val="000000"/>
                <w:sz w:val="19"/>
                <w:szCs w:val="19"/>
                <w:lang w:val="de-DE"/>
              </w:rPr>
              <w:t>Interconnected</w:t>
            </w:r>
            <w:r w:rsidRPr="79B593BA" w:rsidR="52BA2117">
              <w:rPr>
                <w:rFonts w:ascii="Calibri" w:hAnsi="Calibri" w:eastAsia="Calibri" w:cs="Calibri"/>
                <w:b w:val="0"/>
                <w:bCs w:val="0"/>
                <w:color w:val="000000"/>
                <w:sz w:val="19"/>
                <w:szCs w:val="19"/>
                <w:lang w:val="de-DE"/>
              </w:rPr>
              <w:t xml:space="preserve"> Learning </w:t>
            </w:r>
            <w:r w:rsidRPr="79B593BA" w:rsidR="52BA2117">
              <w:rPr>
                <w:rFonts w:ascii="Calibri" w:hAnsi="Calibri" w:eastAsia="Calibri" w:cs="Calibri"/>
                <w:b w:val="0"/>
                <w:bCs w:val="0"/>
                <w:color w:val="000000"/>
                <w:sz w:val="19"/>
                <w:szCs w:val="19"/>
                <w:lang w:val="de-DE"/>
              </w:rPr>
              <w:t>Platform</w:t>
            </w:r>
            <w:r w:rsidRPr="79B593BA" w:rsidR="52BA2117">
              <w:rPr>
                <w:rFonts w:ascii="Calibri" w:hAnsi="Calibri" w:eastAsia="Calibri" w:cs="Calibri"/>
                <w:b w:val="0"/>
                <w:bCs w:val="0"/>
                <w:color w:val="000000"/>
                <w:sz w:val="19"/>
                <w:szCs w:val="19"/>
                <w:lang w:val="de-DE"/>
              </w:rPr>
              <w:t>. Generierung und Ausspielung von Kursen in der Erwachsenenbildung.</w:t>
            </w:r>
          </w:p>
        </w:tc>
      </w:tr>
      <w:tr xmlns:wp14="http://schemas.microsoft.com/office/word/2010/wordml" w:rsidTr="59F1C9F4" w14:paraId="1DA755DA" wp14:textId="77777777">
        <w:trPr>
          <w:tblHeader w:val="false"/>
        </w:trPr>
        <w:tc>
          <w:tcPr>
            <w:tcW w:w="2206" w:type="dxa"/>
            <w:shd w:val="clear" w:color="auto" w:fill="FFFFFF"/>
            <w:tcMar>
              <w:top w:w="80" w:type="dxa"/>
              <w:left w:w="110" w:type="dxa"/>
              <w:bottom w:w="80" w:type="dxa"/>
              <w:right w:w="110" w:type="dxa"/>
            </w:tcMar>
          </w:tcPr>
          <w:p w14:paraId="3A8B40BF" wp14:textId="77777777">
            <w:pPr>
              <w:spacing w:before="40" w:after="40" w:line="250" w:lineRule="auto"/>
            </w:pPr>
            <w:r w:rsidRPr="2FB21A21" w:rsidR="2FB21A21">
              <w:rPr>
                <w:rFonts w:ascii="Calibri" w:hAnsi="Calibri" w:eastAsia="Calibri" w:cs="Calibri"/>
                <w:b w:val="0"/>
                <w:bCs w:val="0"/>
                <w:color w:val="000000"/>
                <w:sz w:val="19"/>
                <w:szCs w:val="19"/>
                <w:lang w:val="en-US"/>
              </w:rPr>
              <w:t>Geltungsbereich</w:t>
            </w:r>
          </w:p>
        </w:tc>
        <w:tc>
          <w:tcPr>
            <w:tcW w:w="6820" w:type="dxa"/>
            <w:shd w:val="clear" w:color="auto" w:fill="FFFFFF"/>
            <w:tcMar>
              <w:top w:w="80" w:type="dxa"/>
              <w:left w:w="110" w:type="dxa"/>
              <w:bottom w:w="80" w:type="dxa"/>
              <w:right w:w="110" w:type="dxa"/>
            </w:tcMar>
          </w:tcPr>
          <w:p w14:paraId="0C39C643" wp14:textId="77777777">
            <w:pPr>
              <w:spacing w:before="40" w:after="40" w:line="250" w:lineRule="auto"/>
            </w:pPr>
            <w:r w:rsidRPr="2FB21A21" w:rsidR="2FB21A21">
              <w:rPr>
                <w:rFonts w:ascii="Calibri" w:hAnsi="Calibri" w:eastAsia="Calibri" w:cs="Calibri"/>
                <w:b w:val="0"/>
                <w:bCs w:val="0"/>
                <w:color w:val="000000"/>
                <w:sz w:val="19"/>
                <w:szCs w:val="19"/>
                <w:lang w:val="en-US"/>
              </w:rPr>
              <w:t>Ausschließlich das Projekt ILP. Der Waiver ist nicht auf andere Vorhaben übertragbar.</w:t>
            </w:r>
          </w:p>
        </w:tc>
      </w:tr>
      <w:tr xmlns:wp14="http://schemas.microsoft.com/office/word/2010/wordml" w:rsidTr="59F1C9F4" w14:paraId="3EF73706" wp14:textId="77777777">
        <w:trPr>
          <w:tblHeader w:val="false"/>
        </w:trPr>
        <w:tc>
          <w:tcPr>
            <w:tcW w:w="2206" w:type="dxa"/>
            <w:shd w:val="clear" w:color="auto" w:fill="F2F2F2"/>
            <w:tcMar>
              <w:top w:w="80" w:type="dxa"/>
              <w:left w:w="110" w:type="dxa"/>
              <w:bottom w:w="80" w:type="dxa"/>
              <w:right w:w="110" w:type="dxa"/>
            </w:tcMar>
          </w:tcPr>
          <w:p w14:paraId="22002A66" wp14:textId="77777777">
            <w:pPr>
              <w:spacing w:before="40" w:after="40" w:line="250" w:lineRule="auto"/>
            </w:pPr>
            <w:r w:rsidRPr="2FB21A21" w:rsidR="2FB21A21">
              <w:rPr>
                <w:rFonts w:ascii="Calibri" w:hAnsi="Calibri" w:eastAsia="Calibri" w:cs="Calibri"/>
                <w:b w:val="0"/>
                <w:bCs w:val="0"/>
                <w:color w:val="000000"/>
                <w:sz w:val="19"/>
                <w:szCs w:val="19"/>
                <w:lang w:val="en-US"/>
              </w:rPr>
              <w:t>Betroffener Standard</w:t>
            </w:r>
          </w:p>
        </w:tc>
        <w:tc>
          <w:tcPr>
            <w:tcW w:w="6820" w:type="dxa"/>
            <w:shd w:val="clear" w:color="auto" w:fill="F2F2F2"/>
            <w:tcMar>
              <w:top w:w="80" w:type="dxa"/>
              <w:left w:w="110" w:type="dxa"/>
              <w:bottom w:w="80" w:type="dxa"/>
              <w:right w:w="110" w:type="dxa"/>
            </w:tcMar>
          </w:tcPr>
          <w:p w14:paraId="671EC20B" wp14:textId="77777777">
            <w:pPr>
              <w:spacing w:before="40" w:after="40" w:line="250" w:lineRule="auto"/>
            </w:pPr>
            <w:r w:rsidRPr="2FB21A21" w:rsidR="2FB21A21">
              <w:rPr>
                <w:rFonts w:ascii="Calibri" w:hAnsi="Calibri" w:eastAsia="Calibri" w:cs="Calibri"/>
                <w:b w:val="0"/>
                <w:bCs w:val="0"/>
                <w:color w:val="000000"/>
                <w:sz w:val="19"/>
                <w:szCs w:val="19"/>
                <w:lang w:val="en-US"/>
              </w:rPr>
              <w:t>Im Entwurf 0.8 nicht benannt. Der Antrag wird vorsorglich gestellt, weil im Abstimmungsgespräch Azure Cache for Redis als Zielbild genannt wurde.</w:t>
            </w:r>
          </w:p>
        </w:tc>
      </w:tr>
      <w:tr xmlns:wp14="http://schemas.microsoft.com/office/word/2010/wordml" w:rsidTr="59F1C9F4" w14:paraId="7A3A5B52" wp14:textId="77777777">
        <w:trPr>
          <w:tblHeader w:val="false"/>
        </w:trPr>
        <w:tc>
          <w:tcPr>
            <w:tcW w:w="2206" w:type="dxa"/>
            <w:shd w:val="clear" w:color="auto" w:fill="FFFFFF"/>
            <w:tcMar>
              <w:top w:w="80" w:type="dxa"/>
              <w:left w:w="110" w:type="dxa"/>
              <w:bottom w:w="80" w:type="dxa"/>
              <w:right w:w="110" w:type="dxa"/>
            </w:tcMar>
          </w:tcPr>
          <w:p w14:paraId="6A08DDFF" wp14:textId="77777777">
            <w:pPr>
              <w:spacing w:before="40" w:after="40" w:line="250" w:lineRule="auto"/>
            </w:pPr>
            <w:r w:rsidRPr="2FB21A21" w:rsidR="2FB21A21">
              <w:rPr>
                <w:rFonts w:ascii="Calibri" w:hAnsi="Calibri" w:eastAsia="Calibri" w:cs="Calibri"/>
                <w:b w:val="0"/>
                <w:bCs w:val="0"/>
                <w:color w:val="000000"/>
                <w:sz w:val="19"/>
                <w:szCs w:val="19"/>
                <w:lang w:val="en-US"/>
              </w:rPr>
              <w:t>Beantragte Abweichung</w:t>
            </w:r>
          </w:p>
        </w:tc>
        <w:tc>
          <w:tcPr>
            <w:tcW w:w="6820" w:type="dxa"/>
            <w:shd w:val="clear" w:color="auto" w:fill="FFFFFF"/>
            <w:tcMar>
              <w:top w:w="80" w:type="dxa"/>
              <w:left w:w="110" w:type="dxa"/>
              <w:bottom w:w="80" w:type="dxa"/>
              <w:right w:w="110" w:type="dxa"/>
            </w:tcMar>
          </w:tcPr>
          <w:p w14:paraId="0E1EBC82" wp14:textId="77777777">
            <w:pPr>
              <w:spacing w:before="40" w:after="40" w:line="250" w:lineRule="auto"/>
            </w:pPr>
            <w:r w:rsidRPr="2FB21A21" w:rsidR="2FB21A21">
              <w:rPr>
                <w:rFonts w:ascii="Calibri" w:hAnsi="Calibri" w:eastAsia="Calibri" w:cs="Calibri"/>
                <w:b w:val="0"/>
                <w:bCs w:val="0"/>
                <w:color w:val="000000"/>
                <w:sz w:val="19"/>
                <w:szCs w:val="19"/>
                <w:lang w:val="en-US"/>
              </w:rPr>
              <w:t>Einsatz von DragonflyDB als In-Memory-Datastore für ILP, betrieben durch die AF EduTech</w:t>
            </w:r>
          </w:p>
        </w:tc>
      </w:tr>
      <w:tr xmlns:wp14="http://schemas.microsoft.com/office/word/2010/wordml" w:rsidTr="59F1C9F4" w14:paraId="114BEF4A" wp14:textId="77777777">
        <w:trPr>
          <w:tblHeader w:val="false"/>
        </w:trPr>
        <w:tc>
          <w:tcPr>
            <w:tcW w:w="2206" w:type="dxa"/>
            <w:shd w:val="clear" w:color="auto" w:fill="F2F2F2"/>
            <w:tcMar>
              <w:top w:w="80" w:type="dxa"/>
              <w:left w:w="110" w:type="dxa"/>
              <w:bottom w:w="80" w:type="dxa"/>
              <w:right w:w="110" w:type="dxa"/>
            </w:tcMar>
          </w:tcPr>
          <w:p w14:paraId="67624815" wp14:textId="77777777">
            <w:pPr>
              <w:spacing w:before="40" w:after="40" w:line="250" w:lineRule="auto"/>
            </w:pPr>
            <w:r w:rsidRPr="2FB21A21" w:rsidR="2FB21A21">
              <w:rPr>
                <w:rFonts w:ascii="Calibri" w:hAnsi="Calibri" w:eastAsia="Calibri" w:cs="Calibri"/>
                <w:b w:val="0"/>
                <w:bCs w:val="0"/>
                <w:color w:val="000000"/>
                <w:sz w:val="19"/>
                <w:szCs w:val="19"/>
                <w:lang w:val="en-US"/>
              </w:rPr>
              <w:t>Beantragte Dauer</w:t>
            </w:r>
          </w:p>
        </w:tc>
        <w:tc>
          <w:tcPr>
            <w:tcW w:w="6820" w:type="dxa"/>
            <w:shd w:val="clear" w:color="auto" w:fill="F2F2F2"/>
            <w:tcMar>
              <w:top w:w="80" w:type="dxa"/>
              <w:left w:w="110" w:type="dxa"/>
              <w:bottom w:w="80" w:type="dxa"/>
              <w:right w:w="110" w:type="dxa"/>
            </w:tcMar>
          </w:tcPr>
          <w:p w14:paraId="7FC621BA" wp14:textId="77777777">
            <w:pPr>
              <w:spacing w:before="40" w:after="40" w:line="250" w:lineRule="auto"/>
            </w:pPr>
            <w:r w:rsidRPr="2FB21A21" w:rsidR="2FB21A21">
              <w:rPr>
                <w:rFonts w:ascii="Calibri" w:hAnsi="Calibri" w:eastAsia="Calibri" w:cs="Calibri"/>
                <w:b w:val="0"/>
                <w:bCs w:val="0"/>
                <w:color w:val="000000"/>
                <w:sz w:val="19"/>
                <w:szCs w:val="19"/>
                <w:lang w:val="en-US"/>
              </w:rPr>
              <w:t>Unbefristet als Zielarchitektur; verpflichtende Überprüfung alle 24 Monate; erste Überprüfung [Monat/Jahr]</w:t>
            </w:r>
          </w:p>
        </w:tc>
      </w:tr>
      <w:tr xmlns:wp14="http://schemas.microsoft.com/office/word/2010/wordml" w:rsidTr="59F1C9F4" w14:paraId="3A087389" wp14:textId="77777777">
        <w:trPr>
          <w:tblHeader w:val="false"/>
        </w:trPr>
        <w:tc>
          <w:tcPr>
            <w:tcW w:w="2206" w:type="dxa"/>
            <w:shd w:val="clear" w:color="auto" w:fill="FFFFFF"/>
            <w:tcMar>
              <w:top w:w="80" w:type="dxa"/>
              <w:left w:w="110" w:type="dxa"/>
              <w:bottom w:w="80" w:type="dxa"/>
              <w:right w:w="110" w:type="dxa"/>
            </w:tcMar>
          </w:tcPr>
          <w:p w14:paraId="19CE7093" wp14:textId="77777777">
            <w:pPr>
              <w:spacing w:before="40" w:after="40" w:line="250" w:lineRule="auto"/>
            </w:pPr>
            <w:r w:rsidRPr="2FB21A21" w:rsidR="2FB21A21">
              <w:rPr>
                <w:rFonts w:ascii="Calibri" w:hAnsi="Calibri" w:eastAsia="Calibri" w:cs="Calibri"/>
                <w:b w:val="0"/>
                <w:bCs w:val="0"/>
                <w:color w:val="000000"/>
                <w:sz w:val="19"/>
                <w:szCs w:val="19"/>
                <w:lang w:val="en-US"/>
              </w:rPr>
              <w:t>Betrieb</w:t>
            </w:r>
          </w:p>
        </w:tc>
        <w:tc>
          <w:tcPr>
            <w:tcW w:w="6820" w:type="dxa"/>
            <w:shd w:val="clear" w:color="auto" w:fill="FFFFFF"/>
            <w:tcMar>
              <w:top w:w="80" w:type="dxa"/>
              <w:left w:w="110" w:type="dxa"/>
              <w:bottom w:w="80" w:type="dxa"/>
              <w:right w:w="110" w:type="dxa"/>
            </w:tcMar>
          </w:tcPr>
          <w:p w14:paraId="79B7A693" wp14:textId="77777777">
            <w:pPr>
              <w:spacing w:before="40" w:after="40" w:line="250" w:lineRule="auto"/>
            </w:pPr>
            <w:r w:rsidRPr="2FB21A21" w:rsidR="2FB21A21">
              <w:rPr>
                <w:rFonts w:ascii="Calibri" w:hAnsi="Calibri" w:eastAsia="Calibri" w:cs="Calibri"/>
                <w:b w:val="0"/>
                <w:bCs w:val="0"/>
                <w:color w:val="000000"/>
                <w:sz w:val="19"/>
                <w:szCs w:val="19"/>
                <w:lang w:val="en-US"/>
              </w:rPr>
              <w:t>Vollständig durch die AF EduTech einschließlich Plattformbetrieb</w:t>
            </w:r>
          </w:p>
        </w:tc>
      </w:tr>
      <w:tr xmlns:wp14="http://schemas.microsoft.com/office/word/2010/wordml" w:rsidTr="59F1C9F4" w14:paraId="174ED8E7" wp14:textId="77777777">
        <w:trPr>
          <w:tblHeader w:val="false"/>
        </w:trPr>
        <w:tc>
          <w:tcPr>
            <w:tcW w:w="2206" w:type="dxa"/>
            <w:shd w:val="clear" w:color="auto" w:fill="F2F2F2"/>
            <w:tcMar>
              <w:top w:w="80" w:type="dxa"/>
              <w:left w:w="110" w:type="dxa"/>
              <w:bottom w:w="80" w:type="dxa"/>
              <w:right w:w="110" w:type="dxa"/>
            </w:tcMar>
          </w:tcPr>
          <w:p w14:paraId="0BBBED14" wp14:textId="77777777">
            <w:pPr>
              <w:spacing w:before="40" w:after="40" w:line="250" w:lineRule="auto"/>
            </w:pPr>
            <w:r w:rsidRPr="2FB21A21" w:rsidR="2FB21A21">
              <w:rPr>
                <w:rFonts w:ascii="Calibri" w:hAnsi="Calibri" w:eastAsia="Calibri" w:cs="Calibri"/>
                <w:b w:val="0"/>
                <w:bCs w:val="0"/>
                <w:color w:val="000000"/>
                <w:sz w:val="19"/>
                <w:szCs w:val="19"/>
                <w:lang w:val="en-US"/>
              </w:rPr>
              <w:t>Risikoeinschätzung</w:t>
            </w:r>
          </w:p>
        </w:tc>
        <w:tc>
          <w:tcPr>
            <w:tcW w:w="6820" w:type="dxa"/>
            <w:shd w:val="clear" w:color="auto" w:fill="F2F2F2"/>
            <w:tcMar>
              <w:top w:w="80" w:type="dxa"/>
              <w:left w:w="110" w:type="dxa"/>
              <w:bottom w:w="80" w:type="dxa"/>
              <w:right w:w="110" w:type="dxa"/>
            </w:tcMar>
          </w:tcPr>
          <w:p w14:paraId="5BF43022" wp14:textId="77777777">
            <w:pPr>
              <w:spacing w:before="40" w:after="40" w:line="250" w:lineRule="auto"/>
            </w:pPr>
            <w:r w:rsidRPr="2FB21A21" w:rsidR="2FB21A21">
              <w:rPr>
                <w:rFonts w:ascii="Calibri" w:hAnsi="Calibri" w:eastAsia="Calibri" w:cs="Calibri"/>
                <w:b w:val="0"/>
                <w:bCs w:val="0"/>
                <w:color w:val="000000"/>
                <w:sz w:val="19"/>
                <w:szCs w:val="19"/>
                <w:lang w:val="en-US"/>
              </w:rPr>
              <w:t>Gering — Redis-Protokollkompatibilität hält den Wechselaufwand in beide Richtungen niedrig; offener Punkt ist die lizenzrechtliche Bestätigung</w:t>
            </w:r>
          </w:p>
        </w:tc>
      </w:tr>
      <w:tr xmlns:wp14="http://schemas.microsoft.com/office/word/2010/wordml" w:rsidTr="59F1C9F4" w14:paraId="6283B816" wp14:textId="77777777">
        <w:trPr>
          <w:tblHeader w:val="false"/>
        </w:trPr>
        <w:tc>
          <w:tcPr>
            <w:tcW w:w="2206" w:type="dxa"/>
            <w:shd w:val="clear" w:color="auto" w:fill="FFFFFF"/>
            <w:tcMar>
              <w:top w:w="80" w:type="dxa"/>
              <w:left w:w="110" w:type="dxa"/>
              <w:bottom w:w="80" w:type="dxa"/>
              <w:right w:w="110" w:type="dxa"/>
            </w:tcMar>
          </w:tcPr>
          <w:p w14:paraId="79677A8A" wp14:textId="77777777">
            <w:pPr>
              <w:spacing w:before="40" w:after="40" w:line="250" w:lineRule="auto"/>
            </w:pPr>
            <w:r w:rsidRPr="2FB21A21" w:rsidR="2FB21A21">
              <w:rPr>
                <w:rFonts w:ascii="Calibri" w:hAnsi="Calibri" w:eastAsia="Calibri" w:cs="Calibri"/>
                <w:b w:val="0"/>
                <w:bCs w:val="0"/>
                <w:color w:val="000000"/>
                <w:sz w:val="19"/>
                <w:szCs w:val="19"/>
                <w:lang w:val="en-US"/>
              </w:rPr>
              <w:t>Ansprechpartner fachlich</w:t>
            </w:r>
          </w:p>
        </w:tc>
        <w:tc>
          <w:tcPr>
            <w:tcW w:w="6820" w:type="dxa"/>
            <w:shd w:val="clear" w:color="auto" w:fill="FFFFFF"/>
            <w:tcMar>
              <w:top w:w="80" w:type="dxa"/>
              <w:left w:w="110" w:type="dxa"/>
              <w:bottom w:w="80" w:type="dxa"/>
              <w:right w:w="110" w:type="dxa"/>
            </w:tcMar>
          </w:tcPr>
          <w:p w:rsidP="2FB21A21" w14:paraId="50321A64" wp14:textId="3E795E01">
            <w:pPr>
              <w:pStyle w:val="Normal"/>
              <w:suppressLineNumbers w:val="0"/>
              <w:bidi w:val="0"/>
              <w:spacing w:before="40" w:beforeAutospacing="off" w:after="40" w:afterAutospacing="off" w:line="250" w:lineRule="auto"/>
              <w:ind w:left="0" w:right="0"/>
              <w:jc w:val="left"/>
            </w:pPr>
            <w:r w:rsidRPr="2FB21A21" w:rsidR="59868823">
              <w:rPr>
                <w:rFonts w:ascii="Calibri" w:hAnsi="Calibri" w:eastAsia="Calibri" w:cs="Calibri"/>
                <w:b w:val="0"/>
                <w:bCs w:val="0"/>
                <w:color w:val="000000"/>
                <w:sz w:val="19"/>
                <w:szCs w:val="19"/>
              </w:rPr>
              <w:t>Renate Wittmann</w:t>
            </w:r>
          </w:p>
        </w:tc>
      </w:tr>
      <w:tr xmlns:wp14="http://schemas.microsoft.com/office/word/2010/wordml" w:rsidTr="59F1C9F4" w14:paraId="18C879F9" wp14:textId="77777777">
        <w:trPr>
          <w:tblHeader w:val="false"/>
        </w:trPr>
        <w:tc>
          <w:tcPr>
            <w:tcW w:w="2206" w:type="dxa"/>
            <w:shd w:val="clear" w:color="auto" w:fill="F2F2F2"/>
            <w:tcMar>
              <w:top w:w="80" w:type="dxa"/>
              <w:left w:w="110" w:type="dxa"/>
              <w:bottom w:w="80" w:type="dxa"/>
              <w:right w:w="110" w:type="dxa"/>
            </w:tcMar>
          </w:tcPr>
          <w:p w14:paraId="721D07E6" wp14:textId="77777777">
            <w:pPr>
              <w:spacing w:before="40" w:after="40" w:line="250" w:lineRule="auto"/>
            </w:pPr>
            <w:r w:rsidRPr="2FB21A21" w:rsidR="2FB21A21">
              <w:rPr>
                <w:rFonts w:ascii="Calibri" w:hAnsi="Calibri" w:eastAsia="Calibri" w:cs="Calibri"/>
                <w:b w:val="0"/>
                <w:bCs w:val="0"/>
                <w:color w:val="000000"/>
                <w:sz w:val="19"/>
                <w:szCs w:val="19"/>
                <w:lang w:val="en-US"/>
              </w:rPr>
              <w:t>Ansprechpartner Betrieb und Sicherheit</w:t>
            </w:r>
          </w:p>
        </w:tc>
        <w:tc>
          <w:tcPr>
            <w:tcW w:w="6820" w:type="dxa"/>
            <w:shd w:val="clear" w:color="auto" w:fill="F2F2F2"/>
            <w:tcMar>
              <w:top w:w="80" w:type="dxa"/>
              <w:left w:w="110" w:type="dxa"/>
              <w:bottom w:w="80" w:type="dxa"/>
              <w:right w:w="110" w:type="dxa"/>
            </w:tcMar>
          </w:tcPr>
          <w:p w:rsidP="59F1C9F4" w14:paraId="016697BE" wp14:textId="31E28743">
            <w:pPr>
              <w:pStyle w:val="Normal"/>
              <w:suppressLineNumbers w:val="0"/>
              <w:bidi w:val="0"/>
              <w:spacing w:before="40" w:beforeAutospacing="off" w:after="40" w:afterAutospacing="off" w:line="250" w:lineRule="auto"/>
              <w:ind w:left="0" w:right="0"/>
              <w:jc w:val="left"/>
            </w:pPr>
            <w:r w:rsidRPr="59F1C9F4" w:rsidR="7EB42568">
              <w:rPr>
                <w:rFonts w:ascii="Calibri" w:hAnsi="Calibri" w:eastAsia="Calibri" w:cs="Calibri"/>
                <w:b w:val="0"/>
                <w:bCs w:val="0"/>
                <w:color w:val="000000"/>
                <w:sz w:val="19"/>
                <w:szCs w:val="19"/>
                <w:lang w:val="de-DE"/>
              </w:rPr>
              <w:t>Desislava Zhekova</w:t>
            </w:r>
          </w:p>
        </w:tc>
      </w:tr>
      <w:tr xmlns:wp14="http://schemas.microsoft.com/office/word/2010/wordml" w:rsidTr="59F1C9F4" w14:paraId="0752D150" wp14:textId="77777777">
        <w:trPr>
          <w:tblHeader w:val="false"/>
        </w:trPr>
        <w:tc>
          <w:tcPr>
            <w:tcW w:w="2206" w:type="dxa"/>
            <w:shd w:val="clear" w:color="auto" w:fill="FFFFFF"/>
            <w:tcMar>
              <w:top w:w="80" w:type="dxa"/>
              <w:left w:w="110" w:type="dxa"/>
              <w:bottom w:w="80" w:type="dxa"/>
              <w:right w:w="110" w:type="dxa"/>
            </w:tcMar>
          </w:tcPr>
          <w:p w14:paraId="4AB45541" wp14:textId="77777777">
            <w:pPr>
              <w:spacing w:before="40" w:after="40" w:line="250" w:lineRule="auto"/>
            </w:pPr>
            <w:r w:rsidRPr="2FB21A21" w:rsidR="2FB21A21">
              <w:rPr>
                <w:rFonts w:ascii="Calibri" w:hAnsi="Calibri" w:eastAsia="Calibri" w:cs="Calibri"/>
                <w:b w:val="0"/>
                <w:bCs w:val="0"/>
                <w:color w:val="000000"/>
                <w:sz w:val="19"/>
                <w:szCs w:val="19"/>
                <w:lang w:val="en-US"/>
              </w:rPr>
              <w:t>Eskalation</w:t>
            </w:r>
          </w:p>
        </w:tc>
        <w:tc>
          <w:tcPr>
            <w:tcW w:w="6820" w:type="dxa"/>
            <w:shd w:val="clear" w:color="auto" w:fill="FFFFFF"/>
            <w:tcMar>
              <w:top w:w="80" w:type="dxa"/>
              <w:left w:w="110" w:type="dxa"/>
              <w:bottom w:w="80" w:type="dxa"/>
              <w:right w:w="110" w:type="dxa"/>
            </w:tcMar>
          </w:tcPr>
          <w:p w14:paraId="64A029E8" wp14:textId="77777777">
            <w:pPr>
              <w:spacing w:before="40" w:after="40" w:line="250" w:lineRule="auto"/>
            </w:pPr>
            <w:r w:rsidRPr="2FB21A21" w:rsidR="2FB21A21">
              <w:rPr>
                <w:rFonts w:ascii="Calibri" w:hAnsi="Calibri" w:eastAsia="Calibri" w:cs="Calibri"/>
                <w:b w:val="0"/>
                <w:bCs w:val="0"/>
                <w:color w:val="000000"/>
                <w:sz w:val="19"/>
                <w:szCs w:val="19"/>
                <w:lang w:val="en-US"/>
              </w:rPr>
              <w:t>Nils Manegold, Geschäftsführer AF EduTech</w:t>
            </w:r>
          </w:p>
        </w:tc>
      </w:tr>
    </w:tbl>
    <w:p xmlns:wp14="http://schemas.microsoft.com/office/word/2010/wordml" w14:paraId="0A37501D" wp14:textId="77777777">
      <w:r>
        <w:br w:type="page"/>
      </w:r>
    </w:p>
    <w:tbl>
      <w:tblPr>
        <w:tblW w:w="9026" w:type="dxa"/>
        <w:tblBorders>
          <w:top w:val="single" w:color="D9D9D9" w:sz="2"/>
          <w:left w:val="single" w:color="B45309" w:sz="18"/>
          <w:bottom w:val="single" w:color="D9D9D9" w:sz="2"/>
          <w:right w:val="single" w:color="D9D9D9" w:sz="2"/>
          <w:insideH w:val="none"/>
          <w:insideV w:val="none"/>
        </w:tblBorders>
      </w:tblPr>
      <w:tblGrid>
        <w:gridCol w:w="9026"/>
      </w:tblGrid>
      <w:tr xmlns:wp14="http://schemas.microsoft.com/office/word/2010/wordml" w:rsidTr="2FB21A21" w14:paraId="48F437FF" wp14:textId="77777777">
        <w:tc>
          <w:tcPr>
            <w:tcW w:w="9026" w:type="dxa"/>
            <w:shd w:val="clear" w:color="auto" w:fill="FAFAFA"/>
            <w:tcMar>
              <w:top w:w="130" w:type="dxa"/>
              <w:left w:w="200" w:type="dxa"/>
              <w:bottom w:w="130" w:type="dxa"/>
              <w:right w:w="160" w:type="dxa"/>
            </w:tcMar>
          </w:tcPr>
          <w:p w14:paraId="6B61CF16" wp14:textId="77777777">
            <w:pPr>
              <w:spacing w:after="80"/>
            </w:pPr>
            <w:r w:rsidRPr="2FB21A21" w:rsidR="2FB21A21">
              <w:rPr>
                <w:rFonts w:ascii="Calibri" w:hAnsi="Calibri" w:eastAsia="Calibri" w:cs="Calibri"/>
                <w:b w:val="1"/>
                <w:bCs w:val="1"/>
                <w:color w:val="3B1A62"/>
                <w:sz w:val="21"/>
                <w:szCs w:val="21"/>
                <w:lang w:val="en-US"/>
              </w:rPr>
              <w:t>Vorfrage: von welchem Standard wird hier abgewichen?</w:t>
            </w:r>
          </w:p>
          <w:p w14:paraId="71CBCF74" wp14:textId="77777777">
            <w:pPr>
              <w:spacing w:after="60" w:line="270" w:lineRule="auto"/>
            </w:pPr>
            <w:r w:rsidRPr="2FB21A21" w:rsidR="2FB21A21">
              <w:rPr>
                <w:rFonts w:ascii="Calibri" w:hAnsi="Calibri" w:eastAsia="Calibri" w:cs="Calibri"/>
                <w:sz w:val="21"/>
                <w:szCs w:val="21"/>
                <w:lang w:val="en-US"/>
              </w:rPr>
              <w:t>Der Entwurf 0.8 benennt für In-Memory-Datastores, Caches oder Datenbanken keinen Konzernstandard. Folie 41 führt unter „Standards" ausschließlich Sonar-basierte Quality Gates, die Testpyramide und Azure DevOps / GitLab.</w:t>
            </w:r>
          </w:p>
          <w:p w14:paraId="7B35A738" wp14:textId="77777777">
            <w:pPr>
              <w:spacing w:after="60" w:line="270" w:lineRule="auto"/>
            </w:pPr>
            <w:r w:rsidRPr="2FB21A21" w:rsidR="2FB21A21">
              <w:rPr>
                <w:rFonts w:ascii="Calibri" w:hAnsi="Calibri" w:eastAsia="Calibri" w:cs="Calibri"/>
                <w:b w:val="1"/>
                <w:bCs w:val="1"/>
                <w:sz w:val="21"/>
                <w:szCs w:val="21"/>
                <w:lang w:val="en-US"/>
              </w:rPr>
              <w:t xml:space="preserve">Ein Waiver ist die Abweichung von einem definierten Standard. </w:t>
            </w:r>
            <w:r w:rsidRPr="2FB21A21" w:rsidR="2FB21A21">
              <w:rPr>
                <w:rFonts w:ascii="Calibri" w:hAnsi="Calibri" w:eastAsia="Calibri" w:cs="Calibri"/>
                <w:sz w:val="21"/>
                <w:szCs w:val="21"/>
                <w:lang w:val="en-US"/>
              </w:rPr>
              <w:t>Wir stellen den Antrag dennoch — vorsorglich und zur Aufnahme ins Register. Sachlich näher läge eine Anzeige. Der Fall zeigt zugleich, dass im Verfahren eine Anzeige- beziehungsweise Bagatellregelung fehlt.</w:t>
            </w:r>
          </w:p>
        </w:tc>
      </w:tr>
    </w:tbl>
    <w:p xmlns:wp14="http://schemas.microsoft.com/office/word/2010/wordml" w14:paraId="53203592" wp14:textId="77777777">
      <w:pPr>
        <w:pStyle w:val="Heading1"/>
        <w:spacing w:before="400" w:after="160"/>
      </w:pPr>
      <w:r w:rsidRPr="2FB21A21" w:rsidR="2FB21A21">
        <w:rPr>
          <w:rFonts w:ascii="Calibri" w:hAnsi="Calibri" w:eastAsia="Calibri" w:cs="Calibri"/>
          <w:b w:val="1"/>
          <w:bCs w:val="1"/>
          <w:color w:val="3B1A62"/>
          <w:sz w:val="30"/>
          <w:szCs w:val="30"/>
          <w:lang w:val="en-US"/>
        </w:rPr>
        <w:t>1  Business-Begründung</w:t>
      </w:r>
    </w:p>
    <w:p xmlns:wp14="http://schemas.microsoft.com/office/word/2010/wordml" w14:paraId="45D994E6" wp14:textId="77777777">
      <w:pPr>
        <w:pStyle w:val="Heading3"/>
        <w:spacing w:before="240" w:after="100"/>
      </w:pPr>
      <w:r w:rsidRPr="2FB21A21" w:rsidR="2FB21A21">
        <w:rPr>
          <w:rFonts w:ascii="Calibri" w:hAnsi="Calibri" w:eastAsia="Calibri" w:cs="Calibri"/>
          <w:b w:val="1"/>
          <w:bCs w:val="1"/>
          <w:sz w:val="22"/>
          <w:szCs w:val="22"/>
          <w:lang w:val="en-US"/>
        </w:rPr>
        <w:t>1.1  Der Leistungsnachteil des Wechsels ist beim Anbieter des Zielprodukts dokumentiert</w:t>
      </w:r>
    </w:p>
    <w:p xmlns:wp14="http://schemas.microsoft.com/office/word/2010/wordml" w14:paraId="4349A95D" wp14:textId="77777777">
      <w:pPr>
        <w:spacing w:before="0" w:after="120" w:line="276" w:lineRule="auto"/>
      </w:pPr>
      <w:r w:rsidRPr="2FB21A21" w:rsidR="2FB21A21">
        <w:rPr>
          <w:rFonts w:ascii="Calibri" w:hAnsi="Calibri" w:eastAsia="Calibri" w:cs="Calibri"/>
          <w:sz w:val="21"/>
          <w:szCs w:val="21"/>
          <w:lang w:val="en-US"/>
        </w:rPr>
        <w:t>Microsoft dokumentiert selbst, dass die Tarife Basic, Standard und Premium von Azure Cache for Redis auf der Community Edition von Redis laufen — „einschließlich single-threaded" — und dass diese Einschränkung die Leistung deutlich reduziert (Microsoft Learn, Azure Managed Redis Architecture). Die Aussage aus dem Projekt, ein Wechsel bedeute einen Leistungsrückschritt, stützt sich damit auf den Anbieter des Zielprodukts und nicht auf eine Angabe des Umsetzungspartners.</w:t>
      </w:r>
    </w:p>
    <w:p xmlns:wp14="http://schemas.microsoft.com/office/word/2010/wordml" w14:paraId="461DB81F" wp14:textId="77777777">
      <w:pPr>
        <w:pStyle w:val="Heading3"/>
        <w:spacing w:before="240" w:after="100"/>
      </w:pPr>
      <w:r w:rsidRPr="2FB21A21" w:rsidR="2FB21A21">
        <w:rPr>
          <w:rFonts w:ascii="Calibri" w:hAnsi="Calibri" w:eastAsia="Calibri" w:cs="Calibri"/>
          <w:b w:val="1"/>
          <w:bCs w:val="1"/>
          <w:sz w:val="22"/>
          <w:szCs w:val="22"/>
          <w:lang w:val="en-US"/>
        </w:rPr>
        <w:t>1.2  Zur Vollständigkeit</w:t>
      </w:r>
    </w:p>
    <w:p xmlns:wp14="http://schemas.microsoft.com/office/word/2010/wordml" w14:paraId="49975E16" wp14:textId="77777777">
      <w:pPr>
        <w:spacing w:before="0" w:after="120" w:line="276" w:lineRule="auto"/>
      </w:pPr>
      <w:r w:rsidRPr="2FB21A21" w:rsidR="2FB21A21">
        <w:rPr>
          <w:rFonts w:ascii="Calibri" w:hAnsi="Calibri" w:eastAsia="Calibri" w:cs="Calibri"/>
          <w:sz w:val="21"/>
          <w:szCs w:val="21"/>
          <w:lang w:val="en-US"/>
        </w:rPr>
        <w:t>Das neuere Azure Managed Redis führt laut derselben Quelle mehrere Shards je Knoten parallel aus und wäre technisch geeignet. Es liegt in den Enterprise-Preisklassen. Einen belastbaren Kostenvergleich haben wir nicht erhoben, weil uns dafür nur eine Wettbewerberquelle vorlag; er ist bei Bedarf nachzureichen. Ein benannter Konzernstandard ist auch dieses Produkt nicht.</w:t>
      </w:r>
    </w:p>
    <w:p xmlns:wp14="http://schemas.microsoft.com/office/word/2010/wordml" w14:paraId="0CD88FC9" wp14:textId="77777777">
      <w:pPr>
        <w:pStyle w:val="Heading3"/>
        <w:spacing w:before="240" w:after="100"/>
      </w:pPr>
      <w:r w:rsidRPr="2FB21A21" w:rsidR="2FB21A21">
        <w:rPr>
          <w:rFonts w:ascii="Calibri" w:hAnsi="Calibri" w:eastAsia="Calibri" w:cs="Calibri"/>
          <w:b w:val="1"/>
          <w:bCs w:val="1"/>
          <w:sz w:val="22"/>
          <w:szCs w:val="22"/>
          <w:lang w:val="en-US"/>
        </w:rPr>
        <w:t>1.3  Leistungsangaben des Herstellers</w:t>
      </w:r>
    </w:p>
    <w:p xmlns:wp14="http://schemas.microsoft.com/office/word/2010/wordml" w14:paraId="1F2E7AE7" wp14:textId="77777777">
      <w:pPr>
        <w:spacing w:before="0" w:after="120" w:line="276" w:lineRule="auto"/>
      </w:pPr>
      <w:r w:rsidRPr="2FB21A21" w:rsidR="2FB21A21">
        <w:rPr>
          <w:rFonts w:ascii="Calibri" w:hAnsi="Calibri" w:eastAsia="Calibri" w:cs="Calibri"/>
          <w:sz w:val="21"/>
          <w:szCs w:val="21"/>
          <w:lang w:val="en-US"/>
        </w:rPr>
        <w:t>DragonflyDB veröffentlicht eigene Durchsatzvergleiche gegen Redis. Unabhängige Vergleichsmessungen liegen uns nicht vor; wir stützen den Antrag daher nicht darauf. Tragend ist allein die vom Anbieter des Zielprodukts dokumentierte Architektureigenschaft nach 1.1.</w:t>
      </w:r>
    </w:p>
    <w:p xmlns:wp14="http://schemas.microsoft.com/office/word/2010/wordml" w14:paraId="11EE3CBD" wp14:textId="77777777">
      <w:pPr>
        <w:pStyle w:val="Heading3"/>
        <w:spacing w:before="240" w:after="100"/>
      </w:pPr>
      <w:r w:rsidRPr="2FB21A21" w:rsidR="2FB21A21">
        <w:rPr>
          <w:rFonts w:ascii="Calibri" w:hAnsi="Calibri" w:eastAsia="Calibri" w:cs="Calibri"/>
          <w:b w:val="1"/>
          <w:bCs w:val="1"/>
          <w:sz w:val="22"/>
          <w:szCs w:val="22"/>
          <w:lang w:val="en-US"/>
        </w:rPr>
        <w:t>1.4  Lizenzlage</w:t>
      </w:r>
    </w:p>
    <w:p xmlns:wp14="http://schemas.microsoft.com/office/word/2010/wordml" w14:paraId="05ED3049" wp14:textId="77777777">
      <w:pPr>
        <w:spacing w:before="0" w:after="120" w:line="276" w:lineRule="auto"/>
      </w:pPr>
      <w:r w:rsidRPr="2FB21A21" w:rsidR="2FB21A21">
        <w:rPr>
          <w:rFonts w:ascii="Calibri" w:hAnsi="Calibri" w:eastAsia="Calibri" w:cs="Calibri"/>
          <w:sz w:val="21"/>
          <w:szCs w:val="21"/>
          <w:lang w:val="en-US"/>
        </w:rPr>
        <w:t>DragonflyDB steht unter der Business Source License 1.1 (Lizenztext des Projekts). Die Nutzung im eigenen Betrieb ist zulässig; untersagt ist im Kern das Anbieten als konkurrierender Managed Service. Ob die Nutzung auch dann gedeckt ist, wenn ILP Dritten als Dienst bereitgestellt wird, ist durch Legal zu bestätigen. Diese Prüfung ist als Auflage vorgesehen (Abschnitt 4).</w:t>
      </w:r>
    </w:p>
    <w:p xmlns:wp14="http://schemas.microsoft.com/office/word/2010/wordml" w14:paraId="410FC36B" wp14:textId="77777777">
      <w:pPr>
        <w:pStyle w:val="Heading1"/>
        <w:spacing w:before="400" w:after="160"/>
      </w:pPr>
      <w:r w:rsidRPr="2FB21A21" w:rsidR="2FB21A21">
        <w:rPr>
          <w:rFonts w:ascii="Calibri" w:hAnsi="Calibri" w:eastAsia="Calibri" w:cs="Calibri"/>
          <w:b w:val="1"/>
          <w:bCs w:val="1"/>
          <w:color w:val="3B1A62"/>
          <w:sz w:val="30"/>
          <w:szCs w:val="30"/>
          <w:lang w:val="en-US"/>
        </w:rPr>
        <w:t>2  Dauer und Begründung der Dauer</w:t>
      </w:r>
    </w:p>
    <w:p xmlns:wp14="http://schemas.microsoft.com/office/word/2010/wordml" w14:paraId="09869C01" wp14:textId="77777777">
      <w:pPr>
        <w:spacing w:before="0" w:after="120" w:line="276" w:lineRule="auto"/>
      </w:pPr>
      <w:r w:rsidRPr="2FB21A21" w:rsidR="2FB21A21">
        <w:rPr>
          <w:rFonts w:ascii="Calibri" w:hAnsi="Calibri" w:eastAsia="Calibri" w:cs="Calibri"/>
          <w:sz w:val="21"/>
          <w:szCs w:val="21"/>
          <w:lang w:val="en-US"/>
        </w:rPr>
        <w:t>Unbefristet als Zielarchitektur mit Überprüfung alle 24 Monate, analog zum Waiver GitHub. Solange kein Konzernstandard für In-Memory-Datastores definiert ist, kann eine Befristung an dessen Erreichung nicht anknüpfen. Wird ein solcher Standard definiert und mit gleichwertiger Leistung bereitgestellt, greift Auslöser c) in Abschnitt 3.</w:t>
      </w:r>
    </w:p>
    <w:p xmlns:wp14="http://schemas.microsoft.com/office/word/2010/wordml" w14:paraId="641573D0" wp14:textId="77777777">
      <w:pPr>
        <w:pStyle w:val="Heading1"/>
        <w:spacing w:before="400" w:after="160"/>
      </w:pPr>
      <w:r w:rsidRPr="2FB21A21" w:rsidR="2FB21A21">
        <w:rPr>
          <w:rFonts w:ascii="Calibri" w:hAnsi="Calibri" w:eastAsia="Calibri" w:cs="Calibri"/>
          <w:b w:val="1"/>
          <w:bCs w:val="1"/>
          <w:color w:val="3B1A62"/>
          <w:sz w:val="30"/>
          <w:szCs w:val="30"/>
          <w:lang w:val="en-US"/>
        </w:rPr>
        <w:t>3  Rückbauplanung</w:t>
      </w:r>
    </w:p>
    <w:p xmlns:wp14="http://schemas.microsoft.com/office/word/2010/wordml" w14:paraId="111B3457" wp14:textId="77777777">
      <w:pPr>
        <w:spacing w:before="0" w:after="120" w:line="276" w:lineRule="auto"/>
      </w:pPr>
      <w:r w:rsidRPr="2FB21A21" w:rsidR="2FB21A21">
        <w:rPr>
          <w:rFonts w:ascii="Calibri" w:hAnsi="Calibri" w:eastAsia="Calibri" w:cs="Calibri"/>
          <w:sz w:val="21"/>
          <w:szCs w:val="21"/>
          <w:lang w:val="en-US"/>
        </w:rPr>
        <w:t>DragonflyDB ist auf Ebene der Redis-API kompatibel und für den Einsatz ohne Änderung des Anwendungscodes ausgelegt (Projektdokumentation des Herstellers). Für die Rückbauplanung ist das der entscheidende Punkt: Ein späterer Wechsel ist im Kern eine Konfigurations- und Lasttestaufgabe, kein Umbau der Anwendung.</w:t>
      </w:r>
    </w:p>
    <w:tbl>
      <w:tblPr>
        <w:tblW w:w="9026" w:type="dxa"/>
        <w:tblBorders>
          <w:top w:val="single" w:color="BFBFBF" w:sz="2"/>
          <w:left w:val="single" w:color="BFBFBF" w:sz="2"/>
          <w:bottom w:val="single" w:color="BFBFBF" w:sz="2"/>
          <w:right w:val="single" w:color="BFBFBF" w:sz="2"/>
          <w:insideH w:val="single" w:color="D9D9D9" w:sz="2"/>
          <w:insideV w:val="single" w:color="D9D9D9" w:sz="2"/>
        </w:tblBorders>
      </w:tblPr>
      <w:tblGrid>
        <w:gridCol w:w="2407"/>
        <w:gridCol w:w="6619"/>
      </w:tblGrid>
      <w:tr xmlns:wp14="http://schemas.microsoft.com/office/word/2010/wordml" w:rsidTr="2FB21A21" w14:paraId="1C850E51" wp14:textId="77777777">
        <w:trPr>
          <w:tblHeader/>
        </w:trPr>
        <w:tc>
          <w:tcPr>
            <w:tcW w:w="2407" w:type="dxa"/>
            <w:shd w:val="clear" w:color="auto" w:fill="3B1A62"/>
            <w:tcMar>
              <w:top w:w="80" w:type="dxa"/>
              <w:left w:w="110" w:type="dxa"/>
              <w:bottom w:w="80" w:type="dxa"/>
              <w:right w:w="110" w:type="dxa"/>
            </w:tcMar>
          </w:tcPr>
          <w:p w14:paraId="26F3D6E7" wp14:textId="77777777">
            <w:pPr>
              <w:spacing w:before="40" w:after="40" w:line="250"/>
            </w:pPr>
            <w:r>
              <w:rPr>
                <w:rFonts w:ascii="Calibri" w:hAnsi="Calibri" w:eastAsia="Calibri" w:cs="Calibri"/>
                <w:b/>
                <w:bCs/>
                <w:color w:val="FFFFFF"/>
                <w:sz w:val="19"/>
                <w:szCs w:val="19"/>
              </w:rPr>
              <w:t xml:space="preserve">Element</w:t>
            </w:r>
          </w:p>
        </w:tc>
        <w:tc>
          <w:tcPr>
            <w:tcW w:w="6619" w:type="dxa"/>
            <w:shd w:val="clear" w:color="auto" w:fill="3B1A62"/>
            <w:tcMar>
              <w:top w:w="80" w:type="dxa"/>
              <w:left w:w="110" w:type="dxa"/>
              <w:bottom w:w="80" w:type="dxa"/>
              <w:right w:w="110" w:type="dxa"/>
            </w:tcMar>
          </w:tcPr>
          <w:p w14:paraId="15FB78C5" wp14:textId="77777777">
            <w:pPr>
              <w:spacing w:before="40" w:after="40" w:line="250" w:lineRule="auto"/>
            </w:pPr>
            <w:r w:rsidRPr="2FB21A21" w:rsidR="2FB21A21">
              <w:rPr>
                <w:rFonts w:ascii="Calibri" w:hAnsi="Calibri" w:eastAsia="Calibri" w:cs="Calibri"/>
                <w:b w:val="1"/>
                <w:bCs w:val="1"/>
                <w:color w:val="FFFFFF"/>
                <w:sz w:val="19"/>
                <w:szCs w:val="19"/>
                <w:lang w:val="en-US"/>
              </w:rPr>
              <w:t>Inhalt</w:t>
            </w:r>
          </w:p>
        </w:tc>
      </w:tr>
      <w:tr xmlns:wp14="http://schemas.microsoft.com/office/word/2010/wordml" w:rsidTr="2FB21A21" w14:paraId="3EAB9AFA" wp14:textId="77777777">
        <w:trPr>
          <w:tblHeader w:val="false"/>
        </w:trPr>
        <w:tc>
          <w:tcPr>
            <w:tcW w:w="2407" w:type="dxa"/>
            <w:shd w:val="clear" w:color="auto" w:fill="FFFFFF"/>
            <w:tcMar>
              <w:top w:w="80" w:type="dxa"/>
              <w:left w:w="110" w:type="dxa"/>
              <w:bottom w:w="80" w:type="dxa"/>
              <w:right w:w="110" w:type="dxa"/>
            </w:tcMar>
          </w:tcPr>
          <w:p w14:paraId="5DD90454" wp14:textId="77777777">
            <w:pPr>
              <w:spacing w:before="40" w:after="40" w:line="250" w:lineRule="auto"/>
            </w:pPr>
            <w:r w:rsidRPr="2FB21A21" w:rsidR="2FB21A21">
              <w:rPr>
                <w:rFonts w:ascii="Calibri" w:hAnsi="Calibri" w:eastAsia="Calibri" w:cs="Calibri"/>
                <w:b w:val="0"/>
                <w:bCs w:val="0"/>
                <w:color w:val="000000"/>
                <w:sz w:val="19"/>
                <w:szCs w:val="19"/>
                <w:lang w:val="en-US"/>
              </w:rPr>
              <w:t>Rückbauweg</w:t>
            </w:r>
          </w:p>
        </w:tc>
        <w:tc>
          <w:tcPr>
            <w:tcW w:w="6619" w:type="dxa"/>
            <w:shd w:val="clear" w:color="auto" w:fill="FFFFFF"/>
            <w:tcMar>
              <w:top w:w="80" w:type="dxa"/>
              <w:left w:w="110" w:type="dxa"/>
              <w:bottom w:w="80" w:type="dxa"/>
              <w:right w:w="110" w:type="dxa"/>
            </w:tcMar>
          </w:tcPr>
          <w:p w14:paraId="22C81F3F" wp14:textId="77777777">
            <w:pPr>
              <w:spacing w:before="40" w:after="40" w:line="250" w:lineRule="auto"/>
            </w:pPr>
            <w:r w:rsidRPr="2FB21A21" w:rsidR="2FB21A21">
              <w:rPr>
                <w:rFonts w:ascii="Calibri" w:hAnsi="Calibri" w:eastAsia="Calibri" w:cs="Calibri"/>
                <w:b w:val="0"/>
                <w:bCs w:val="0"/>
                <w:color w:val="000000"/>
                <w:sz w:val="19"/>
                <w:szCs w:val="19"/>
                <w:lang w:val="de-DE"/>
              </w:rPr>
              <w:t>Umstellung der Verbindungskonfiguration, Lasttest gegen die Zielplattform, Optimierung bei festgestelltem Leistungsabfall.</w:t>
            </w:r>
          </w:p>
        </w:tc>
      </w:tr>
      <w:tr xmlns:wp14="http://schemas.microsoft.com/office/word/2010/wordml" w:rsidTr="2FB21A21" w14:paraId="76FB60BB" wp14:textId="77777777">
        <w:trPr>
          <w:tblHeader w:val="false"/>
        </w:trPr>
        <w:tc>
          <w:tcPr>
            <w:tcW w:w="2407" w:type="dxa"/>
            <w:shd w:val="clear" w:color="auto" w:fill="F2F2F2"/>
            <w:tcMar>
              <w:top w:w="80" w:type="dxa"/>
              <w:left w:w="110" w:type="dxa"/>
              <w:bottom w:w="80" w:type="dxa"/>
              <w:right w:w="110" w:type="dxa"/>
            </w:tcMar>
          </w:tcPr>
          <w:p w14:paraId="0E8F6FE4" wp14:textId="77777777">
            <w:pPr>
              <w:spacing w:before="40" w:after="40" w:line="250" w:lineRule="auto"/>
            </w:pPr>
            <w:r w:rsidRPr="2FB21A21" w:rsidR="2FB21A21">
              <w:rPr>
                <w:rFonts w:ascii="Calibri" w:hAnsi="Calibri" w:eastAsia="Calibri" w:cs="Calibri"/>
                <w:b w:val="0"/>
                <w:bCs w:val="0"/>
                <w:color w:val="000000"/>
                <w:sz w:val="19"/>
                <w:szCs w:val="19"/>
                <w:lang w:val="en-US"/>
              </w:rPr>
              <w:t>Aufwand, Dauer, Verantwortung</w:t>
            </w:r>
          </w:p>
        </w:tc>
        <w:tc>
          <w:tcPr>
            <w:tcW w:w="6619" w:type="dxa"/>
            <w:shd w:val="clear" w:color="auto" w:fill="F2F2F2"/>
            <w:tcMar>
              <w:top w:w="80" w:type="dxa"/>
              <w:left w:w="110" w:type="dxa"/>
              <w:bottom w:w="80" w:type="dxa"/>
              <w:right w:w="110" w:type="dxa"/>
            </w:tcMar>
          </w:tcPr>
          <w:p w14:paraId="50ACCFC2" wp14:textId="77777777">
            <w:pPr>
              <w:spacing w:before="40" w:after="40" w:line="250" w:lineRule="auto"/>
            </w:pPr>
            <w:r w:rsidRPr="2FB21A21" w:rsidR="2FB21A21">
              <w:rPr>
                <w:rFonts w:ascii="Calibri" w:hAnsi="Calibri" w:eastAsia="Calibri" w:cs="Calibri"/>
                <w:b w:val="0"/>
                <w:bCs w:val="0"/>
                <w:color w:val="000000"/>
                <w:sz w:val="19"/>
                <w:szCs w:val="19"/>
                <w:lang w:val="en-US"/>
              </w:rPr>
              <w:t>15 Personentage (Schätzung des Umsetzungspartners, nicht unabhängig verifiziert). Umsetzung durch das ILP-Team der AF EduTech, Kostenträger AF EduTech.</w:t>
            </w:r>
          </w:p>
        </w:tc>
      </w:tr>
      <w:tr xmlns:wp14="http://schemas.microsoft.com/office/word/2010/wordml" w:rsidTr="2FB21A21" w14:paraId="6D7903E9" wp14:textId="77777777">
        <w:trPr>
          <w:tblHeader w:val="false"/>
        </w:trPr>
        <w:tc>
          <w:tcPr>
            <w:tcW w:w="2407" w:type="dxa"/>
            <w:shd w:val="clear" w:color="auto" w:fill="FFFFFF"/>
            <w:tcMar>
              <w:top w:w="80" w:type="dxa"/>
              <w:left w:w="110" w:type="dxa"/>
              <w:bottom w:w="80" w:type="dxa"/>
              <w:right w:w="110" w:type="dxa"/>
            </w:tcMar>
          </w:tcPr>
          <w:p w14:paraId="6F84F6DA" wp14:textId="77777777">
            <w:pPr>
              <w:spacing w:before="40" w:after="40" w:line="250" w:lineRule="auto"/>
            </w:pPr>
            <w:r w:rsidRPr="2FB21A21" w:rsidR="2FB21A21">
              <w:rPr>
                <w:rFonts w:ascii="Calibri" w:hAnsi="Calibri" w:eastAsia="Calibri" w:cs="Calibri"/>
                <w:b w:val="0"/>
                <w:bCs w:val="0"/>
                <w:color w:val="000000"/>
                <w:sz w:val="19"/>
                <w:szCs w:val="19"/>
                <w:lang w:val="en-US"/>
              </w:rPr>
              <w:t>Verbleibendes Risiko</w:t>
            </w:r>
          </w:p>
        </w:tc>
        <w:tc>
          <w:tcPr>
            <w:tcW w:w="6619" w:type="dxa"/>
            <w:shd w:val="clear" w:color="auto" w:fill="FFFFFF"/>
            <w:tcMar>
              <w:top w:w="80" w:type="dxa"/>
              <w:left w:w="110" w:type="dxa"/>
              <w:bottom w:w="80" w:type="dxa"/>
              <w:right w:w="110" w:type="dxa"/>
            </w:tcMar>
          </w:tcPr>
          <w:p w14:paraId="3A22E9B9" wp14:textId="77777777">
            <w:pPr>
              <w:spacing w:before="40" w:after="40" w:line="250" w:lineRule="auto"/>
            </w:pPr>
            <w:r w:rsidRPr="2FB21A21" w:rsidR="2FB21A21">
              <w:rPr>
                <w:rFonts w:ascii="Calibri" w:hAnsi="Calibri" w:eastAsia="Calibri" w:cs="Calibri"/>
                <w:b w:val="0"/>
                <w:bCs w:val="0"/>
                <w:color w:val="000000"/>
                <w:sz w:val="19"/>
                <w:szCs w:val="19"/>
                <w:lang w:val="en-US"/>
              </w:rPr>
              <w:t>Nicht der Wechsel selbst, sondern die anschließende Optimierung, falls die Zielplattform die Last nicht in gleicher Weise trägt.</w:t>
            </w:r>
          </w:p>
        </w:tc>
      </w:tr>
      <w:tr xmlns:wp14="http://schemas.microsoft.com/office/word/2010/wordml" w:rsidTr="2FB21A21" w14:paraId="16A8EB01" wp14:textId="77777777">
        <w:trPr>
          <w:tblHeader w:val="false"/>
        </w:trPr>
        <w:tc>
          <w:tcPr>
            <w:tcW w:w="2407" w:type="dxa"/>
            <w:shd w:val="clear" w:color="auto" w:fill="F2F2F2"/>
            <w:tcMar>
              <w:top w:w="80" w:type="dxa"/>
              <w:left w:w="110" w:type="dxa"/>
              <w:bottom w:w="80" w:type="dxa"/>
              <w:right w:w="110" w:type="dxa"/>
            </w:tcMar>
          </w:tcPr>
          <w:p w14:paraId="080B52AE" wp14:textId="77777777">
            <w:pPr>
              <w:spacing w:before="40" w:after="40" w:line="250" w:lineRule="auto"/>
            </w:pPr>
            <w:r w:rsidRPr="2FB21A21" w:rsidR="2FB21A21">
              <w:rPr>
                <w:rFonts w:ascii="Calibri" w:hAnsi="Calibri" w:eastAsia="Calibri" w:cs="Calibri"/>
                <w:b w:val="0"/>
                <w:bCs w:val="0"/>
                <w:color w:val="000000"/>
                <w:sz w:val="19"/>
                <w:szCs w:val="19"/>
                <w:lang w:val="en-US"/>
              </w:rPr>
              <w:t>Nachweispflicht der AF EduTech</w:t>
            </w:r>
          </w:p>
        </w:tc>
        <w:tc>
          <w:tcPr>
            <w:tcW w:w="6619" w:type="dxa"/>
            <w:shd w:val="clear" w:color="auto" w:fill="F2F2F2"/>
            <w:tcMar>
              <w:top w:w="80" w:type="dxa"/>
              <w:left w:w="110" w:type="dxa"/>
              <w:bottom w:w="80" w:type="dxa"/>
              <w:right w:w="110" w:type="dxa"/>
            </w:tcMar>
          </w:tcPr>
          <w:p w14:paraId="6A5214F2" wp14:textId="77777777">
            <w:pPr>
              <w:spacing w:before="40" w:after="40" w:line="250" w:lineRule="auto"/>
            </w:pPr>
            <w:r w:rsidRPr="2FB21A21" w:rsidR="2FB21A21">
              <w:rPr>
                <w:rFonts w:ascii="Calibri" w:hAnsi="Calibri" w:eastAsia="Calibri" w:cs="Calibri"/>
                <w:b w:val="0"/>
                <w:bCs w:val="0"/>
                <w:color w:val="000000"/>
                <w:sz w:val="19"/>
                <w:szCs w:val="19"/>
                <w:lang w:val="en-US"/>
              </w:rPr>
              <w:t>Rückbauweg und Zieltarif werden im Waiver-Register dokumentiert und bei jeder Überprüfung aktualisiert.</w:t>
            </w:r>
          </w:p>
        </w:tc>
      </w:tr>
    </w:tbl>
    <w:p xmlns:wp14="http://schemas.microsoft.com/office/word/2010/wordml" w14:paraId="5DAB6C7B" wp14:textId="77777777">
      <w:pPr>
        <w:spacing w:after="160"/>
      </w:pPr>
      <w:r>
        <w:rPr>
          <w:sz w:val="12"/>
          <w:szCs w:val="12"/>
        </w:rPr>
      </w:r>
    </w:p>
    <w:p xmlns:wp14="http://schemas.microsoft.com/office/word/2010/wordml" w14:paraId="7754DA61" wp14:textId="77777777">
      <w:pPr>
        <w:pStyle w:val="Heading2"/>
        <w:spacing w:before="320" w:after="120"/>
      </w:pPr>
      <w:r w:rsidRPr="2FB21A21" w:rsidR="2FB21A21">
        <w:rPr>
          <w:rFonts w:ascii="Calibri" w:hAnsi="Calibri" w:eastAsia="Calibri" w:cs="Calibri"/>
          <w:b w:val="1"/>
          <w:bCs w:val="1"/>
          <w:color w:val="3B1A62"/>
          <w:sz w:val="25"/>
          <w:szCs w:val="25"/>
          <w:lang w:val="en-US"/>
        </w:rPr>
        <w:t>Auslöser für den Rückbau — abschließend</w:t>
      </w:r>
    </w:p>
    <w:p xmlns:wp14="http://schemas.microsoft.com/office/word/2010/wordml" w14:paraId="74D73692"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a) Die Prüfung durch Legal ergibt, dass die Lizenz unseren Nutzungsfall nicht deckt.</w:t>
      </w:r>
    </w:p>
    <w:p xmlns:wp14="http://schemas.microsoft.com/office/word/2010/wordml" w14:paraId="1E0C972E"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b) Das Projekt DragonflyDB wird eingestellt oder erhält keine Sicherheitsaktualisierungen mehr.</w:t>
      </w:r>
    </w:p>
    <w:p xmlns:wp14="http://schemas.microsoft.com/office/word/2010/wordml" w14:paraId="5CBD7A0F"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c) Der Konzern definiert einen Standard für In-Memory-Datastores und stellt ihn mit gleichwertiger Leistung bereit.</w:t>
      </w:r>
    </w:p>
    <w:p xmlns:wp14="http://schemas.microsoft.com/office/word/2010/wordml" w14:paraId="746F0AB8"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d) Ein sicherheitsrelevanter Mangel gefährdet das Verbundzertifikat und ist nicht abstellbar.</w:t>
      </w:r>
    </w:p>
    <w:p xmlns:wp14="http://schemas.microsoft.com/office/word/2010/wordml" w14:paraId="74CF4DDA"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e) Der Vorstand entscheidet anders.</w:t>
      </w:r>
    </w:p>
    <w:p xmlns:wp14="http://schemas.microsoft.com/office/word/2010/wordml" w14:paraId="02EB378F" wp14:textId="77777777">
      <w:r>
        <w:br w:type="page"/>
      </w:r>
    </w:p>
    <w:p xmlns:wp14="http://schemas.microsoft.com/office/word/2010/wordml" w14:paraId="75A2953B" wp14:textId="77777777">
      <w:pPr>
        <w:pStyle w:val="Heading1"/>
        <w:spacing w:before="400" w:after="160"/>
      </w:pPr>
      <w:r w:rsidRPr="2FB21A21" w:rsidR="2FB21A21">
        <w:rPr>
          <w:rFonts w:ascii="Calibri" w:hAnsi="Calibri" w:eastAsia="Calibri" w:cs="Calibri"/>
          <w:b w:val="1"/>
          <w:bCs w:val="1"/>
          <w:color w:val="3B1A62"/>
          <w:sz w:val="30"/>
          <w:szCs w:val="30"/>
          <w:lang w:val="en-US"/>
        </w:rPr>
        <w:t>4  Auflagen, die wir akzeptieren</w:t>
      </w:r>
    </w:p>
    <w:p xmlns:wp14="http://schemas.microsoft.com/office/word/2010/wordml" w14:paraId="277DBFA6"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Eintrag in das Waiver-Register mit Gegenstand, Begründung, Überprüfungstermin und Status.</w:t>
      </w:r>
    </w:p>
    <w:p xmlns:wp14="http://schemas.microsoft.com/office/word/2010/wordml" w14:paraId="564B529F"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Lizenzrechtliche Bestätigung durch Legal bis [Termin]; bei negativem Ergebnis greift Auslöser a).</w:t>
      </w:r>
    </w:p>
    <w:p xmlns:wp14="http://schemas.microsoft.com/office/word/2010/wordml" w14:paraId="5EBBEAD9"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Bestätigung der Datenkategorie: reiner Cache mit aus Quellsystemen regenerierbaren Daten oder primäre Datenhaltung. Davon hängt ab, ob eine Sicherungspflicht besteht.</w:t>
      </w:r>
    </w:p>
    <w:p xmlns:wp14="http://schemas.microsoft.com/office/word/2010/wordml" w14:paraId="6BBAB7B8"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Bei primärer Datenhaltung: dokumentierter Snapshot-Takt und dokumentierter Rücksicherungstest nach der beiliegenden Betriebsübernahme-Erklärung.</w:t>
      </w:r>
    </w:p>
    <w:p xmlns:wp14="http://schemas.microsoft.com/office/word/2010/wordml" w14:paraId="3E498367"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Anbindung an ISMS, SoC und Identitätsföderation; Patch-SLA je CVSS-Klasse.</w:t>
      </w:r>
    </w:p>
    <w:p xmlns:wp14="http://schemas.microsoft.com/office/word/2010/wordml" w14:paraId="0F171727" wp14:textId="77777777">
      <w:pPr>
        <w:pStyle w:val="ListParagraph"/>
        <w:numPr>
          <w:ilvl w:val="0"/>
          <w:numId w:val="2"/>
        </w:numPr>
        <w:spacing w:after="80" w:line="276" w:lineRule="auto"/>
        <w:rPr/>
      </w:pPr>
      <w:r w:rsidRPr="2FB21A21" w:rsidR="2FB21A21">
        <w:rPr>
          <w:rFonts w:ascii="Calibri" w:hAnsi="Calibri" w:eastAsia="Calibri" w:cs="Calibri"/>
          <w:sz w:val="21"/>
          <w:szCs w:val="21"/>
          <w:lang w:val="en-US"/>
        </w:rPr>
        <w:t>Vollständige Kostenübernahme für Betrieb und Nachweisführung durch die AF EduTech.</w:t>
      </w:r>
    </w:p>
    <w:p xmlns:wp14="http://schemas.microsoft.com/office/word/2010/wordml" w14:paraId="6A05A809" wp14:textId="77777777">
      <w:pPr>
        <w:spacing w:after="200"/>
      </w:pPr>
      <w:r>
        <w:rPr>
          <w:sz w:val="12"/>
          <w:szCs w:val="12"/>
        </w:rPr>
      </w:r>
    </w:p>
    <w:p xmlns:wp14="http://schemas.microsoft.com/office/word/2010/wordml" w14:paraId="30BF8FB8" wp14:textId="77777777">
      <w:pPr>
        <w:pStyle w:val="Heading1"/>
        <w:spacing w:before="400" w:after="160"/>
      </w:pPr>
      <w:r w:rsidRPr="2FB21A21" w:rsidR="2FB21A21">
        <w:rPr>
          <w:rFonts w:ascii="Calibri" w:hAnsi="Calibri" w:eastAsia="Calibri" w:cs="Calibri"/>
          <w:b w:val="1"/>
          <w:bCs w:val="1"/>
          <w:color w:val="3B1A62"/>
          <w:sz w:val="30"/>
          <w:szCs w:val="30"/>
          <w:lang w:val="en-US"/>
        </w:rPr>
        <w:t>Entscheidung</w:t>
      </w:r>
    </w:p>
    <w:p xmlns:wp14="http://schemas.microsoft.com/office/word/2010/wordml" w14:paraId="2C71D015" wp14:textId="77777777">
      <w:pPr>
        <w:spacing w:before="0" w:after="160" w:line="276" w:lineRule="auto"/>
      </w:pPr>
      <w:r w:rsidRPr="2FB21A21" w:rsidR="2FB21A21">
        <w:rPr>
          <w:rFonts w:ascii="Calibri" w:hAnsi="Calibri" w:eastAsia="Calibri" w:cs="Calibri"/>
          <w:color w:val="595959"/>
          <w:sz w:val="19"/>
          <w:szCs w:val="19"/>
          <w:lang w:val="en-US"/>
        </w:rPr>
        <w:t>Zutreffendes ankreuzen. Der Antrag ist mit der Unterschrift eines Vorstandsmitglieds entschieden.</w:t>
      </w:r>
    </w:p>
    <w:tbl>
      <w:tblPr>
        <w:tblW w:w="9026" w:type="dxa"/>
        <w:tblBorders>
          <w:top w:val="none"/>
          <w:left w:val="none"/>
          <w:bottom w:val="none"/>
          <w:right w:val="none"/>
          <w:insideH w:val="none"/>
          <w:insideV w:val="none"/>
        </w:tblBorders>
      </w:tblPr>
      <w:tblGrid>
        <w:gridCol w:w="420"/>
        <w:gridCol w:w="8606"/>
      </w:tblGrid>
      <w:tr xmlns:wp14="http://schemas.microsoft.com/office/word/2010/wordml" w:rsidTr="2FB21A21" w14:paraId="4C382699" wp14:textId="77777777">
        <w:tc>
          <w:tcPr>
            <w:tcW w:w="420" w:type="dxa"/>
            <w:tcBorders>
              <w:top w:val="none"/>
              <w:left w:val="none"/>
              <w:bottom w:val="none"/>
              <w:right w:val="none"/>
            </w:tcBorders>
            <w:tcMar>
              <w:top w:w="60" w:type="dxa"/>
              <w:left w:w="20" w:type="dxa"/>
              <w:bottom w:w="60" w:type="dxa"/>
              <w:right w:w="120" w:type="dxa"/>
            </w:tcMar>
          </w:tcPr>
          <w:tbl>
            <w:tblPr>
              <w:tblW w:w="280" w:type="dxa"/>
              <w:tblBorders>
                <w:top w:val="single" w:color="404040" w:sz="6"/>
                <w:left w:val="single" w:color="404040" w:sz="6"/>
                <w:bottom w:val="single" w:color="404040" w:sz="6"/>
                <w:right w:val="single" w:color="404040" w:sz="6"/>
                <w:insideH w:val="none"/>
                <w:insideV w:val="none"/>
              </w:tblBorders>
            </w:tblPr>
            <w:tblGrid>
              <w:gridCol w:w="280"/>
            </w:tblGrid>
            <w:tr w14:paraId="5A39BBE3" wp14:textId="77777777">
              <w:trPr>
                <w:trHeight w:val="280" w:hRule="exact"/>
              </w:trPr>
              <w:tc>
                <w:tcPr>
                  <w:tcW w:w="280" w:type="dxa"/>
                  <w:tcMar>
                    <w:top w:w="0" w:type="dxa"/>
                    <w:left w:w="0" w:type="dxa"/>
                    <w:bottom w:w="0" w:type="dxa"/>
                    <w:right w:w="0" w:type="dxa"/>
                  </w:tcMar>
                </w:tcPr>
                <w:p w14:paraId="41C8F396" wp14:textId="77777777">
                  <w:pPr>
                    <w:spacing w:before="0" w:after="0"/>
                  </w:pPr>
                  <w:r>
                    <w:rPr>
                      <w:sz w:val="2"/>
                      <w:szCs w:val="2"/>
                    </w:rPr>
                  </w:r>
                </w:p>
              </w:tc>
            </w:tr>
          </w:tbl>
          <w:p w14:paraId="72A3D3EC" wp14:textId="77777777">
            <w:pPr>
              <w:spacing w:after="0"/>
            </w:pPr>
            <w:r>
              <w:rPr>
                <w:sz w:val="2"/>
                <w:szCs w:val="2"/>
              </w:rPr>
            </w:r>
          </w:p>
        </w:tc>
        <w:tc>
          <w:tcPr>
            <w:tcW w:w="8606" w:type="dxa"/>
            <w:tcBorders>
              <w:top w:val="none"/>
              <w:left w:val="none"/>
              <w:bottom w:val="none"/>
              <w:right w:val="none"/>
            </w:tcBorders>
            <w:tcMar>
              <w:top w:w="60" w:type="dxa"/>
              <w:left w:w="160" w:type="dxa"/>
              <w:bottom w:w="60" w:type="dxa"/>
              <w:right w:w="60" w:type="dxa"/>
            </w:tcMar>
          </w:tcPr>
          <w:p w14:paraId="7708C38A" wp14:textId="77777777">
            <w:pPr>
              <w:spacing w:before="40" w:after="40" w:line="250" w:lineRule="auto"/>
            </w:pPr>
            <w:r w:rsidRPr="2FB21A21" w:rsidR="2FB21A21">
              <w:rPr>
                <w:rFonts w:ascii="Calibri" w:hAnsi="Calibri" w:eastAsia="Calibri" w:cs="Calibri"/>
                <w:b w:val="1"/>
                <w:bCs w:val="1"/>
                <w:color w:val="000000"/>
                <w:sz w:val="19"/>
                <w:szCs w:val="19"/>
                <w:lang w:val="en-US"/>
              </w:rPr>
              <w:t>Zustimmung — der Waiver wird wie beantragt erteilt.</w:t>
            </w:r>
          </w:p>
          <w:p w14:paraId="2C554127" wp14:textId="77777777">
            <w:pPr>
              <w:spacing w:before="40" w:after="40" w:line="250" w:lineRule="auto"/>
            </w:pPr>
            <w:r w:rsidRPr="2FB21A21" w:rsidR="2FB21A21">
              <w:rPr>
                <w:rFonts w:ascii="Calibri" w:hAnsi="Calibri" w:eastAsia="Calibri" w:cs="Calibri"/>
                <w:color w:val="595959"/>
                <w:sz w:val="18"/>
                <w:szCs w:val="18"/>
                <w:lang w:val="en-US"/>
              </w:rPr>
              <w:t>Unbefristet als Zielarchitektur, Überprüfung alle 24 Monate im IT-Governance Board, Rückbau nur bei Eintritt eines der oben abschließend definierten Auslöser. Betriebsübernahme durch die AF EduTech nach der beiliegenden Erklärung.</w:t>
            </w:r>
          </w:p>
        </w:tc>
      </w:tr>
      <w:tr xmlns:wp14="http://schemas.microsoft.com/office/word/2010/wordml" w:rsidTr="2FB21A21" w14:paraId="2588F603" wp14:textId="77777777">
        <w:tc>
          <w:tcPr>
            <w:tcW w:w="420" w:type="dxa"/>
            <w:tcBorders>
              <w:top w:val="none"/>
              <w:left w:val="none"/>
              <w:bottom w:val="none"/>
              <w:right w:val="none"/>
            </w:tcBorders>
            <w:tcMar>
              <w:top w:w="60" w:type="dxa"/>
              <w:left w:w="20" w:type="dxa"/>
              <w:bottom w:w="60" w:type="dxa"/>
              <w:right w:w="120" w:type="dxa"/>
            </w:tcMar>
          </w:tcPr>
          <w:tbl>
            <w:tblPr>
              <w:tblW w:w="280" w:type="dxa"/>
              <w:tblBorders>
                <w:top w:val="single" w:color="404040" w:sz="6"/>
                <w:left w:val="single" w:color="404040" w:sz="6"/>
                <w:bottom w:val="single" w:color="404040" w:sz="6"/>
                <w:right w:val="single" w:color="404040" w:sz="6"/>
                <w:insideH w:val="none"/>
                <w:insideV w:val="none"/>
              </w:tblBorders>
            </w:tblPr>
            <w:tblGrid>
              <w:gridCol w:w="280"/>
            </w:tblGrid>
            <w:tr w14:paraId="0D0B940D" wp14:textId="77777777">
              <w:trPr>
                <w:trHeight w:val="280" w:hRule="exact"/>
              </w:trPr>
              <w:tc>
                <w:tcPr>
                  <w:tcW w:w="280" w:type="dxa"/>
                  <w:tcMar>
                    <w:top w:w="0" w:type="dxa"/>
                    <w:left w:w="0" w:type="dxa"/>
                    <w:bottom w:w="0" w:type="dxa"/>
                    <w:right w:w="0" w:type="dxa"/>
                  </w:tcMar>
                </w:tcPr>
                <w:p w14:paraId="0E27B00A" wp14:textId="77777777">
                  <w:pPr>
                    <w:spacing w:before="0" w:after="0"/>
                  </w:pPr>
                  <w:r>
                    <w:rPr>
                      <w:sz w:val="2"/>
                      <w:szCs w:val="2"/>
                    </w:rPr>
                  </w:r>
                </w:p>
              </w:tc>
            </w:tr>
          </w:tbl>
          <w:p w14:paraId="60061E4C" wp14:textId="77777777">
            <w:pPr>
              <w:spacing w:after="0"/>
            </w:pPr>
            <w:r>
              <w:rPr>
                <w:sz w:val="2"/>
                <w:szCs w:val="2"/>
              </w:rPr>
            </w:r>
          </w:p>
        </w:tc>
        <w:tc>
          <w:tcPr>
            <w:tcW w:w="8606" w:type="dxa"/>
            <w:tcBorders>
              <w:top w:val="none"/>
              <w:left w:val="none"/>
              <w:bottom w:val="none"/>
              <w:right w:val="none"/>
            </w:tcBorders>
            <w:tcMar>
              <w:top w:w="60" w:type="dxa"/>
              <w:left w:w="160" w:type="dxa"/>
              <w:bottom w:w="60" w:type="dxa"/>
              <w:right w:w="60" w:type="dxa"/>
            </w:tcMar>
          </w:tcPr>
          <w:p w14:paraId="0F7B7C93" wp14:textId="77777777">
            <w:pPr>
              <w:spacing w:before="40" w:after="40" w:line="250" w:lineRule="auto"/>
            </w:pPr>
            <w:r w:rsidRPr="2FB21A21" w:rsidR="2FB21A21">
              <w:rPr>
                <w:rFonts w:ascii="Calibri" w:hAnsi="Calibri" w:eastAsia="Calibri" w:cs="Calibri"/>
                <w:b w:val="1"/>
                <w:bCs w:val="1"/>
                <w:color w:val="000000"/>
                <w:sz w:val="19"/>
                <w:szCs w:val="19"/>
                <w:lang w:val="en-US"/>
              </w:rPr>
              <w:t>Zustimmung mit Auflagen.</w:t>
            </w:r>
          </w:p>
          <w:p w14:paraId="194DED92" wp14:textId="77777777">
            <w:pPr>
              <w:spacing w:before="40" w:after="40" w:line="250" w:lineRule="auto"/>
            </w:pPr>
            <w:r w:rsidRPr="2FB21A21" w:rsidR="2FB21A21">
              <w:rPr>
                <w:rFonts w:ascii="Calibri" w:hAnsi="Calibri" w:eastAsia="Calibri" w:cs="Calibri"/>
                <w:color w:val="595959"/>
                <w:sz w:val="18"/>
                <w:szCs w:val="18"/>
                <w:lang w:val="en-US"/>
              </w:rPr>
              <w:t>Auflagen: ______________________________________________________________________________________</w:t>
            </w:r>
          </w:p>
        </w:tc>
      </w:tr>
      <w:tr xmlns:wp14="http://schemas.microsoft.com/office/word/2010/wordml" w:rsidTr="2FB21A21" w14:paraId="5E96D399" wp14:textId="77777777">
        <w:tc>
          <w:tcPr>
            <w:tcW w:w="420" w:type="dxa"/>
            <w:tcBorders>
              <w:top w:val="none"/>
              <w:left w:val="none"/>
              <w:bottom w:val="none"/>
              <w:right w:val="none"/>
            </w:tcBorders>
            <w:tcMar>
              <w:top w:w="60" w:type="dxa"/>
              <w:left w:w="20" w:type="dxa"/>
              <w:bottom w:w="60" w:type="dxa"/>
              <w:right w:w="120" w:type="dxa"/>
            </w:tcMar>
          </w:tcPr>
          <w:tbl>
            <w:tblPr>
              <w:tblW w:w="280" w:type="dxa"/>
              <w:tblBorders>
                <w:top w:val="single" w:color="404040" w:sz="6"/>
                <w:left w:val="single" w:color="404040" w:sz="6"/>
                <w:bottom w:val="single" w:color="404040" w:sz="6"/>
                <w:right w:val="single" w:color="404040" w:sz="6"/>
                <w:insideH w:val="none"/>
                <w:insideV w:val="none"/>
              </w:tblBorders>
            </w:tblPr>
            <w:tblGrid>
              <w:gridCol w:w="280"/>
            </w:tblGrid>
            <w:tr w14:paraId="44EAFD9C" wp14:textId="77777777">
              <w:trPr>
                <w:trHeight w:val="280" w:hRule="exact"/>
              </w:trPr>
              <w:tc>
                <w:tcPr>
                  <w:tcW w:w="280" w:type="dxa"/>
                  <w:tcMar>
                    <w:top w:w="0" w:type="dxa"/>
                    <w:left w:w="0" w:type="dxa"/>
                    <w:bottom w:w="0" w:type="dxa"/>
                    <w:right w:w="0" w:type="dxa"/>
                  </w:tcMar>
                </w:tcPr>
                <w:p w14:paraId="4B94D5A5" wp14:textId="77777777">
                  <w:pPr>
                    <w:spacing w:before="0" w:after="0"/>
                  </w:pPr>
                  <w:r>
                    <w:rPr>
                      <w:sz w:val="2"/>
                      <w:szCs w:val="2"/>
                    </w:rPr>
                  </w:r>
                </w:p>
              </w:tc>
            </w:tr>
          </w:tbl>
          <w:p w14:paraId="3DEEC669" wp14:textId="77777777">
            <w:pPr>
              <w:spacing w:after="0"/>
            </w:pPr>
            <w:r>
              <w:rPr>
                <w:sz w:val="2"/>
                <w:szCs w:val="2"/>
              </w:rPr>
            </w:r>
          </w:p>
        </w:tc>
        <w:tc>
          <w:tcPr>
            <w:tcW w:w="8606" w:type="dxa"/>
            <w:tcBorders>
              <w:top w:val="none"/>
              <w:left w:val="none"/>
              <w:bottom w:val="none"/>
              <w:right w:val="none"/>
            </w:tcBorders>
            <w:tcMar>
              <w:top w:w="60" w:type="dxa"/>
              <w:left w:w="160" w:type="dxa"/>
              <w:bottom w:w="60" w:type="dxa"/>
              <w:right w:w="60" w:type="dxa"/>
            </w:tcMar>
          </w:tcPr>
          <w:p w14:paraId="1E28A690" wp14:textId="77777777">
            <w:pPr>
              <w:spacing w:before="40" w:after="40" w:line="250" w:lineRule="auto"/>
            </w:pPr>
            <w:r w:rsidRPr="2FB21A21" w:rsidR="2FB21A21">
              <w:rPr>
                <w:rFonts w:ascii="Calibri" w:hAnsi="Calibri" w:eastAsia="Calibri" w:cs="Calibri"/>
                <w:b w:val="1"/>
                <w:bCs w:val="1"/>
                <w:color w:val="000000"/>
                <w:sz w:val="19"/>
                <w:szCs w:val="19"/>
                <w:lang w:val="en-US"/>
              </w:rPr>
              <w:t>Ablehnung — Rückbau auf den Konzernstandard.</w:t>
            </w:r>
          </w:p>
          <w:p w14:paraId="4716F32A" wp14:textId="77777777">
            <w:pPr>
              <w:spacing w:before="40" w:after="40" w:line="250" w:lineRule="auto"/>
            </w:pPr>
            <w:r w:rsidRPr="2FB21A21" w:rsidR="2FB21A21">
              <w:rPr>
                <w:rFonts w:ascii="Calibri" w:hAnsi="Calibri" w:eastAsia="Calibri" w:cs="Calibri"/>
                <w:color w:val="595959"/>
                <w:sz w:val="18"/>
                <w:szCs w:val="18"/>
                <w:lang w:val="en-US"/>
              </w:rPr>
              <w:t>Folge: Das Projekt ILP wechselt auf Azure Cache for Redis oder Azure Managed Redis; nach Schätzung des Umsetzungspartners 15 Personentage zuzüglich Optimierungsaufwand. Der Rückbau wird als Vorhaben beauftragt und finanziert; das Projekt ILP verzögert sich entsprechend.</w:t>
            </w:r>
          </w:p>
        </w:tc>
      </w:tr>
      <w:tr xmlns:wp14="http://schemas.microsoft.com/office/word/2010/wordml" w:rsidTr="2FB21A21" w14:paraId="28909E8A" wp14:textId="77777777">
        <w:tc>
          <w:tcPr>
            <w:tcW w:w="420" w:type="dxa"/>
            <w:tcBorders>
              <w:top w:val="none"/>
              <w:left w:val="none"/>
              <w:bottom w:val="none"/>
              <w:right w:val="none"/>
            </w:tcBorders>
            <w:tcMar>
              <w:top w:w="60" w:type="dxa"/>
              <w:left w:w="20" w:type="dxa"/>
              <w:bottom w:w="60" w:type="dxa"/>
              <w:right w:w="120" w:type="dxa"/>
            </w:tcMar>
          </w:tcPr>
          <w:tbl>
            <w:tblPr>
              <w:tblW w:w="280" w:type="dxa"/>
              <w:tblBorders>
                <w:top w:val="single" w:color="404040" w:sz="6"/>
                <w:left w:val="single" w:color="404040" w:sz="6"/>
                <w:bottom w:val="single" w:color="404040" w:sz="6"/>
                <w:right w:val="single" w:color="404040" w:sz="6"/>
                <w:insideH w:val="none"/>
                <w:insideV w:val="none"/>
              </w:tblBorders>
            </w:tblPr>
            <w:tblGrid>
              <w:gridCol w:w="280"/>
            </w:tblGrid>
            <w:tr w14:paraId="3656B9AB" wp14:textId="77777777">
              <w:trPr>
                <w:trHeight w:val="280" w:hRule="exact"/>
              </w:trPr>
              <w:tc>
                <w:tcPr>
                  <w:tcW w:w="280" w:type="dxa"/>
                  <w:tcMar>
                    <w:top w:w="0" w:type="dxa"/>
                    <w:left w:w="0" w:type="dxa"/>
                    <w:bottom w:w="0" w:type="dxa"/>
                    <w:right w:w="0" w:type="dxa"/>
                  </w:tcMar>
                </w:tcPr>
                <w:p w14:paraId="45FB0818" wp14:textId="77777777">
                  <w:pPr>
                    <w:spacing w:before="0" w:after="0"/>
                  </w:pPr>
                  <w:r>
                    <w:rPr>
                      <w:sz w:val="2"/>
                      <w:szCs w:val="2"/>
                    </w:rPr>
                  </w:r>
                </w:p>
              </w:tc>
            </w:tr>
          </w:tbl>
          <w:p w14:paraId="049F31CB" wp14:textId="77777777">
            <w:pPr>
              <w:spacing w:after="0"/>
            </w:pPr>
            <w:r>
              <w:rPr>
                <w:sz w:val="2"/>
                <w:szCs w:val="2"/>
              </w:rPr>
            </w:r>
          </w:p>
        </w:tc>
        <w:tc>
          <w:tcPr>
            <w:tcW w:w="8606" w:type="dxa"/>
            <w:tcBorders>
              <w:top w:val="none"/>
              <w:left w:val="none"/>
              <w:bottom w:val="none"/>
              <w:right w:val="none"/>
            </w:tcBorders>
            <w:tcMar>
              <w:top w:w="60" w:type="dxa"/>
              <w:left w:w="160" w:type="dxa"/>
              <w:bottom w:w="60" w:type="dxa"/>
              <w:right w:w="60" w:type="dxa"/>
            </w:tcMar>
          </w:tcPr>
          <w:p w14:paraId="670DAD57" wp14:textId="77777777">
            <w:pPr>
              <w:spacing w:before="40" w:after="40" w:line="250" w:lineRule="auto"/>
            </w:pPr>
            <w:r w:rsidRPr="2FB21A21" w:rsidR="2FB21A21">
              <w:rPr>
                <w:rFonts w:ascii="Calibri" w:hAnsi="Calibri" w:eastAsia="Calibri" w:cs="Calibri"/>
                <w:b w:val="1"/>
                <w:bCs w:val="1"/>
                <w:color w:val="000000"/>
                <w:sz w:val="19"/>
                <w:szCs w:val="19"/>
                <w:lang w:val="en-US"/>
              </w:rPr>
              <w:t>Vertagung — weitere Unterlagen erforderlich.</w:t>
            </w:r>
          </w:p>
          <w:p w14:paraId="5535D751" wp14:textId="77777777">
            <w:pPr>
              <w:spacing w:before="40" w:after="40" w:line="250" w:lineRule="auto"/>
            </w:pPr>
            <w:r w:rsidRPr="2FB21A21" w:rsidR="2FB21A21">
              <w:rPr>
                <w:rFonts w:ascii="Calibri" w:hAnsi="Calibri" w:eastAsia="Calibri" w:cs="Calibri"/>
                <w:color w:val="595959"/>
                <w:sz w:val="18"/>
                <w:szCs w:val="18"/>
                <w:lang w:val="en-US"/>
              </w:rPr>
              <w:t>Erforderlich: ___________________________________________________________________________________</w:t>
            </w:r>
          </w:p>
        </w:tc>
      </w:tr>
    </w:tbl>
    <w:p xmlns:wp14="http://schemas.microsoft.com/office/word/2010/wordml" w14:paraId="53128261" wp14:textId="77777777">
      <w:pPr>
        <w:spacing w:after="260"/>
      </w:pPr>
      <w:r>
        <w:rPr>
          <w:sz w:val="12"/>
          <w:szCs w:val="12"/>
        </w:rPr>
      </w:r>
    </w:p>
    <w:tbl>
      <w:tblPr>
        <w:tblW w:w="9026" w:type="dxa"/>
        <w:tblBorders>
          <w:top w:val="none"/>
          <w:left w:val="none"/>
          <w:bottom w:val="none"/>
          <w:right w:val="none"/>
          <w:insideH w:val="none"/>
          <w:insideV w:val="none"/>
        </w:tblBorders>
      </w:tblPr>
      <w:tblGrid>
        <w:gridCol w:w="4513"/>
        <w:gridCol w:w="4513"/>
      </w:tblGrid>
      <w:tr xmlns:wp14="http://schemas.microsoft.com/office/word/2010/wordml" w:rsidTr="2FB21A21" w14:paraId="07F8120E" wp14:textId="77777777">
        <w:tc>
          <w:tcPr>
            <w:tcW w:w="4513" w:type="dxa"/>
            <w:tcMar>
              <w:top w:w="60" w:type="dxa"/>
              <w:left w:w="0" w:type="dxa"/>
              <w:bottom w:w="60" w:type="dxa"/>
              <w:right w:w="220" w:type="dxa"/>
            </w:tcMar>
          </w:tcPr>
          <w:p w14:paraId="62486C05" wp14:textId="77777777">
            <w:pPr>
              <w:spacing w:after="0"/>
            </w:pPr>
            <w:r>
              <w:rPr>
                <w:sz w:val="20"/>
                <w:szCs w:val="20"/>
              </w:rPr>
            </w:r>
          </w:p>
          <w:p w14:paraId="4101652C" wp14:textId="77777777">
            <w:pPr>
              <w:pBdr>
                <w:bottom w:val="single" w:color="404040" w:sz="6"/>
              </w:pBdr>
              <w:spacing w:before="420" w:after="40"/>
            </w:pPr>
            <w:r>
              <w:rPr>
                <w:sz w:val="2"/>
                <w:szCs w:val="2"/>
              </w:rPr>
            </w:r>
          </w:p>
          <w:p w14:paraId="4579B2B6" wp14:textId="77777777">
            <w:pPr>
              <w:spacing w:after="20"/>
            </w:pPr>
            <w:r>
              <w:rPr>
                <w:rFonts w:ascii="Calibri" w:hAnsi="Calibri" w:eastAsia="Calibri" w:cs="Calibri"/>
                <w:sz w:val="18"/>
                <w:szCs w:val="18"/>
              </w:rPr>
              <w:t xml:space="preserve">Ort, Datum</w:t>
            </w:r>
          </w:p>
          <w:p w14:paraId="4B99056E" wp14:textId="77777777">
            <w:pPr>
              <w:spacing w:after="0"/>
            </w:pPr>
            <w:r>
              <w:rPr>
                <w:rFonts w:ascii="Calibri" w:hAnsi="Calibri" w:eastAsia="Calibri" w:cs="Calibri"/>
                <w:color w:val="595959"/>
                <w:sz w:val="16"/>
                <w:szCs w:val="16"/>
              </w:rPr>
            </w:r>
          </w:p>
        </w:tc>
        <w:tc>
          <w:tcPr>
            <w:tcW w:w="4513" w:type="dxa"/>
            <w:tcMar>
              <w:top w:w="60" w:type="dxa"/>
              <w:left w:w="0" w:type="dxa"/>
              <w:bottom w:w="60" w:type="dxa"/>
              <w:right w:w="220" w:type="dxa"/>
            </w:tcMar>
          </w:tcPr>
          <w:p w14:paraId="1299C43A" wp14:textId="77777777">
            <w:pPr>
              <w:spacing w:after="0"/>
            </w:pPr>
            <w:r>
              <w:rPr>
                <w:sz w:val="20"/>
                <w:szCs w:val="20"/>
              </w:rPr>
            </w:r>
          </w:p>
          <w:p w14:paraId="4DDBEF00" wp14:textId="77777777">
            <w:pPr>
              <w:pBdr>
                <w:bottom w:val="single" w:color="404040" w:sz="6"/>
              </w:pBdr>
              <w:spacing w:before="420" w:after="40"/>
            </w:pPr>
            <w:r>
              <w:rPr>
                <w:sz w:val="2"/>
                <w:szCs w:val="2"/>
              </w:rPr>
            </w:r>
          </w:p>
          <w:p w14:paraId="72ABB092" wp14:textId="77777777">
            <w:pPr>
              <w:spacing w:after="20"/>
            </w:pPr>
            <w:r w:rsidRPr="2FB21A21" w:rsidR="2FB21A21">
              <w:rPr>
                <w:rFonts w:ascii="Calibri" w:hAnsi="Calibri" w:eastAsia="Calibri" w:cs="Calibri"/>
                <w:sz w:val="18"/>
                <w:szCs w:val="18"/>
                <w:lang w:val="en-US"/>
              </w:rPr>
              <w:t>Für den Vorstand der Amadeus Fire AG</w:t>
            </w:r>
          </w:p>
          <w:p w14:paraId="163EC04F" wp14:textId="77777777">
            <w:pPr>
              <w:spacing w:after="0"/>
            </w:pPr>
            <w:r w:rsidRPr="2FB21A21" w:rsidR="2FB21A21">
              <w:rPr>
                <w:rFonts w:ascii="Calibri" w:hAnsi="Calibri" w:eastAsia="Calibri" w:cs="Calibri"/>
                <w:color w:val="595959"/>
                <w:sz w:val="16"/>
                <w:szCs w:val="16"/>
                <w:lang w:val="en-US"/>
              </w:rPr>
              <w:t>Name in Blockschrift und Unterschrift</w:t>
            </w:r>
          </w:p>
        </w:tc>
      </w:tr>
    </w:tbl>
    <w:p xmlns:wp14="http://schemas.microsoft.com/office/word/2010/wordml" w14:paraId="3461D779" wp14:textId="77777777">
      <w:pPr>
        <w:spacing w:after="220"/>
      </w:pPr>
      <w:r>
        <w:rPr>
          <w:sz w:val="12"/>
          <w:szCs w:val="12"/>
        </w:rPr>
      </w:r>
    </w:p>
    <w:p xmlns:wp14="http://schemas.microsoft.com/office/word/2010/wordml" w14:paraId="6E9337D3" wp14:textId="77777777">
      <w:pPr>
        <w:spacing w:before="0" w:after="20" w:line="276" w:lineRule="auto"/>
      </w:pPr>
      <w:r w:rsidRPr="2FB21A21" w:rsidR="2FB21A21">
        <w:rPr>
          <w:rFonts w:ascii="Calibri" w:hAnsi="Calibri" w:eastAsia="Calibri" w:cs="Calibri"/>
          <w:b w:val="1"/>
          <w:bCs w:val="1"/>
          <w:sz w:val="19"/>
          <w:szCs w:val="19"/>
          <w:lang w:val="en-US"/>
        </w:rPr>
        <w:t>Zur Kenntnis genommen — Group CIO</w:t>
      </w:r>
    </w:p>
    <w:tbl>
      <w:tblPr>
        <w:tblW w:w="9026" w:type="dxa"/>
        <w:tblBorders>
          <w:top w:val="none"/>
          <w:left w:val="none"/>
          <w:bottom w:val="none"/>
          <w:right w:val="none"/>
          <w:insideH w:val="none"/>
          <w:insideV w:val="none"/>
        </w:tblBorders>
      </w:tblPr>
      <w:tblGrid>
        <w:gridCol w:w="4513"/>
        <w:gridCol w:w="4513"/>
      </w:tblGrid>
      <w:tr xmlns:wp14="http://schemas.microsoft.com/office/word/2010/wordml" w:rsidTr="2FB21A21" w14:paraId="55B514EA" wp14:textId="77777777">
        <w:tc>
          <w:tcPr>
            <w:tcW w:w="4513" w:type="dxa"/>
            <w:tcMar>
              <w:top w:w="60" w:type="dxa"/>
              <w:left w:w="0" w:type="dxa"/>
              <w:bottom w:w="60" w:type="dxa"/>
              <w:right w:w="220" w:type="dxa"/>
            </w:tcMar>
          </w:tcPr>
          <w:p w14:paraId="3CF2D8B6" wp14:textId="77777777">
            <w:pPr>
              <w:spacing w:after="0"/>
            </w:pPr>
            <w:r>
              <w:rPr>
                <w:sz w:val="20"/>
                <w:szCs w:val="20"/>
              </w:rPr>
            </w:r>
          </w:p>
          <w:p w14:paraId="0FB78278" wp14:textId="77777777">
            <w:pPr>
              <w:pBdr>
                <w:bottom w:val="single" w:color="404040" w:sz="6"/>
              </w:pBdr>
              <w:spacing w:before="420" w:after="40"/>
            </w:pPr>
            <w:r>
              <w:rPr>
                <w:sz w:val="2"/>
                <w:szCs w:val="2"/>
              </w:rPr>
            </w:r>
          </w:p>
          <w:p w14:paraId="6485EBAE" wp14:textId="77777777">
            <w:pPr>
              <w:spacing w:after="20"/>
            </w:pPr>
            <w:r>
              <w:rPr>
                <w:rFonts w:ascii="Calibri" w:hAnsi="Calibri" w:eastAsia="Calibri" w:cs="Calibri"/>
                <w:sz w:val="18"/>
                <w:szCs w:val="18"/>
              </w:rPr>
              <w:t xml:space="preserve">Dr. Thomas Kretzberg, Group CIO</w:t>
            </w:r>
          </w:p>
          <w:p w14:paraId="21C668F3" wp14:textId="77777777">
            <w:pPr>
              <w:spacing w:after="0"/>
            </w:pPr>
            <w:r w:rsidRPr="2FB21A21" w:rsidR="2FB21A21">
              <w:rPr>
                <w:rFonts w:ascii="Calibri" w:hAnsi="Calibri" w:eastAsia="Calibri" w:cs="Calibri"/>
                <w:color w:val="595959"/>
                <w:sz w:val="16"/>
                <w:szCs w:val="16"/>
                <w:lang w:val="en-US"/>
              </w:rPr>
              <w:t>Datum und Unterschrift</w:t>
            </w:r>
          </w:p>
        </w:tc>
        <w:tc>
          <w:tcPr>
            <w:tcW w:w="4513" w:type="dxa"/>
            <w:tcMar>
              <w:top w:w="60" w:type="dxa"/>
              <w:left w:w="0" w:type="dxa"/>
              <w:bottom w:w="60" w:type="dxa"/>
              <w:right w:w="220" w:type="dxa"/>
            </w:tcMar>
          </w:tcPr>
          <w:p w14:paraId="1FC39945" wp14:textId="77777777">
            <w:r>
              <w:rPr>
                <w:sz w:val="2"/>
                <w:szCs w:val="2"/>
              </w:rPr>
            </w:r>
          </w:p>
        </w:tc>
      </w:tr>
    </w:tbl>
    <w:p xmlns:wp14="http://schemas.microsoft.com/office/word/2010/wordml" w14:paraId="0562CB0E" wp14:textId="77777777">
      <w:pPr>
        <w:spacing w:after="240"/>
      </w:pPr>
      <w:r>
        <w:rPr>
          <w:sz w:val="12"/>
          <w:szCs w:val="12"/>
        </w:rPr>
      </w:r>
    </w:p>
    <w:p xmlns:wp14="http://schemas.microsoft.com/office/word/2010/wordml" w14:paraId="34CE0A41" wp14:textId="77777777">
      <w:pPr>
        <w:pBdr>
          <w:bottom w:val="single" w:color="09C4BF" w:sz="6"/>
        </w:pBdr>
        <w:spacing w:before="60" w:after="120"/>
      </w:pPr>
      <w:r>
        <w:rPr>
          <w:sz w:val="2"/>
          <w:szCs w:val="2"/>
        </w:rPr>
      </w:r>
    </w:p>
    <w:p xmlns:wp14="http://schemas.microsoft.com/office/word/2010/wordml" w14:paraId="2BC80F55" wp14:textId="77777777">
      <w:pPr>
        <w:pStyle w:val="Heading3"/>
        <w:spacing w:before="240" w:after="100"/>
      </w:pPr>
      <w:r w:rsidRPr="2FB21A21" w:rsidR="2FB21A21">
        <w:rPr>
          <w:rFonts w:ascii="Calibri" w:hAnsi="Calibri" w:eastAsia="Calibri" w:cs="Calibri"/>
          <w:b w:val="1"/>
          <w:bCs w:val="1"/>
          <w:sz w:val="22"/>
          <w:szCs w:val="22"/>
          <w:lang w:val="en-US"/>
        </w:rPr>
        <w:t>Quellen</w:t>
      </w:r>
    </w:p>
    <w:p xmlns:wp14="http://schemas.microsoft.com/office/word/2010/wordml" w14:paraId="3557C2EF" wp14:textId="77777777">
      <w:pPr>
        <w:spacing w:before="0" w:after="120" w:line="276" w:lineRule="auto"/>
      </w:pPr>
      <w:r w:rsidRPr="2FB21A21" w:rsidR="2FB21A21">
        <w:rPr>
          <w:rFonts w:ascii="Calibri" w:hAnsi="Calibri" w:eastAsia="Calibri" w:cs="Calibri"/>
          <w:color w:val="595959"/>
          <w:sz w:val="18"/>
          <w:szCs w:val="18"/>
          <w:lang w:val="en-US"/>
        </w:rPr>
        <w:t>Microsoft Learn, „Azure Managed Redis architecture" · DragonflyDB, Projektdokumentation und Lizenztext (Business Source License 1.1) · Föderale IT-Governance, Entwurf 0.8, Folie 41. Geprüft am 01.09.2026.</w:t>
      </w:r>
    </w:p>
    <w:sectPr>
      <w:headerReference w:type="default" r:id="rId7"/>
      <w:footerReference w:type="default" r:id="rId8"/>
      <w:pgSz w:w="11906" w:h="16838" w:orient="portrait"/>
      <w:pgMar w:top="1200" w:right="1440" w:bottom="120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rsidP="2FB21A21" w14:paraId="22B1F721" wp14:textId="77777777">
    <w:pPr>
      <w:jc w:val="right"/>
      <w:rPr>
        <w:lang w:val="en-US"/>
      </w:rPr>
    </w:pPr>
    <w:r w:rsidRPr="2FB21A21" w:rsidR="2FB21A21">
      <w:rPr>
        <w:rFonts w:ascii="Calibri" w:hAnsi="Calibri" w:eastAsia="Calibri" w:cs="Calibri"/>
        <w:color w:val="595959"/>
        <w:sz w:val="16"/>
        <w:szCs w:val="16"/>
        <w:lang w:val="en-US"/>
      </w:rPr>
      <w:t xml:space="preserve">Seite </w:t>
    </w:r>
    <w:r w:rsidRPr="2FB21A21">
      <w:rPr>
        <w:rFonts w:ascii="Calibri" w:hAnsi="Calibri" w:eastAsia="Calibri" w:cs="Calibri"/>
        <w:color w:val="595959"/>
        <w:sz w:val="16"/>
        <w:szCs w:val="16"/>
        <w:lang w:val="en-US"/>
      </w:rPr>
      <w:fldChar w:fldCharType="begin"/>
    </w:r>
    <w:r w:rsidRPr="2FB21A21">
      <w:rPr>
        <w:rFonts w:ascii="Calibri" w:hAnsi="Calibri" w:eastAsia="Calibri" w:cs="Calibri"/>
        <w:color w:val="595959"/>
        <w:sz w:val="16"/>
        <w:szCs w:val="16"/>
      </w:rPr>
      <w:instrText xml:space="preserve">PAGE</w:instrText>
    </w:r>
    <w:r w:rsidRPr="2FB21A21">
      <w:rPr>
        <w:rFonts w:ascii="Calibri" w:hAnsi="Calibri" w:eastAsia="Calibri" w:cs="Calibri"/>
        <w:color w:val="595959"/>
        <w:sz w:val="16"/>
        <w:szCs w:val="16"/>
      </w:rPr>
      <w:fldChar w:fldCharType="separate"/>
    </w:r>
    <w:r w:rsidRPr="2FB21A21">
      <w:rPr>
        <w:rFonts w:ascii="Calibri" w:hAnsi="Calibri" w:eastAsia="Calibri" w:cs="Calibri"/>
        <w:color w:val="595959"/>
        <w:sz w:val="16"/>
        <w:szCs w:val="16"/>
        <w:lang w:val="en-US"/>
      </w:rPr>
      <w:fldChar w:fldCharType="end"/>
    </w:r>
    <w:r w:rsidRPr="2FB21A21" w:rsidR="2FB21A21">
      <w:rPr>
        <w:rFonts w:ascii="Calibri" w:hAnsi="Calibri" w:eastAsia="Calibri" w:cs="Calibri"/>
        <w:color w:val="595959"/>
        <w:sz w:val="16"/>
        <w:szCs w:val="16"/>
        <w:lang w:val="en-US"/>
      </w:rPr>
      <w:t xml:space="preserve"> von </w:t>
    </w:r>
    <w:r w:rsidRPr="2FB21A21">
      <w:rPr>
        <w:rFonts w:ascii="Calibri" w:hAnsi="Calibri" w:eastAsia="Calibri" w:cs="Calibri"/>
        <w:color w:val="595959"/>
        <w:sz w:val="16"/>
        <w:szCs w:val="16"/>
        <w:lang w:val="en-US"/>
      </w:rPr>
      <w:fldChar w:fldCharType="begin"/>
    </w:r>
    <w:r w:rsidRPr="2FB21A21">
      <w:rPr>
        <w:rFonts w:ascii="Calibri" w:hAnsi="Calibri" w:eastAsia="Calibri" w:cs="Calibri"/>
        <w:color w:val="595959"/>
        <w:sz w:val="16"/>
        <w:szCs w:val="16"/>
      </w:rPr>
      <w:instrText xml:space="preserve">NUMPAGES</w:instrText>
    </w:r>
    <w:r w:rsidRPr="2FB21A21">
      <w:rPr>
        <w:rFonts w:ascii="Calibri" w:hAnsi="Calibri" w:eastAsia="Calibri" w:cs="Calibri"/>
        <w:color w:val="595959"/>
        <w:sz w:val="16"/>
        <w:szCs w:val="16"/>
      </w:rPr>
      <w:fldChar w:fldCharType="separate"/>
    </w:r>
    <w:r w:rsidRPr="2FB21A21">
      <w:rPr>
        <w:rFonts w:ascii="Calibri" w:hAnsi="Calibri" w:eastAsia="Calibri" w:cs="Calibri"/>
        <w:color w:val="595959"/>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rsidP="2FB21A21" w14:paraId="6BBC101E" wp14:textId="77777777">
    <w:pPr>
      <w:pBdr>
        <w:bottom w:val="single" w:color="D9D9D9" w:sz="4" w:space="0"/>
      </w:pBdr>
      <w:spacing w:after="100"/>
      <w:jc w:val="right"/>
    </w:pPr>
    <w:r w:rsidRPr="2FB21A21" w:rsidR="2FB21A21">
      <w:rPr>
        <w:rFonts w:ascii="Calibri" w:hAnsi="Calibri" w:eastAsia="Calibri" w:cs="Calibri"/>
        <w:color w:val="595959"/>
        <w:sz w:val="16"/>
        <w:szCs w:val="16"/>
        <w:lang w:val="en-US"/>
      </w:rPr>
      <w:t>Waiver-Antrag 2 · DragonflyDB · Projekt ILP · 01.09.2026 · vertraulich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eac7001"/>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13a8ed8"/>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2FB21A21"/>
    <w:rsid w:val="2FB21A21"/>
    <w:rsid w:val="52BA2117"/>
    <w:rsid w:val="59868823"/>
    <w:rsid w:val="59F1C9F4"/>
    <w:rsid w:val="64239B23"/>
    <w:rsid w:val="79B593BA"/>
    <w:rsid w:val="7A968D67"/>
    <w:rsid w:val="7EB42568"/>
  </w:rsids>
  <w14:docId w14:val="2E46221E"/>
  <w15:docId w15:val="{B3EBEF96-73B7-41B5-8170-5436E4B5559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header" Target="header1.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customXml" Target="../customXml/item1.xml" Id="rId10" /><Relationship Type="http://schemas.openxmlformats.org/officeDocument/2006/relationships/fontTable" Target="fontTable.xml" Id="rId9"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B105CD31D44D545838C67E13B3B8321" ma:contentTypeVersion="5" ma:contentTypeDescription="Ein neues Dokument erstellen." ma:contentTypeScope="" ma:versionID="9774b6a286f2902fc3e9192874467080">
  <xsd:schema xmlns:xsd="http://www.w3.org/2001/XMLSchema" xmlns:xs="http://www.w3.org/2001/XMLSchema" xmlns:p="http://schemas.microsoft.com/office/2006/metadata/properties" xmlns:ns2="64bbc66d-e05e-443d-afbf-73838fb9d0a2" xmlns:ns3="b3292797-695a-44da-ad9e-103626f49969" xmlns:ns4="bded290e-31f0-4cf9-b11d-4900c63fbab6" xmlns:ns5="d7ab27d2-00c8-492e-a0e6-8e5b1d2f8e42" targetNamespace="http://schemas.microsoft.com/office/2006/metadata/properties" ma:root="true" ma:fieldsID="095299ae0d55ee6b9c5d58dfe2768eca" ns2:_="" ns3:_="" ns4:_="" ns5:_="">
    <xsd:import namespace="64bbc66d-e05e-443d-afbf-73838fb9d0a2"/>
    <xsd:import namespace="b3292797-695a-44da-ad9e-103626f49969"/>
    <xsd:import namespace="bded290e-31f0-4cf9-b11d-4900c63fbab6"/>
    <xsd:import namespace="d7ab27d2-00c8-492e-a0e6-8e5b1d2f8e4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MediaServiceOCR" minOccurs="0"/>
                <xsd:element ref="ns2:MediaServiceSearchProperties" minOccurs="0"/>
                <xsd:element ref="ns2:MediaServiceDateTaken" minOccurs="0"/>
                <xsd:element ref="ns4:MediaServiceBillingMetadata" minOccurs="0"/>
                <xsd:element ref="ns4:lcf76f155ced4ddcb4097134ff3c332f" minOccurs="0"/>
                <xsd:element ref="ns5: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bbc66d-e05e-443d-afbf-73838fb9d0a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3292797-695a-44da-ad9e-103626f49969" elementFormDefault="qualified">
    <xsd:import namespace="http://schemas.microsoft.com/office/2006/documentManagement/types"/>
    <xsd:import namespace="http://schemas.microsoft.com/office/infopath/2007/PartnerControls"/>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ded290e-31f0-4cf9-b11d-4900c63fbab6" elementFormDefault="qualified">
    <xsd:import namespace="http://schemas.microsoft.com/office/2006/documentManagement/types"/>
    <xsd:import namespace="http://schemas.microsoft.com/office/infopath/2007/PartnerControls"/>
    <xsd:element name="MediaServiceBillingMetadata" ma:index="19" nillable="true" ma:displayName="MediaServiceBillingMetadata" ma:hidden="true" ma:internalName="MediaServiceBillingMetadata" ma:readOnly="true">
      <xsd:simpleType>
        <xsd:restriction base="dms:Note"/>
      </xsd:simpleType>
    </xsd:element>
    <xsd:element name="lcf76f155ced4ddcb4097134ff3c332f" ma:index="21" nillable="true" ma:taxonomy="true" ma:internalName="lcf76f155ced4ddcb4097134ff3c332f" ma:taxonomyFieldName="MediaServiceImageTags" ma:displayName="Bildmarkierungen" ma:readOnly="false" ma:fieldId="{5cf76f15-5ced-4ddc-b409-7134ff3c332f}" ma:taxonomyMulti="true" ma:sspId="f3e62d2f-5509-4861-b82e-f54b42716e8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7ab27d2-00c8-492e-a0e6-8e5b1d2f8e42"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62767f31-d572-448a-a27f-27d511c54201}" ma:internalName="TaxCatchAll" ma:showField="CatchAllData" ma:web="d7ab27d2-00c8-492e-a0e6-8e5b1d2f8e4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ded290e-31f0-4cf9-b11d-4900c63fbab6">
      <Terms xmlns="http://schemas.microsoft.com/office/infopath/2007/PartnerControls"/>
    </lcf76f155ced4ddcb4097134ff3c332f>
    <TaxCatchAll xmlns="d7ab27d2-00c8-492e-a0e6-8e5b1d2f8e42" xsi:nil="true"/>
  </documentManagement>
</p:properties>
</file>

<file path=customXml/itemProps1.xml><?xml version="1.0" encoding="utf-8"?>
<ds:datastoreItem xmlns:ds="http://schemas.openxmlformats.org/officeDocument/2006/customXml" ds:itemID="{1DCBFD34-FEF3-49B4-8016-E8A4C6C7B64E}"/>
</file>

<file path=customXml/itemProps2.xml><?xml version="1.0" encoding="utf-8"?>
<ds:datastoreItem xmlns:ds="http://schemas.openxmlformats.org/officeDocument/2006/customXml" ds:itemID="{1F7B01F9-EC1F-4E74-9D66-EA661BF4D466}"/>
</file>

<file path=customXml/itemProps3.xml><?xml version="1.0" encoding="utf-8"?>
<ds:datastoreItem xmlns:ds="http://schemas.openxmlformats.org/officeDocument/2006/customXml" ds:itemID="{A94D5265-851B-43E4-B4F0-18C5F65D0C5F}"/>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Waiver-Antrag 2 — DragonflyDB im Projekt ILP</dc:title>
  <dc:creator>Nils Manegold</dc:creator>
  <lastModifiedBy>Reza Nazarian</lastModifiedBy>
  <revision>4</revision>
  <dcterms:created xsi:type="dcterms:W3CDTF">2026-09-01T16:11:01.0000000Z</dcterms:created>
  <dcterms:modified xsi:type="dcterms:W3CDTF">2026-09-02T11:18:33.9398463Z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0x010100EB105CD31D44D545838C67E13B3B8321</vt:lpwstr>
  </property>
  <property fmtid="{D5CDD505-2E9C-101B-9397-08002B2CF9AE}" pid="3" name="MediaServiceImageTags">
    <vt:lpwstr/>
  </property>
</Properties>
</file>