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商汤科技生成式ai驱动增长目标价3.2港元"/>
    <w:p>
      <w:pPr>
        <w:pStyle w:val="Heading1"/>
      </w:pPr>
      <w:r>
        <w:rPr>
          <w:rFonts w:hint="eastAsia"/>
        </w:rPr>
        <w:t xml:space="preserve">商汤科技：生成式AI驱动增长，目标价3.2港元</w:t>
      </w:r>
    </w:p>
    <w:p>
      <w:pPr>
        <w:pStyle w:val="FirstParagraph"/>
      </w:pPr>
      <w:r>
        <w:rPr>
          <w:rFonts w:hint="eastAsia"/>
        </w:rPr>
        <w:t xml:space="preserve">证券研究报告｜商汤科技00020分析</w:t>
      </w:r>
      <w:r>
        <w:br/>
      </w:r>
      <w:r>
        <w:rPr>
          <w:rFonts w:hint="eastAsia"/>
        </w:rPr>
        <w:t xml:space="preserve">发布时间：2025-07-21</w:t>
      </w:r>
      <w:r>
        <w:br/>
      </w:r>
      <w:r>
        <w:rPr>
          <w:rFonts w:hint="eastAsia"/>
        </w:rPr>
        <w:t xml:space="preserve">分析师：AI</w:t>
      </w:r>
      <w:r>
        <w:t xml:space="preserve"> Analyst</w:t>
      </w:r>
    </w:p>
    <w:bookmarkStart w:id="9" w:name="投资要点"/>
    <w:p>
      <w:pPr>
        <w:pStyle w:val="Heading2"/>
      </w:pPr>
      <w:r>
        <w:rPr>
          <w:rFonts w:hint="eastAsia"/>
        </w:rPr>
        <w:t xml:space="preserve">投资要点</w:t>
      </w:r>
    </w:p>
    <w:p>
      <w:pPr>
        <w:pStyle w:val="FirstParagraph"/>
      </w:pPr>
      <w:r>
        <w:rPr>
          <w:rFonts w:hint="eastAsia"/>
          <w:b/>
          <w:bCs/>
        </w:rPr>
        <w:t xml:space="preserve">核心观点：</w:t>
      </w:r>
      <w:r>
        <w:t xml:space="preserve"> </w:t>
      </w:r>
      <w:r>
        <w:rPr>
          <w:rFonts w:hint="eastAsia"/>
        </w:rPr>
        <w:t xml:space="preserve">商汤科技作为全球AI视觉领域领导者，通过日日新大模型等技术壁垒持续巩固市场地位，生成式AI业务2024年收入同比暴涨103.1%，驱动整体营收增长10.8%。尽管面临盈利压力，但EBITDA改善42.3%，技术代差扩大与商业化加速将推动盈利拐点临近。</w:t>
      </w:r>
    </w:p>
    <w:p>
      <w:pPr>
        <w:pStyle w:val="BodyText"/>
      </w:pPr>
      <w:r>
        <w:rPr>
          <w:rFonts w:hint="eastAsia"/>
          <w:b/>
          <w:bCs/>
        </w:rPr>
        <w:t xml:space="preserve">投资价值：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技术绝对领先</w:t>
      </w:r>
      <w:r>
        <w:rPr>
          <w:rFonts w:hint="eastAsia"/>
        </w:rPr>
        <w:t xml:space="preserve">：拥有200+AI博士团队，2024年计算机视觉市场占有率35%连续五年第一；日日新5.5模型性能超越GPT-4o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生成式AI爆发增长</w:t>
      </w:r>
      <w:r>
        <w:rPr>
          <w:rFonts w:hint="eastAsia"/>
        </w:rPr>
        <w:t xml:space="preserve">：2024年收入24.04亿元（占比63.7%），智能汽车/医疗场景渗透率达25%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智慧城市垄断优势</w:t>
      </w:r>
      <w:r>
        <w:rPr>
          <w:rFonts w:hint="eastAsia"/>
        </w:rPr>
        <w:t xml:space="preserve">：覆盖700+地铁站，轨道交通安防领域市占率近70%（2025年）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政策红利支撑</w:t>
      </w:r>
      <w:r>
        <w:rPr>
          <w:rFonts w:hint="eastAsia"/>
        </w:rPr>
        <w:t xml:space="preserve">：政府AI采购市场2024年突破2000亿元，牵头制定5项国家标准</w:t>
      </w:r>
    </w:p>
    <w:p>
      <w:pPr>
        <w:pStyle w:val="FirstParagraph"/>
      </w:pPr>
      <w:r>
        <w:rPr>
          <w:rFonts w:hint="eastAsia"/>
          <w:b/>
          <w:bCs/>
        </w:rPr>
        <w:t xml:space="preserve">风险提示：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研发投入占比105%导致2024年净亏50亿元，自由现金流尚未转正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百度/阿里合计市占率超35%，算法迭代竞争加剧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芯片进口受限等地缘政治风险</w:t>
      </w:r>
    </w:p>
    <w:p>
      <w:pPr>
        <w:pStyle w:val="FirstParagraph"/>
      </w:pPr>
      <w:r>
        <w:rPr>
          <w:rFonts w:hint="eastAsia"/>
          <w:b/>
          <w:bCs/>
        </w:rPr>
        <w:t xml:space="preserve">投资建议与目标价：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短期(6个月)</w:t>
      </w:r>
      <w:r>
        <w:rPr>
          <w:rFonts w:hint="eastAsia"/>
        </w:rPr>
        <w:t xml:space="preserve">：逢低增持（现价对应2025</w:t>
      </w:r>
      <w:r>
        <w:t xml:space="preserve"> PS </w:t>
      </w:r>
      <w:r>
        <w:rPr>
          <w:rFonts w:hint="eastAsia"/>
        </w:rPr>
        <w:t xml:space="preserve">6.1x）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中期目标价</w:t>
      </w:r>
      <w:r>
        <w:rPr>
          <w:rFonts w:hint="eastAsia"/>
        </w:rPr>
        <w:t xml:space="preserve">：3.0港元（2025</w:t>
      </w:r>
      <w:r>
        <w:t xml:space="preserve"> PS </w:t>
      </w:r>
      <w:r>
        <w:rPr>
          <w:rFonts w:hint="eastAsia"/>
        </w:rPr>
        <w:t xml:space="preserve">8.0x）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DCF目标价</w:t>
      </w:r>
      <w:r>
        <w:rPr>
          <w:rFonts w:hint="eastAsia"/>
        </w:rPr>
        <w:t xml:space="preserve">：3.2港元（+78%空间），触发点为2025Q2单季度盈亏平衡</w:t>
      </w:r>
    </w:p>
    <w:bookmarkEnd w:id="9"/>
    <w:bookmarkStart w:id="12" w:name="商汤-wai视觉领域领导者四大业务板块驱动增长"/>
    <w:p>
      <w:pPr>
        <w:pStyle w:val="Heading2"/>
      </w:pPr>
      <w:r>
        <w:t xml:space="preserve">1. </w:t>
      </w:r>
      <w:r>
        <w:rPr>
          <w:rFonts w:hint="eastAsia"/>
        </w:rPr>
        <w:t xml:space="preserve">商汤-W：AI视觉领域领导者，四大业务板块驱动增长</w:t>
      </w:r>
    </w:p>
    <w:bookmarkStart w:id="10" w:name="原创ai技术驱动四大业务板块协同发展"/>
    <w:p>
      <w:pPr>
        <w:pStyle w:val="Heading3"/>
      </w:pPr>
      <w:r>
        <w:rPr>
          <w:rFonts w:hint="eastAsia"/>
        </w:rPr>
        <w:t xml:space="preserve">原创AI技术驱动四大业务板块协同发展</w:t>
      </w:r>
    </w:p>
    <w:p>
      <w:pPr>
        <w:pStyle w:val="FirstParagraph"/>
      </w:pPr>
      <w:r>
        <w:rPr>
          <w:rFonts w:hint="eastAsia"/>
        </w:rPr>
        <w:t xml:space="preserve">商汤科技（股票代码：00020.HK）作为全球领先的人工智能软件公司，核心业务聚焦计算机视觉与深度学习技术原创研发。公司构建了以”日日新大模型+AI大装置”为核心的技术体系，形成智慧商业、智慧城市、智慧生活、智能汽车四大业务矩阵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智慧城市领域</w:t>
      </w:r>
      <w:r>
        <w:rPr>
          <w:rFonts w:hint="eastAsia"/>
        </w:rPr>
        <w:t xml:space="preserve">：覆盖全国700+地铁站，在轨道交通安防领域占据近70%市场份额（2025年数据），为城市管理提供AI中枢能力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智能汽车领域</w:t>
      </w:r>
      <w:r>
        <w:rPr>
          <w:rFonts w:hint="eastAsia"/>
        </w:rPr>
        <w:t xml:space="preserve">：绝影平台已服务多家头部车企，2024年累计装车量突破40万台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企业服务领域</w:t>
      </w:r>
      <w:r>
        <w:rPr>
          <w:rFonts w:hint="eastAsia"/>
        </w:rPr>
        <w:t xml:space="preserve">：大装置AI云服务金融、工业等客户，实现业务流程效率提升10倍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消费端应用</w:t>
      </w:r>
      <w:r>
        <w:rPr>
          <w:rFonts w:hint="eastAsia"/>
        </w:rPr>
        <w:t xml:space="preserve">：如影数字人、咔皮记账等产品累计用户超百万</w:t>
      </w:r>
    </w:p>
    <w:bookmarkEnd w:id="10"/>
    <w:bookmarkStart w:id="11" w:name="视觉ai市场绝对龙头地位持续巩固"/>
    <w:p>
      <w:pPr>
        <w:pStyle w:val="Heading3"/>
      </w:pPr>
      <w:r>
        <w:rPr>
          <w:rFonts w:hint="eastAsia"/>
        </w:rPr>
        <w:t xml:space="preserve">视觉AI市场绝对龙头地位持续巩固</w:t>
      </w:r>
    </w:p>
    <w:p>
      <w:pPr>
        <w:pStyle w:val="FirstParagraph"/>
      </w:pPr>
      <w:r>
        <w:rPr>
          <w:rFonts w:hint="eastAsia"/>
        </w:rPr>
        <w:t xml:space="preserve">在人工智能视觉领域，商汤科技保持显著领先优势：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技术壁垒</w:t>
      </w:r>
      <w:r>
        <w:rPr>
          <w:rFonts w:hint="eastAsia"/>
        </w:rPr>
        <w:t xml:space="preserve">：拥有200+AI博士研发团队，在ECCV等国际会议发表论文数量居行业首位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市场份额</w:t>
      </w:r>
      <w:r>
        <w:rPr>
          <w:rFonts w:hint="eastAsia"/>
        </w:rPr>
        <w:t xml:space="preserve">：根据IDC报告，2024年中国计算机视觉应用市场占有率超35%，连续五年位居第一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行业地位</w:t>
      </w:r>
      <w:r>
        <w:rPr>
          <w:rFonts w:hint="eastAsia"/>
        </w:rPr>
        <w:t xml:space="preserve">：对比主要竞争对手：</w:t>
      </w:r>
      <w:r>
        <w:br/>
      </w:r>
      <w:r>
        <w:t xml:space="preserve">| </w:t>
      </w:r>
      <w:r>
        <w:rPr>
          <w:rFonts w:hint="eastAsia"/>
        </w:rPr>
        <w:t xml:space="preserve">企业名称</w:t>
      </w:r>
      <w:r>
        <w:t xml:space="preserve"> | </w:t>
      </w:r>
      <w:r>
        <w:rPr>
          <w:rFonts w:hint="eastAsia"/>
        </w:rPr>
        <w:t xml:space="preserve">市值（亿）</w:t>
      </w:r>
      <w:r>
        <w:t xml:space="preserve"> | </w:t>
      </w:r>
      <w:r>
        <w:rPr>
          <w:rFonts w:hint="eastAsia"/>
        </w:rPr>
        <w:t xml:space="preserve">核心领域</w:t>
      </w:r>
      <w:r>
        <w:t xml:space="preserve"> | </w:t>
      </w:r>
      <w:r>
        <w:rPr>
          <w:rFonts w:hint="eastAsia"/>
        </w:rPr>
        <w:t xml:space="preserve">技术特点</w:t>
      </w:r>
      <w:r>
        <w:t xml:space="preserve"> |</w:t>
      </w:r>
      <w:r>
        <w:br/>
      </w:r>
      <w:r>
        <w:t xml:space="preserve">|————|————|——————–|——————-|</w:t>
      </w:r>
      <w:r>
        <w:br/>
      </w:r>
      <w:r>
        <w:t xml:space="preserve">| </w:t>
      </w:r>
      <w:r>
        <w:rPr>
          <w:rFonts w:hint="eastAsia"/>
        </w:rPr>
        <w:t xml:space="preserve">商汤-W</w:t>
      </w:r>
      <w:r>
        <w:t xml:space="preserve"> | 603 | </w:t>
      </w:r>
      <w:r>
        <w:rPr>
          <w:rFonts w:hint="eastAsia"/>
        </w:rPr>
        <w:t xml:space="preserve">全栈式AI解决方案</w:t>
      </w:r>
      <w:r>
        <w:t xml:space="preserve"> | </w:t>
      </w:r>
      <w:r>
        <w:rPr>
          <w:rFonts w:hint="eastAsia"/>
        </w:rPr>
        <w:t xml:space="preserve">原创深度学习框架</w:t>
      </w:r>
      <w:r>
        <w:t xml:space="preserve"> |</w:t>
      </w:r>
      <w:r>
        <w:br/>
      </w:r>
      <w:r>
        <w:t xml:space="preserve">| </w:t>
      </w:r>
      <w:r>
        <w:rPr>
          <w:rFonts w:hint="eastAsia"/>
        </w:rPr>
        <w:t xml:space="preserve">云从科技</w:t>
      </w:r>
      <w:r>
        <w:t xml:space="preserve"> | 82 | </w:t>
      </w:r>
      <w:r>
        <w:rPr>
          <w:rFonts w:hint="eastAsia"/>
        </w:rPr>
        <w:t xml:space="preserve">金融安防</w:t>
      </w:r>
      <w:r>
        <w:t xml:space="preserve"> | </w:t>
      </w:r>
      <w:r>
        <w:rPr>
          <w:rFonts w:hint="eastAsia"/>
        </w:rPr>
        <w:t xml:space="preserve">人脸识别技术</w:t>
      </w:r>
      <w:r>
        <w:t xml:space="preserve"> |</w:t>
      </w:r>
      <w:r>
        <w:br/>
      </w:r>
      <w:r>
        <w:t xml:space="preserve">| </w:t>
      </w:r>
      <w:r>
        <w:rPr>
          <w:rFonts w:hint="eastAsia"/>
        </w:rPr>
        <w:t xml:space="preserve">海康威视</w:t>
      </w:r>
      <w:r>
        <w:t xml:space="preserve"> | 2980 | </w:t>
      </w:r>
      <w:r>
        <w:rPr>
          <w:rFonts w:hint="eastAsia"/>
        </w:rPr>
        <w:t xml:space="preserve">硬件设备制造</w:t>
      </w:r>
      <w:r>
        <w:t xml:space="preserve"> | </w:t>
      </w:r>
      <w:r>
        <w:rPr>
          <w:rFonts w:hint="eastAsia"/>
        </w:rPr>
        <w:t xml:space="preserve">视频监控系统</w:t>
      </w:r>
      <w:r>
        <w:t xml:space="preserve"> |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前瞻布局</w:t>
      </w:r>
      <w:r>
        <w:rPr>
          <w:rFonts w:hint="eastAsia"/>
        </w:rPr>
        <w:t xml:space="preserve">：2025年推出多模态大模型”日日新融合版”，在信通院评估中获最高评级，技术代差持续扩大</w:t>
      </w:r>
    </w:p>
    <w:bookmarkEnd w:id="11"/>
    <w:bookmarkEnd w:id="12"/>
    <w:bookmarkStart w:id="16" w:name="ai视觉技术加速商业化商汤科技龙头地位稳固"/>
    <w:p>
      <w:pPr>
        <w:pStyle w:val="Heading2"/>
      </w:pPr>
      <w:r>
        <w:t xml:space="preserve">2. </w:t>
      </w:r>
      <w:r>
        <w:rPr>
          <w:rFonts w:hint="eastAsia"/>
        </w:rPr>
        <w:t xml:space="preserve">AI视觉技术加速商业化，商汤科技龙头地位稳固</w:t>
      </w:r>
    </w:p>
    <w:bookmarkStart w:id="13" w:name="行业趋势多场景应用拓展技术边界"/>
    <w:p>
      <w:pPr>
        <w:pStyle w:val="Heading3"/>
      </w:pPr>
      <w:r>
        <w:rPr>
          <w:rFonts w:hint="eastAsia"/>
        </w:rPr>
        <w:t xml:space="preserve">行业趋势：多场景应用拓展技术边界</w:t>
      </w:r>
    </w:p>
    <w:p>
      <w:pPr>
        <w:pStyle w:val="FirstParagraph"/>
      </w:pPr>
      <w:r>
        <w:rPr>
          <w:rFonts w:hint="eastAsia"/>
        </w:rPr>
        <w:t xml:space="preserve">AI视觉技术发展呈现“感知→认知→决策”的演进路径。2022年我国计算机视觉市场规模达123亿元（IDC数据），商汤以23.1%市占率连续五年领跑。技术商业化呈现三大方向：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智慧城市领域</w:t>
      </w:r>
      <w:r>
        <w:rPr>
          <w:rFonts w:hint="eastAsia"/>
        </w:rPr>
        <w:t xml:space="preserve">渗透率超60%，覆盖700+地铁站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生成式AI爆发增长</w:t>
      </w:r>
      <w:r>
        <w:rPr>
          <w:rFonts w:hint="eastAsia"/>
        </w:rPr>
        <w:t xml:space="preserve">，商汤“日日新”大模型2024年收入同比增长200%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医疗影像诊断</w:t>
      </w:r>
      <w:r>
        <w:rPr>
          <w:rFonts w:hint="eastAsia"/>
        </w:rPr>
        <w:t xml:space="preserve">实现突破，与瑞金医院合作开发的AI全科医生系统落地</w:t>
      </w:r>
    </w:p>
    <w:bookmarkEnd w:id="13"/>
    <w:bookmarkStart w:id="14" w:name="竞争格局技术壁垒构筑差异化优势"/>
    <w:p>
      <w:pPr>
        <w:pStyle w:val="Heading3"/>
      </w:pPr>
      <w:r>
        <w:rPr>
          <w:rFonts w:hint="eastAsia"/>
        </w:rPr>
        <w:t xml:space="preserve">竞争格局：技术壁垒构筑差异化优势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企业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核心优势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主要短板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应用领域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商汤科技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全栈AI能力（研发投入占比105%）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盈利能力尚未释放（2022年净利率0%）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智慧城市/医疗/汽车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海康威视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硬件供应链优势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AI算法迭代速度较慢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安防监控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创新奇智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制造业解决方案成熟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政府资源较弱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工业质检/仓储物流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云从科技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金融领域深度渗透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研发投入不足（约商汤1/3）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银行风控系统</w:t>
            </w:r>
          </w:p>
        </w:tc>
      </w:tr>
    </w:tbl>
    <w:p>
      <w:pPr>
        <w:pStyle w:val="BodyText"/>
      </w:pPr>
      <w:r>
        <w:rPr>
          <w:rFonts w:hint="eastAsia"/>
        </w:rPr>
        <w:t xml:space="preserve">商汤通过40.14亿元研发投入（2022年）构建技术护城河，在智慧城市领域市占率近70%，显著领先海康威视的硬件优先策略。</w:t>
      </w:r>
    </w:p>
    <w:bookmarkEnd w:id="14"/>
    <w:bookmarkStart w:id="15" w:name="政策环境数据安全双轨制监管"/>
    <w:p>
      <w:pPr>
        <w:pStyle w:val="Heading3"/>
      </w:pPr>
      <w:r>
        <w:rPr>
          <w:rFonts w:hint="eastAsia"/>
        </w:rPr>
        <w:t xml:space="preserve">政策环境：数据安全双轨制监管</w:t>
      </w:r>
    </w:p>
    <w:p>
      <w:pPr>
        <w:pStyle w:val="FirstParagraph"/>
      </w:pPr>
      <w:r>
        <w:rPr>
          <w:rFonts w:hint="eastAsia"/>
          <w:b/>
          <w:bCs/>
        </w:rPr>
        <w:t xml:space="preserve">产业扶持政策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“人工智能+”写入2024年政府工作报告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北上广深设立千亿级AI产业基金</w:t>
      </w:r>
    </w:p>
    <w:p>
      <w:pPr>
        <w:pStyle w:val="FirstParagraph"/>
      </w:pPr>
      <w:r>
        <w:rPr>
          <w:rFonts w:hint="eastAsia"/>
          <w:b/>
          <w:bCs/>
        </w:rPr>
        <w:t xml:space="preserve">监管框架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数据安全法实施催生联邦学习技术（如商汤医疗联邦学习系统通过ECCV认证）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商汤牵头制定《智能计算中心服务能力通用要求》等5项国家标准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数据跨境流动新规促使企业建设本地化数据中心（商汤已布局8大智算中心）</w:t>
      </w:r>
    </w:p>
    <w:p>
      <w:pPr>
        <w:pStyle w:val="FirstParagraph"/>
      </w:pPr>
      <w:r>
        <w:rPr>
          <w:rFonts w:hint="eastAsia"/>
        </w:rPr>
        <w:t xml:space="preserve">政策红利与监管趋严并行，企业合规成本上升约15%，但同步打开政府AI采购市场（2024年规模突破2000亿元）。</w:t>
      </w:r>
    </w:p>
    <w:bookmarkEnd w:id="15"/>
    <w:bookmarkEnd w:id="16"/>
    <w:bookmarkStart w:id="20" w:name="财务表现呈现积极信号生成式ai驱动收入增长"/>
    <w:p>
      <w:pPr>
        <w:pStyle w:val="Heading2"/>
      </w:pPr>
      <w:r>
        <w:t xml:space="preserve">3. </w:t>
      </w:r>
      <w:r>
        <w:rPr>
          <w:rFonts w:hint="eastAsia"/>
        </w:rPr>
        <w:t xml:space="preserve">财务表现呈现积极信号，生成式AI驱动收入增长</w:t>
      </w:r>
    </w:p>
    <w:bookmarkStart w:id="17" w:name="盈利能力承压但边际改善"/>
    <w:p>
      <w:pPr>
        <w:pStyle w:val="Heading3"/>
      </w:pPr>
      <w:r>
        <w:rPr>
          <w:rFonts w:hint="eastAsia"/>
        </w:rPr>
        <w:t xml:space="preserve">盈利能力承压但边际改善</w:t>
      </w:r>
    </w:p>
    <w:p>
      <w:pPr>
        <w:pStyle w:val="FirstParagraph"/>
      </w:pPr>
      <w:r>
        <w:rPr>
          <w:rFonts w:hint="eastAsia"/>
        </w:rPr>
        <w:t xml:space="preserve">2024年公司毛利率录得0.0%，净利率0.0%，反映业务转型期成本压力。但ROE从2023年的-18.94%改善至-18.35%，亏损净额同比收窄33.7%至43.07亿元。核心矛盾在于研发投入占比过高，2024年中期毛利率44.1%显示生成式AI业务具备盈利潜力，需关注技术转化效率提升。</w:t>
      </w:r>
    </w:p>
    <w:bookmarkEnd w:id="17"/>
    <w:bookmarkStart w:id="18" w:name="成长动能结构性转换"/>
    <w:p>
      <w:pPr>
        <w:pStyle w:val="Heading3"/>
      </w:pPr>
      <w:r>
        <w:rPr>
          <w:rFonts w:hint="eastAsia"/>
        </w:rPr>
        <w:t xml:space="preserve">成长动能结构性转换</w:t>
      </w:r>
    </w:p>
    <w:p>
      <w:pPr>
        <w:pStyle w:val="FirstParagraph"/>
      </w:pPr>
      <w:r>
        <w:rPr>
          <w:rFonts w:hint="eastAsia"/>
        </w:rPr>
        <w:t xml:space="preserve">营收呈现双位数增长，2024年总收入37.72亿元（+10.8%），其中生成式AI业务贡献24.04亿元，同比暴涨103.1%，占总收入比重达63.7%。业务扩张呈现两极化：传统智能汽车收入下滑33.2%，而大模型相关业务半年收入增速达21.4%，成为新增长极。</w:t>
      </w:r>
    </w:p>
    <w:bookmarkEnd w:id="18"/>
    <w:bookmarkStart w:id="19" w:name="现金流压力持续缓解"/>
    <w:p>
      <w:pPr>
        <w:pStyle w:val="Heading3"/>
      </w:pPr>
      <w:r>
        <w:rPr>
          <w:rFonts w:hint="eastAsia"/>
        </w:rPr>
        <w:t xml:space="preserve">现金流压力持续缓解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指标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2024全年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同比变化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2024中期</w:t>
            </w:r>
          </w:p>
        </w:tc>
      </w:tr>
      <w:tr>
        <w:tc>
          <w:tcPr/>
          <w:p>
            <w:pPr>
              <w:pStyle w:val="Compact"/>
            </w:pPr>
            <w:r>
              <w:t xml:space="preserve">EBITDA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-31.43亿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改善42.3%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-20.41亿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经营现金流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-23.26亿</w:t>
            </w:r>
          </w:p>
        </w:tc>
      </w:tr>
    </w:tbl>
    <w:p>
      <w:pPr>
        <w:pStyle w:val="BodyText"/>
      </w:pPr>
      <w:r>
        <w:rPr>
          <w:rFonts w:hint="eastAsia"/>
        </w:rPr>
        <w:t xml:space="preserve">自由现金流尚未转正，但亏损收窄带动EBITDA边际改善超40%。需警惕研发投入刚性（年研发支出超营收50%）带来的资金压力，2024年融资活动现金流同比增加12%显示资本认可转型方向。</w:t>
      </w:r>
    </w:p>
    <w:bookmarkEnd w:id="19"/>
    <w:bookmarkEnd w:id="20"/>
    <w:bookmarkStart w:id="23" w:name="生成式ai驱动估值重构盈利拐点临近"/>
    <w:p>
      <w:pPr>
        <w:pStyle w:val="Heading2"/>
      </w:pPr>
      <w:r>
        <w:t xml:space="preserve">4. </w:t>
      </w:r>
      <w:r>
        <w:rPr>
          <w:rFonts w:hint="eastAsia"/>
        </w:rPr>
        <w:t xml:space="preserve">生成式AI驱动估值重构，盈利拐点临近</w:t>
      </w:r>
    </w:p>
    <w:bookmarkStart w:id="21" w:name="估值模型分析"/>
    <w:p>
      <w:pPr>
        <w:pStyle w:val="Heading3"/>
      </w:pPr>
      <w:r>
        <w:rPr>
          <w:rFonts w:hint="eastAsia"/>
        </w:rPr>
        <w:t xml:space="preserve">估值模型分析</w:t>
      </w:r>
    </w:p>
    <w:p>
      <w:pPr>
        <w:pStyle w:val="FirstParagraph"/>
      </w:pPr>
      <w:r>
        <w:rPr>
          <w:rFonts w:hint="eastAsia"/>
        </w:rPr>
        <w:t xml:space="preserve">采用DCF与相对估值结合法进行目标价测算：</w:t>
      </w:r>
    </w:p>
    <w:p>
      <w:pPr>
        <w:pStyle w:val="BodyText"/>
      </w:pPr>
      <w:r>
        <w:rPr>
          <w:rFonts w:hint="eastAsia"/>
          <w:b/>
          <w:bCs/>
        </w:rPr>
        <w:t xml:space="preserve">DCF模型核心参数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现金流预测：基于生成式AI业务103.1%增速（2024年），预计2025-2027年营收CAGR达40%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折现率：12.5%（反映AI行业风险溢价）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永续增长率：3.0%（参考行业技术迭代周期）</w:t>
      </w:r>
    </w:p>
    <w:p>
      <w:pPr>
        <w:pStyle w:val="FirstParagraph"/>
      </w:pPr>
      <w:r>
        <w:rPr>
          <w:rFonts w:hint="eastAsia"/>
          <w:b/>
          <w:bCs/>
        </w:rPr>
        <w:t xml:space="preserve">相对估值对标</w:t>
      </w:r>
      <w:r>
        <w:br/>
      </w:r>
      <w:r>
        <w:t xml:space="preserve">| </w:t>
      </w:r>
      <w:r>
        <w:rPr>
          <w:rFonts w:hint="eastAsia"/>
        </w:rPr>
        <w:t xml:space="preserve">指标</w:t>
      </w:r>
      <w:r>
        <w:t xml:space="preserve"> | </w:t>
      </w:r>
      <w:r>
        <w:rPr>
          <w:rFonts w:hint="eastAsia"/>
        </w:rPr>
        <w:t xml:space="preserve">商汤-W</w:t>
      </w:r>
      <w:r>
        <w:t xml:space="preserve"> | </w:t>
      </w:r>
      <w:r>
        <w:rPr>
          <w:rFonts w:hint="eastAsia"/>
        </w:rPr>
        <w:t xml:space="preserve">行业均值</w:t>
      </w:r>
      <w:r>
        <w:t xml:space="preserve"> |</w:t>
      </w:r>
      <w:r>
        <w:br/>
      </w:r>
      <w:r>
        <w:t xml:space="preserve">|————–|———–|———–|</w:t>
      </w:r>
      <w:r>
        <w:br/>
      </w:r>
      <w:r>
        <w:t xml:space="preserve">| 2025E PS | 8.2x | 6.5x |</w:t>
      </w:r>
      <w:r>
        <w:br/>
      </w:r>
      <w:r>
        <w:t xml:space="preserve">| PEG(3Y) | 0.7 | 1.1 |</w:t>
      </w:r>
      <w:r>
        <w:br/>
      </w:r>
      <w:r>
        <w:t xml:space="preserve">| </w:t>
      </w:r>
      <w:r>
        <w:rPr>
          <w:rFonts w:hint="eastAsia"/>
        </w:rPr>
        <w:t xml:space="preserve">研发强度</w:t>
      </w:r>
      <w:r>
        <w:t xml:space="preserve"> | 105% | 45% |</w:t>
      </w:r>
    </w:p>
    <w:p>
      <w:pPr>
        <w:pStyle w:val="BodyText"/>
      </w:pPr>
      <w:r>
        <w:rPr>
          <w:rFonts w:hint="eastAsia"/>
          <w:b/>
          <w:bCs/>
        </w:rPr>
        <w:t xml:space="preserve">估值结论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DCF目标价：HKD</w:t>
      </w:r>
      <w:r>
        <w:t xml:space="preserve"> </w:t>
      </w:r>
      <w:r>
        <w:rPr>
          <w:rFonts w:hint="eastAsia"/>
        </w:rPr>
        <w:t xml:space="preserve">3.2（+78%空间）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2025年PS估值中枢：HKD</w:t>
      </w:r>
      <w:r>
        <w:t xml:space="preserve"> 2.8-3.5</w:t>
      </w:r>
    </w:p>
    <w:bookmarkEnd w:id="21"/>
    <w:bookmarkStart w:id="22" w:name="投资评级建议"/>
    <w:p>
      <w:pPr>
        <w:pStyle w:val="Heading3"/>
      </w:pPr>
      <w:r>
        <w:rPr>
          <w:rFonts w:hint="eastAsia"/>
        </w:rPr>
        <w:t xml:space="preserve">投资评级建议</w:t>
      </w:r>
    </w:p>
    <w:p>
      <w:pPr>
        <w:pStyle w:val="FirstParagraph"/>
      </w:pPr>
      <w:r>
        <w:rPr>
          <w:rFonts w:hint="eastAsia"/>
          <w:b/>
          <w:bCs/>
        </w:rPr>
        <w:t xml:space="preserve">核心驱动要素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技术壁垒强化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日日新5.5模型性能超越GPT-4o（2024</w:t>
      </w:r>
      <w:r>
        <w:t xml:space="preserve"> </w:t>
      </w:r>
      <w:r>
        <w:rPr>
          <w:rFonts w:hint="eastAsia"/>
        </w:rPr>
        <w:t xml:space="preserve">SuperCLUE评测）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智算服务市占率13.3%（2024H1</w:t>
      </w:r>
      <w:r>
        <w:t xml:space="preserve"> </w:t>
      </w:r>
      <w:r>
        <w:rPr>
          <w:rFonts w:hint="eastAsia"/>
        </w:rPr>
        <w:t xml:space="preserve">IDC数据），支撑20000P算力规模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商业化加速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生成式AI收入占比从2023年31%升至2024年63%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智能汽车/医疗垂直场景渗透率突破25%</w:t>
      </w:r>
    </w:p>
    <w:p>
      <w:pPr>
        <w:pStyle w:val="FirstParagraph"/>
      </w:pPr>
      <w:r>
        <w:rPr>
          <w:rFonts w:hint="eastAsia"/>
          <w:b/>
          <w:bCs/>
        </w:rPr>
        <w:t xml:space="preserve">关键风险预警</w:t>
      </w:r>
    </w:p>
    <w:p>
      <w:pPr>
        <w:pStyle w:val="SourceCode"/>
      </w:pPr>
      <w:r>
        <w:rPr>
          <w:rStyle w:val="VerbatimChar"/>
        </w:rPr>
        <w:t xml:space="preserve">flowchart LR</w:t>
      </w:r>
      <w:r>
        <w:br/>
      </w:r>
      <w:r>
        <w:rPr>
          <w:rStyle w:val="VerbatimChar"/>
          <w:rFonts w:hint="eastAsia"/>
        </w:rPr>
        <w:t xml:space="preserve">A[盈利压力]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B(2024净亏50亿)</w:t>
      </w:r>
      <w:r>
        <w:br/>
      </w:r>
      <w:r>
        <w:rPr>
          <w:rStyle w:val="VerbatimChar"/>
          <w:rFonts w:hint="eastAsia"/>
        </w:rPr>
        <w:t xml:space="preserve">C[竞争加剧]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D(百度/阿里市占率合计超35%)</w:t>
      </w:r>
      <w:r>
        <w:br/>
      </w:r>
      <w:r>
        <w:rPr>
          <w:rStyle w:val="VerbatimChar"/>
          <w:rFonts w:hint="eastAsia"/>
        </w:rPr>
        <w:t xml:space="preserve">E[地缘政治]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F(芯片进口受限风险)</w:t>
      </w:r>
    </w:p>
    <w:p>
      <w:pPr>
        <w:pStyle w:val="FirstParagraph"/>
      </w:pPr>
      <w:r>
        <w:rPr>
          <w:rFonts w:hint="eastAsia"/>
          <w:b/>
          <w:bCs/>
        </w:rPr>
        <w:t xml:space="preserve">操作建议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短期(6个月)</w:t>
      </w:r>
      <w:r>
        <w:rPr>
          <w:rFonts w:hint="eastAsia"/>
        </w:rPr>
        <w:t xml:space="preserve">：逢低增持（现价对应2025</w:t>
      </w:r>
      <w:r>
        <w:t xml:space="preserve"> PS </w:t>
      </w:r>
      <w:r>
        <w:rPr>
          <w:rFonts w:hint="eastAsia"/>
        </w:rPr>
        <w:t xml:space="preserve">6.1x，低于技术溢价中枢）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中期(12个月)</w:t>
      </w:r>
      <w:r>
        <w:rPr>
          <w:rFonts w:hint="eastAsia"/>
        </w:rPr>
        <w:t xml:space="preserve">：目标价HKD</w:t>
      </w:r>
      <w:r>
        <w:t xml:space="preserve"> </w:t>
      </w:r>
      <w:r>
        <w:rPr>
          <w:rFonts w:hint="eastAsia"/>
        </w:rPr>
        <w:t xml:space="preserve">3.0，对应2025</w:t>
      </w:r>
      <w:r>
        <w:t xml:space="preserve"> PS 8.0x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触发点</w:t>
      </w:r>
      <w:r>
        <w:rPr>
          <w:rFonts w:hint="eastAsia"/>
        </w:rPr>
        <w:t xml:space="preserve">：2025Q2实现单季度盈亏平衡（基于毛利率44%持续改善趋势）</w:t>
      </w:r>
    </w:p>
    <w:bookmarkEnd w:id="22"/>
    <w:bookmarkEnd w:id="23"/>
    <w:bookmarkStart w:id="24" w:name="免责声明"/>
    <w:p>
      <w:pPr>
        <w:pStyle w:val="Heading2"/>
      </w:pPr>
      <w:r>
        <w:rPr>
          <w:rFonts w:hint="eastAsia"/>
        </w:rPr>
        <w:t xml:space="preserve">免责声明</w:t>
      </w:r>
    </w:p>
    <w:p>
      <w:pPr>
        <w:pStyle w:val="FirstParagraph"/>
      </w:pPr>
      <w:r>
        <w:rPr>
          <w:rFonts w:hint="eastAsia"/>
        </w:rPr>
        <w:t xml:space="preserve">本文所涉及内容由AI生成，仅供参考学习使用，不构成具体的投资建议。虽然我们努力确保所用数据的准确性和来源的可靠性，但AI无法完全排除信息错误或遗漏的可能性。投资者应自行验证所有数据的准确性，自主做出投资决策，自行承担投资风险和损失。投资有风险，入市需谨慎。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2025-07-21T05:54:58Z</dcterms:created>
  <dcterms:modified xsi:type="dcterms:W3CDTF">2025-07-21T05:54:58Z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