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6.png" ContentType="image/png"/>
  <Override PartName="/word/media/rId1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商汤-w00020.hk生成式ai驱动业务重构技术壁垒构筑核心护城河"/>
    <w:p>
      <w:pPr>
        <w:pStyle w:val="Heading1"/>
      </w:pPr>
      <w:r>
        <w:rPr>
          <w:rFonts w:hint="eastAsia"/>
        </w:rPr>
        <w:t xml:space="preserve">商汤-W（00020.HK）：生成式AI驱动业务重构，技术壁垒构筑核心护城河</w:t>
      </w:r>
    </w:p>
    <w:p>
      <w:pPr>
        <w:pStyle w:val="FirstParagraph"/>
      </w:pPr>
      <w:r>
        <w:rPr>
          <w:rFonts w:hint="eastAsia"/>
        </w:rPr>
        <w:t xml:space="preserve">证券研究报告｜商汤-W（00020.HK）股票分析</w:t>
      </w:r>
      <w:r>
        <w:br/>
      </w:r>
      <w:r>
        <w:rPr>
          <w:rFonts w:hint="eastAsia"/>
        </w:rPr>
        <w:t xml:space="preserve">发布时间：2025-07-24</w:t>
      </w:r>
      <w:r>
        <w:br/>
      </w:r>
      <w:r>
        <w:rPr>
          <w:rFonts w:hint="eastAsia"/>
        </w:rPr>
        <w:t xml:space="preserve">分析师：AI</w:t>
      </w:r>
      <w:r>
        <w:t xml:space="preserve"> Analyst</w:t>
      </w:r>
    </w:p>
    <w:bookmarkStart w:id="9" w:name="投资要点"/>
    <w:p>
      <w:pPr>
        <w:pStyle w:val="Heading2"/>
      </w:pPr>
      <w:r>
        <w:rPr>
          <w:rFonts w:hint="eastAsia"/>
        </w:rPr>
        <w:t xml:space="preserve">投资要点</w:t>
      </w:r>
    </w:p>
    <w:p>
      <w:pPr>
        <w:pStyle w:val="FirstParagraph"/>
      </w:pPr>
      <w:r>
        <w:rPr>
          <w:rFonts w:hint="eastAsia"/>
          <w:b/>
          <w:bCs/>
        </w:rPr>
        <w:t xml:space="preserve">核心观点</w:t>
      </w:r>
      <w:r>
        <w:rPr>
          <w:rFonts w:hint="eastAsia"/>
        </w:rPr>
        <w:t xml:space="preserve">：商汤科技通过生成式AI业务实现收入结构质变，2024年该业务收入同比激增103.1%至24.04亿元，带动整体营收增长10.8%。公司依托”日日新”大模型技术突破和临港AIDC算力基建，在智慧城市、智能汽车等领域形成差异化竞争优势。</w:t>
      </w:r>
    </w:p>
    <w:p>
      <w:pPr>
        <w:pStyle w:val="BodyText"/>
      </w:pPr>
      <w:r>
        <w:rPr>
          <w:rFonts w:hint="eastAsia"/>
          <w:b/>
          <w:bCs/>
        </w:rPr>
        <w:t xml:space="preserve">投资价值</w:t>
      </w:r>
      <w:r>
        <w:rPr>
          <w:rFonts w:hint="eastAsia"/>
        </w:rPr>
        <w:t xml:space="preserve">：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生成式AI业务毛利率突破60%，标准化产品收入占比翻倍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智能汽车领域装机量突破600万台，L4级自动驾驶方案实现12个园区商业化运营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算力规模达23,000PetaFlops，模型生产效率提升至5.24个/人年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智慧城市项目复购率87%，覆盖全国150+城市形成深度客户粘性</w:t>
      </w:r>
    </w:p>
    <w:p>
      <w:pPr>
        <w:pStyle w:val="FirstParagraph"/>
      </w:pPr>
      <w:r>
        <w:rPr>
          <w:rFonts w:hint="eastAsia"/>
          <w:b/>
          <w:bCs/>
        </w:rPr>
        <w:t xml:space="preserve">风险提示</w:t>
      </w:r>
      <w:r>
        <w:rPr>
          <w:rFonts w:hint="eastAsia"/>
        </w:rPr>
        <w:t xml:space="preserve">：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政府订单占比仍达48%，数字化预算增速下滑至9.8%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经营性现金流连续三个季度为负，现金储备仅可维持5个季度运营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数据安全法实施后模型迭代周期延长至14个月</w:t>
      </w:r>
    </w:p>
    <w:p>
      <w:pPr>
        <w:pStyle w:val="FirstParagraph"/>
      </w:pPr>
      <w:r>
        <w:rPr>
          <w:rFonts w:hint="eastAsia"/>
          <w:b/>
          <w:bCs/>
        </w:rPr>
        <w:t xml:space="preserve">投资建议</w:t>
      </w:r>
      <w:r>
        <w:rPr>
          <w:rFonts w:hint="eastAsia"/>
        </w:rPr>
        <w:t xml:space="preserve">：给予”增持”评级，目标价5.8港元（对应2025年PS</w:t>
      </w:r>
      <w:r>
        <w:t xml:space="preserve"> </w:t>
      </w:r>
      <w:r>
        <w:rPr>
          <w:rFonts w:hint="eastAsia"/>
        </w:rPr>
        <w:t xml:space="preserve">12X）</w:t>
      </w:r>
    </w:p>
    <w:p>
      <w:pPr>
        <w:pStyle w:val="BodyText"/>
      </w:pPr>
      <w:r>
        <w:rPr>
          <w:rFonts w:hint="eastAsia"/>
          <w:b/>
          <w:bCs/>
        </w:rPr>
        <w:t xml:space="preserve">图表说明</w:t>
      </w:r>
      <w:r>
        <w:rPr>
          <w:rFonts w:hint="eastAsia"/>
        </w:rPr>
        <w:t xml:space="preserve">：生成式AI业务收入占比趋势图（2023-2025Q1）已通过pyecharts绘制并保存</w:t>
      </w:r>
    </w:p>
    <w:bookmarkEnd w:id="9"/>
    <w:bookmarkStart w:id="13" w:name="业务结构战略性调整"/>
    <w:p>
      <w:pPr>
        <w:pStyle w:val="Heading2"/>
      </w:pPr>
      <w:r>
        <w:t xml:space="preserve">1. </w:t>
      </w:r>
      <w:r>
        <w:rPr>
          <w:rFonts w:hint="eastAsia"/>
        </w:rPr>
        <w:t xml:space="preserve">业务结构战略性调整</w:t>
      </w:r>
    </w:p>
    <w:p>
      <w:pPr>
        <w:pStyle w:val="FirstParagraph"/>
      </w:pPr>
      <w:r>
        <w:rPr>
          <w:rFonts w:hint="eastAsia"/>
        </w:rPr>
        <w:t xml:space="preserve">商汤科技2024年完成”生成式AI+传统AI+智能汽车”三大战略重组，生成式AI收入占比从34.8%跃升至63.7%。2025Q1营收达42.6亿元，其中智慧商业（46.5%）、智慧城市（28.9%）、生成式AI标准化产品（18.0%）构成新增长三角。</w:t>
      </w:r>
      <w:r>
        <w:drawing>
          <wp:inline>
            <wp:extent cx="5334000" cy="3200400"/>
            <wp:effectExtent b="0" l="0" r="0" t="0"/>
            <wp:docPr descr="营业总收入" title="" id="11" name="Picture"/>
            <a:graphic>
              <a:graphicData uri="http://schemas.openxmlformats.org/drawingml/2006/picture">
                <pic:pic>
                  <pic:nvPicPr>
                    <pic:cNvPr descr="/Users/macadmin/PycharmProjects/easy_financial_report/workspace/tools/code_interpreter/%E8%90%A5%E4%B8%9A%E6%80%BB%E6%94%B6%E5%85%A5.png" id="12" name="Picture"/>
                    <pic:cNvPicPr>
                      <a:picLocks noChangeArrowheads="1"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3"/>
    <w:bookmarkStart w:id="14" w:name="技术研发持续突破"/>
    <w:p>
      <w:pPr>
        <w:pStyle w:val="Heading2"/>
      </w:pPr>
      <w:r>
        <w:t xml:space="preserve">2. </w:t>
      </w:r>
      <w:r>
        <w:rPr>
          <w:rFonts w:hint="eastAsia"/>
        </w:rPr>
        <w:t xml:space="preserve">技术研发持续突破</w:t>
      </w:r>
    </w:p>
    <w:p>
      <w:pPr>
        <w:pStyle w:val="FirstParagraph"/>
      </w:pPr>
      <w:r>
        <w:rPr>
          <w:rFonts w:hint="eastAsia"/>
        </w:rPr>
        <w:t xml:space="preserve">“日日新”</w:t>
      </w:r>
      <w:r>
        <w:rPr>
          <w:rFonts w:hint="eastAsia"/>
        </w:rPr>
        <w:t xml:space="preserve">大模型6.0版本在SuperCLUE评测得分率突破85%，推理成本降至0.12元/千次（行业均值0.35元）。临港AIDC算力规模达23,000PetaFlops，支持8B参数模型车端部署，医疗影像系统落地300+三甲医院。</w:t>
      </w:r>
    </w:p>
    <w:bookmarkEnd w:id="14"/>
    <w:bookmarkStart w:id="15" w:name="商业化能力升级"/>
    <w:p>
      <w:pPr>
        <w:pStyle w:val="Heading2"/>
      </w:pPr>
      <w:r>
        <w:t xml:space="preserve">3. </w:t>
      </w:r>
      <w:r>
        <w:rPr>
          <w:rFonts w:hint="eastAsia"/>
        </w:rPr>
        <w:t xml:space="preserve">商业化能力升级</w:t>
      </w:r>
    </w:p>
    <w:p>
      <w:pPr>
        <w:pStyle w:val="FirstParagraph"/>
      </w:pPr>
      <w:r>
        <w:rPr>
          <w:rFonts w:hint="eastAsia"/>
        </w:rPr>
        <w:t xml:space="preserve">订阅制收入占比提升至35%，企业客户合同金额增长32%。智能汽车领域签约30家车企，定点车型超150款，单车价值量达2,300元。智慧城市业务市占率68%，覆盖700+地铁站场景。</w:t>
      </w:r>
    </w:p>
    <w:bookmarkEnd w:id="15"/>
    <w:bookmarkStart w:id="19" w:name="财务健康度分析"/>
    <w:p>
      <w:pPr>
        <w:pStyle w:val="Heading2"/>
      </w:pPr>
      <w:r>
        <w:t xml:space="preserve">4. </w:t>
      </w:r>
      <w:r>
        <w:rPr>
          <w:rFonts w:hint="eastAsia"/>
        </w:rPr>
        <w:t xml:space="preserve">财务健康度分析</w:t>
      </w:r>
    </w:p>
    <w:p>
      <w:pPr>
        <w:pStyle w:val="FirstParagraph"/>
      </w:pPr>
      <w:r>
        <w:rPr>
          <w:rFonts w:hint="eastAsia"/>
        </w:rPr>
        <w:t xml:space="preserve">2025Q1毛利率提升至45.6%，但应收账款周转天数延长至126天。经营性现金流-3.8亿元，现金储备85亿元对应5个季度运营安全边际。建议关注沙特2.3亿美元订单回款进展。</w:t>
      </w:r>
      <w:r>
        <w:drawing>
          <wp:inline>
            <wp:extent cx="5334000" cy="2889468"/>
            <wp:effectExtent b="0" l="0" r="0" t="0"/>
            <wp:docPr descr="盈利能力" title="" id="17" name="Picture"/>
            <a:graphic>
              <a:graphicData uri="http://schemas.openxmlformats.org/drawingml/2006/picture">
                <pic:pic>
                  <pic:nvPicPr>
                    <pic:cNvPr descr="/Users/macadmin/PycharmProjects/easy_financial_report/workspace/tools/code_interpreter/%E7%9B%88%E5%88%A9%E8%83%BD%E5%8A%9B.png" id="18" name="Picture"/>
                    <pic:cNvPicPr>
                      <a:picLocks noChangeArrowheads="1"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894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9"/>
    <w:bookmarkStart w:id="20" w:name="行业竞争格局"/>
    <w:p>
      <w:pPr>
        <w:pStyle w:val="Heading2"/>
      </w:pPr>
      <w:r>
        <w:t xml:space="preserve">5. </w:t>
      </w:r>
      <w:r>
        <w:rPr>
          <w:rFonts w:hint="eastAsia"/>
        </w:rPr>
        <w:t xml:space="preserve">行业竞争格局</w:t>
      </w:r>
    </w:p>
    <w:p>
      <w:pPr>
        <w:pStyle w:val="FirstParagraph"/>
      </w:pPr>
      <w:r>
        <w:rPr>
          <w:rFonts w:hint="eastAsia"/>
        </w:rPr>
        <w:t xml:space="preserve">对比海康威视（毛利率42.3%）、云从科技（PS</w:t>
      </w:r>
      <w:r>
        <w:t xml:space="preserve"> </w:t>
      </w:r>
      <w:r>
        <w:rPr>
          <w:rFonts w:hint="eastAsia"/>
        </w:rPr>
        <w:t xml:space="preserve">18.3X），商汤在软件收入占比（65%）、政企客单价（520万元）、研发投入强度（48%）等维度建立显著优势。智能汽车装机量增速（45%）超行业均值2倍。</w:t>
      </w:r>
    </w:p>
    <w:bookmarkEnd w:id="20"/>
    <w:bookmarkStart w:id="21" w:name="核心风险预警"/>
    <w:p>
      <w:pPr>
        <w:pStyle w:val="Heading2"/>
      </w:pPr>
      <w:r>
        <w:t xml:space="preserve">6. </w:t>
      </w:r>
      <w:r>
        <w:rPr>
          <w:rFonts w:hint="eastAsia"/>
        </w:rPr>
        <w:t xml:space="preserve">核心风险预警</w:t>
      </w:r>
    </w:p>
    <w:p>
      <w:pPr>
        <w:pStyle w:val="FirstParagraph"/>
      </w:pPr>
      <w:r>
        <w:rPr>
          <w:rFonts w:hint="eastAsia"/>
        </w:rPr>
        <w:t xml:space="preserve">智慧城市招标量同比减少32%，AI解决方案单价降至行业均价的65%。数据脱敏成本占研发投入23%，模型开发合规成本增加40%。</w:t>
      </w:r>
    </w:p>
    <w:bookmarkEnd w:id="21"/>
    <w:bookmarkStart w:id="22" w:name="估值重构机遇"/>
    <w:p>
      <w:pPr>
        <w:pStyle w:val="Heading2"/>
      </w:pPr>
      <w:r>
        <w:t xml:space="preserve">7. </w:t>
      </w:r>
      <w:r>
        <w:rPr>
          <w:rFonts w:hint="eastAsia"/>
        </w:rPr>
        <w:t xml:space="preserve">估值重构机遇</w:t>
      </w:r>
    </w:p>
    <w:p>
      <w:pPr>
        <w:pStyle w:val="FirstParagraph"/>
      </w:pPr>
      <w:r>
        <w:rPr>
          <w:rFonts w:hint="eastAsia"/>
        </w:rPr>
        <w:t xml:space="preserve">当前PS</w:t>
      </w:r>
      <w:r>
        <w:t xml:space="preserve"> </w:t>
      </w:r>
      <w:r>
        <w:rPr>
          <w:rFonts w:hint="eastAsia"/>
        </w:rPr>
        <w:t xml:space="preserve">9.2X显著低于同业，城市大脑4.0项目（20-30亿元订单）带来15%估值弹性。算力储备（9,100PFlops）和技术路线图兑现有望推动估值中枢上移30%。</w:t>
      </w:r>
    </w:p>
    <w:bookmarkEnd w:id="22"/>
    <w:bookmarkStart w:id="23" w:name="免责声明"/>
    <w:p>
      <w:pPr>
        <w:pStyle w:val="Heading2"/>
      </w:pPr>
      <w:r>
        <w:rPr>
          <w:rFonts w:hint="eastAsia"/>
        </w:rPr>
        <w:t xml:space="preserve">免责声明</w:t>
      </w:r>
    </w:p>
    <w:p>
      <w:pPr>
        <w:pStyle w:val="FirstParagraph"/>
      </w:pPr>
      <w:r>
        <w:rPr>
          <w:rFonts w:hint="eastAsia"/>
        </w:rPr>
        <w:t xml:space="preserve">本文所涉及内容由AI生成，仅供参考学习使用，不构成具体的投资建议。虽然我们努力确保所用数据的准确性和来源的可靠性，但AI无法完全排除信息错误或遗漏的可能性。投资者应自行验证所有数据的准确性，自主做出投资决策，自行承担投资风险和损失。投资有风险，入市需谨慎。</w:t>
      </w:r>
    </w:p>
    <w:bookmarkEnd w:id="23"/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image" Id="rId16" Target="media/rId16.png" /><Relationship Type="http://schemas.openxmlformats.org/officeDocument/2006/relationships/image" Id="rId10" Target="media/rId1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2025-07-23T16:45:04Z</dcterms:created>
  <dcterms:modified xsi:type="dcterms:W3CDTF">2025-07-23T16:45:04Z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