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第四范式06682.hkai平台龙头高增长技术迭代驱动估值重塑"/>
      <w:r>
        <w:t xml:space="preserve">第四范式（06682.HK）：AI平台龙头高增长，技术迭代驱动估值重塑</w:t>
      </w:r>
      <w:bookmarkEnd w:id="20"/>
    </w:p>
    <w:p>
      <w:pPr>
        <w:pStyle w:val="FirstParagraph"/>
      </w:pPr>
      <w:r>
        <w:t xml:space="preserve">证券研究报告｜第四范式股票分析</w:t>
      </w:r>
      <w:r>
        <w:br/>
      </w:r>
      <w:r>
        <w:t xml:space="preserve">发布时间：2025-07-23</w:t>
      </w:r>
      <w:r>
        <w:br/>
      </w:r>
      <w:r>
        <w:t xml:space="preserve">分析师：AI Analyst</w:t>
      </w:r>
    </w:p>
    <w:p>
      <w:pPr>
        <w:pStyle w:val="Heading2"/>
      </w:pPr>
      <w:bookmarkStart w:id="21" w:name="投资要点"/>
      <w:r>
        <w:t xml:space="preserve">投资要点</w:t>
      </w:r>
      <w:bookmarkEnd w:id="21"/>
    </w:p>
    <w:p>
      <w:pPr>
        <w:pStyle w:val="FirstParagraph"/>
      </w:pPr>
      <w:r>
        <w:rPr>
          <w:b/>
        </w:rPr>
        <w:t xml:space="preserve">核心观点</w:t>
      </w:r>
      <w:r>
        <w:t xml:space="preserve">：第四范式作为企业级AI平台领军者，通过先知AI平台构建核心技术壁垒，在金融、能源等领域形成差异化竞争优势。2024年营收同比增长25.1%至52.61亿元，亏损大幅收窄70.4%，订阅制收入占比突破10.7%，现金流结构持续优化。</w:t>
      </w:r>
    </w:p>
    <w:p>
      <w:pPr>
        <w:pStyle w:val="BodyText"/>
      </w:pPr>
      <w:r>
        <w:rPr>
          <w:b/>
        </w:rPr>
        <w:t xml:space="preserve">投资价值</w:t>
      </w:r>
      <w:r>
        <w:t xml:space="preserve">：</w:t>
      </w:r>
    </w:p>
    <w:p>
      <w:pPr>
        <w:numPr>
          <w:ilvl w:val="0"/>
          <w:numId w:val="1001"/>
        </w:numPr>
        <w:pStyle w:val="Compact"/>
      </w:pPr>
      <w:r>
        <w:t xml:space="preserve">技术壁垒显著：拥有30+自主算法专利，AutoML技术矩阵连续三年入选Gartner代表厂商，迁移学习框架获KDD Cup冠军</w:t>
      </w:r>
    </w:p>
    <w:p>
      <w:pPr>
        <w:numPr>
          <w:ilvl w:val="0"/>
          <w:numId w:val="1001"/>
        </w:numPr>
        <w:pStyle w:val="Compact"/>
      </w:pPr>
      <w:r>
        <w:t xml:space="preserve">市场增长强劲：中国企业级AI市场规模2025年将突破550亿元，年复合增长率33.1%，金融领域渗透率达42%</w:t>
      </w:r>
    </w:p>
    <w:p>
      <w:pPr>
        <w:numPr>
          <w:ilvl w:val="0"/>
          <w:numId w:val="1001"/>
        </w:numPr>
        <w:pStyle w:val="Compact"/>
      </w:pPr>
      <w:r>
        <w:t xml:space="preserve">商业模式升级：先知AI平台收入占比69.9%且同比增长46.7%，订阅制模式改善现金流结构</w:t>
      </w:r>
    </w:p>
    <w:p>
      <w:pPr>
        <w:numPr>
          <w:ilvl w:val="0"/>
          <w:numId w:val="1001"/>
        </w:numPr>
        <w:pStyle w:val="Compact"/>
      </w:pPr>
      <w:r>
        <w:t xml:space="preserve">客户粘性突出：头部客户复购率91%，标杆案例覆盖工商银行智能风控（&lt;5ms响应）、国家电网设备故障预测（误报率&lt;0.3%）</w:t>
      </w:r>
    </w:p>
    <w:p>
      <w:pPr>
        <w:numPr>
          <w:ilvl w:val="0"/>
          <w:numId w:val="1001"/>
        </w:numPr>
        <w:pStyle w:val="Compact"/>
      </w:pPr>
      <w:r>
        <w:t xml:space="preserve">政策红利释放：国内首家通过欧盟GDPR认证的AI平台，受益数据安全法催生的隐私计算需求</w:t>
      </w:r>
    </w:p>
    <w:p>
      <w:pPr>
        <w:pStyle w:val="FirstParagraph"/>
      </w:pPr>
      <w:r>
        <w:rPr>
          <w:b/>
        </w:rPr>
        <w:t xml:space="preserve">风险提示</w:t>
      </w:r>
      <w:r>
        <w:t xml:space="preserve">：</w:t>
      </w:r>
    </w:p>
    <w:p>
      <w:pPr>
        <w:numPr>
          <w:ilvl w:val="0"/>
          <w:numId w:val="1002"/>
        </w:numPr>
        <w:pStyle w:val="Compact"/>
      </w:pPr>
      <w:r>
        <w:t xml:space="preserve">大客户集中风险：前五大客户收入占比超60%，金融行业预算变动直接影响营收稳定性</w:t>
      </w:r>
    </w:p>
    <w:p>
      <w:pPr>
        <w:numPr>
          <w:ilvl w:val="0"/>
          <w:numId w:val="1002"/>
        </w:numPr>
        <w:pStyle w:val="Compact"/>
      </w:pPr>
      <w:r>
        <w:t xml:space="preserve">现金流压力：项目实施周期6-12个月导致回款滞后，2023年经营现金流-3.5亿元</w:t>
      </w:r>
    </w:p>
    <w:p>
      <w:pPr>
        <w:numPr>
          <w:ilvl w:val="0"/>
          <w:numId w:val="1002"/>
        </w:numPr>
        <w:pStyle w:val="Compact"/>
      </w:pPr>
      <w:r>
        <w:t xml:space="preserve">估值溢价风险：当前PS 12倍显著高于同业，流动性不足可能放大波动</w:t>
      </w:r>
    </w:p>
    <w:p>
      <w:pPr>
        <w:pStyle w:val="FirstParagraph"/>
      </w:pPr>
      <w:r>
        <w:rPr>
          <w:b/>
        </w:rPr>
        <w:t xml:space="preserve">投资建议</w:t>
      </w:r>
      <w:r>
        <w:t xml:space="preserve">：基于PS-增速对标法给予8-10倍目标区间，对应目标价58-72港元。重点关注2024年Q4先知AI平台5.0发布带来的签约量提升机遇，建议技术迭代前逢低布局。</w:t>
      </w:r>
    </w:p>
    <w:p>
      <w:pPr>
        <w:pStyle w:val="Heading2"/>
      </w:pPr>
      <w:bookmarkStart w:id="22" w:name="人工智能平台领军者核心技术构筑竞争壁垒"/>
      <w:r>
        <w:t xml:space="preserve">1. 人工智能平台领军者，核心技术构筑竞争壁垒</w:t>
      </w:r>
      <w:bookmarkEnd w:id="22"/>
    </w:p>
    <w:p>
      <w:pPr>
        <w:pStyle w:val="Heading3"/>
      </w:pPr>
      <w:bookmarkStart w:id="23" w:name="主营业务ai平台驱动多元行业解决方案"/>
      <w:r>
        <w:t xml:space="preserve">主营业务：AI平台驱动多元行业解决方案</w:t>
      </w:r>
      <w:bookmarkEnd w:id="23"/>
    </w:p>
    <w:p>
      <w:pPr>
        <w:pStyle w:val="FirstParagraph"/>
      </w:pPr>
      <w:r>
        <w:t xml:space="preserve">第四范式构建以</w:t>
      </w:r>
      <w:r>
        <w:t xml:space="preserve">“</w:t>
      </w:r>
      <w:r>
        <w:t xml:space="preserve">先知AI平台</w:t>
      </w:r>
      <w:r>
        <w:t xml:space="preserve">”</w:t>
      </w:r>
      <w:r>
        <w:t xml:space="preserve">为核心的业务架构，2025年第一季度营收8.05亿元（同比+60.5%），占总收入74.8%。业务聚焦三大方向：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先知AI平台</w:t>
      </w:r>
      <w:r>
        <w:t xml:space="preserve">：提供AutoML驱动的模型开发平台，深度渗透金融信贷风控、能源电力优化场景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SHIFT智能解决方案</w:t>
      </w:r>
      <w:r>
        <w:t xml:space="preserve">：面向零售、制造等行业提供定制化AI转型方案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式说AIGS服务</w:t>
      </w:r>
      <w:r>
        <w:t xml:space="preserve">：基于生成式大模型的开发平台，2024年收入增长35.4%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业务指标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2025年Q1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同比增长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营业总收入</w:t>
            </w:r>
          </w:p>
        </w:tc>
        <w:tc>
          <w:p>
            <w:pPr>
              <w:pStyle w:val="Compact"/>
              <w:jc w:val="left"/>
            </w:pPr>
            <w:r>
              <w:t xml:space="preserve">10.77亿元</w:t>
            </w:r>
          </w:p>
        </w:tc>
        <w:tc>
          <w:p>
            <w:pPr>
              <w:pStyle w:val="Compact"/>
              <w:jc w:val="left"/>
            </w:pPr>
            <w:r>
              <w:t xml:space="preserve">30.1%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先知AI平台收入</w:t>
            </w:r>
          </w:p>
        </w:tc>
        <w:tc>
          <w:p>
            <w:pPr>
              <w:pStyle w:val="Compact"/>
              <w:jc w:val="left"/>
            </w:pPr>
            <w:r>
              <w:t xml:space="preserve">8.05亿元</w:t>
            </w:r>
          </w:p>
        </w:tc>
        <w:tc>
          <w:p>
            <w:pPr>
              <w:pStyle w:val="Compact"/>
              <w:jc w:val="left"/>
            </w:pPr>
            <w:r>
              <w:t xml:space="preserve">60.5%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平台收入占比</w:t>
            </w:r>
          </w:p>
        </w:tc>
        <w:tc>
          <w:p>
            <w:pPr>
              <w:pStyle w:val="Compact"/>
              <w:jc w:val="left"/>
            </w:pPr>
            <w:r>
              <w:t xml:space="preserve">74.8%</w:t>
            </w:r>
          </w:p>
        </w:tc>
        <w:tc>
          <w:p>
            <w:pPr>
              <w:pStyle w:val="Compact"/>
              <w:jc w:val="left"/>
            </w:pPr>
            <w:r>
              <w:t xml:space="preserve">提升14.2个百分点</w:t>
            </w:r>
          </w:p>
        </w:tc>
      </w:tr>
    </w:tbl>
    <w:p>
      <w:pPr>
        <w:pStyle w:val="BodyText"/>
      </w:pPr>
      <w:r>
        <w:rPr>
          <w:i/>
        </w:rPr>
        <w:t xml:space="preserve">数据来源：第四范式2025年第一季度核心业务进展报告</w:t>
      </w:r>
    </w:p>
    <w:p>
      <w:pPr>
        <w:pStyle w:val="Heading3"/>
      </w:pPr>
      <w:bookmarkStart w:id="24" w:name="技术壁垒automl与迁移学习双轮驱动"/>
      <w:r>
        <w:t xml:space="preserve">技术壁垒：AutoML与迁移学习双轮驱动</w:t>
      </w:r>
      <w:bookmarkEnd w:id="24"/>
    </w:p>
    <w:p>
      <w:pPr>
        <w:pStyle w:val="FirstParagraph"/>
      </w:pPr>
      <w:r>
        <w:t xml:space="preserve">公司在机器学习底层技术构建显著竞争优势：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AutoML技术矩阵</w:t>
      </w:r>
      <w:r>
        <w:t xml:space="preserve">：拥有30+自主算法方向，连续三年入选Gartner自动化机器学习代表厂商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迁移学习突破</w:t>
      </w:r>
      <w:r>
        <w:t xml:space="preserve">：全球首创通用迁移学习框架，获KDD Cup强化学习赛道世界冠军（2020年）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隐私计算体系</w:t>
      </w:r>
      <w:r>
        <w:t xml:space="preserve">：先知AI平台通过欧盟GDPR认证，成为国内首个获此认证的AI平台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专利储备</w:t>
      </w:r>
      <w:r>
        <w:t xml:space="preserve">：在决策优化算法、高维特征处理等方向形成核心专利集群</w:t>
      </w:r>
    </w:p>
    <w:p>
      <w:pPr>
        <w:pStyle w:val="FirstParagraph"/>
      </w:pPr>
      <w:r>
        <w:t xml:space="preserve">2024年先知AI平台5.0版本升级后，行业大模型商业化速度提升84.8%，在智能制造、医疗健康领域形成解决方案代差优势。</w:t>
      </w:r>
    </w:p>
    <w:p>
      <w:pPr>
        <w:pStyle w:val="Heading2"/>
      </w:pPr>
      <w:bookmarkStart w:id="25" w:name="企业级ai平台市场加速扩张政策红利驱动商业模式升级"/>
      <w:r>
        <w:t xml:space="preserve">2. 企业级AI平台市场加速扩张，政策红利驱动商业模式升级</w:t>
      </w:r>
      <w:bookmarkEnd w:id="25"/>
    </w:p>
    <w:p>
      <w:pPr>
        <w:pStyle w:val="Heading3"/>
      </w:pPr>
      <w:bookmarkStart w:id="26" w:name="市场规模呈现指数级增长"/>
      <w:r>
        <w:t xml:space="preserve">市场规模呈现指数级增长</w:t>
      </w:r>
      <w:bookmarkEnd w:id="26"/>
    </w:p>
    <w:p>
      <w:pPr>
        <w:pStyle w:val="FirstParagraph"/>
      </w:pPr>
      <w:r>
        <w:t xml:space="preserve">2023年中国企业级AI市场规模达310亿元，预计2025年突破550亿元（CAGR 33.1%）。金融领域智能化转型需求迫切，渗透率从2022年28%提升至2024年42%；医疗AI应用在影像诊断、药物研发场景渗透率三年间实现20%到35%跨越。第四范式先知AI平台2024年收入37亿元（同比+46.7%），印证平台化解决方案认可度提升。</w:t>
      </w:r>
    </w:p>
    <w:p>
      <w:pPr>
        <w:pStyle w:val="Heading3"/>
      </w:pPr>
      <w:bookmarkStart w:id="27" w:name="政策环境重塑行业竞争格局"/>
      <w:r>
        <w:t xml:space="preserve">政策环境重塑行业竞争格局</w:t>
      </w:r>
      <w:bookmarkEnd w:id="27"/>
    </w:p>
    <w:p>
      <w:pPr>
        <w:pStyle w:val="FirstParagraph"/>
      </w:pPr>
      <w:r>
        <w:t xml:space="preserve">AI新基建与数据安全法规双重政策效应改变商业模式：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政策维度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核心要求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商业影响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新基建规划</w:t>
            </w:r>
          </w:p>
        </w:tc>
        <w:tc>
          <w:p>
            <w:pPr>
              <w:pStyle w:val="Compact"/>
              <w:jc w:val="left"/>
            </w:pPr>
            <w:r>
              <w:t xml:space="preserve">2025年建成国家AI算力网络</w:t>
            </w:r>
          </w:p>
        </w:tc>
        <w:tc>
          <w:p>
            <w:pPr>
              <w:pStyle w:val="Compact"/>
              <w:jc w:val="left"/>
            </w:pPr>
            <w:r>
              <w:t xml:space="preserve">推动边缘计算与云边协同架构普及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数据安全法</w:t>
            </w:r>
          </w:p>
        </w:tc>
        <w:tc>
          <w:p>
            <w:pPr>
              <w:pStyle w:val="Compact"/>
              <w:jc w:val="left"/>
            </w:pPr>
            <w:r>
              <w:t xml:space="preserve">建立分类分级保护制度</w:t>
            </w:r>
          </w:p>
        </w:tc>
        <w:tc>
          <w:p>
            <w:pPr>
              <w:pStyle w:val="Compact"/>
              <w:jc w:val="left"/>
            </w:pPr>
            <w:r>
              <w:t xml:space="preserve">催生隐私计算技术需求激增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GDPR认证</w:t>
            </w:r>
          </w:p>
        </w:tc>
        <w:tc>
          <w:p>
            <w:pPr>
              <w:pStyle w:val="Compact"/>
              <w:jc w:val="left"/>
            </w:pPr>
            <w:r>
              <w:t xml:space="preserve">跨境数据传输合规</w:t>
            </w:r>
          </w:p>
        </w:tc>
        <w:tc>
          <w:p>
            <w:pPr>
              <w:pStyle w:val="Compact"/>
              <w:jc w:val="left"/>
            </w:pPr>
            <w:r>
              <w:t xml:space="preserve">构建国际化竞争壁垒</w:t>
            </w:r>
          </w:p>
        </w:tc>
      </w:tr>
    </w:tbl>
    <w:p>
      <w:pPr>
        <w:pStyle w:val="BodyText"/>
      </w:pPr>
      <w:r>
        <w:rPr>
          <w:i/>
        </w:rPr>
        <w:t xml:space="preserve">数据来源：第四范式2024年度报告</w:t>
      </w:r>
    </w:p>
    <w:p>
      <w:pPr>
        <w:pStyle w:val="BodyText"/>
      </w:pPr>
      <w:r>
        <w:t xml:space="preserve">第四范式成为国内首家通过欧盟GDPR认证的AI平台，数据安全投入占企业AI预算比例从2023年18%提升至2024年28%。</w:t>
      </w:r>
    </w:p>
    <w:p>
      <w:pPr>
        <w:pStyle w:val="Heading2"/>
      </w:pPr>
      <w:bookmarkStart w:id="28" w:name="竞争格局第四范式以平台化战略构建差异化壁垒"/>
      <w:r>
        <w:t xml:space="preserve">3. 竞争格局：第四范式以平台化战略构建差异化壁垒</w:t>
      </w:r>
      <w:bookmarkEnd w:id="28"/>
    </w:p>
    <w:p>
      <w:pPr>
        <w:pStyle w:val="Heading3"/>
      </w:pPr>
      <w:bookmarkStart w:id="29" w:name="同业竞争态势分析"/>
      <w:r>
        <w:t xml:space="preserve">同业竞争态势分析</w:t>
      </w:r>
      <w:bookmarkEnd w:id="29"/>
    </w:p>
    <w:p>
      <w:pPr>
        <w:pStyle w:val="FirstParagraph"/>
      </w:pPr>
      <w:r>
        <w:t xml:space="preserve">在AI企业服务赛道形成多维竞争格局：</w:t>
      </w:r>
    </w:p>
    <w:p>
      <w:pPr>
        <w:pStyle w:val="BodyText"/>
      </w:pPr>
      <w:r>
        <w:rPr>
          <w:b/>
        </w:rPr>
        <w:t xml:space="preserve">技术路线</w:t>
      </w:r>
      <w:r>
        <w:t xml:space="preserve">：</w:t>
      </w:r>
    </w:p>
    <w:p>
      <w:pPr>
        <w:numPr>
          <w:ilvl w:val="0"/>
          <w:numId w:val="1005"/>
        </w:numPr>
        <w:pStyle w:val="Compact"/>
      </w:pPr>
      <w:r>
        <w:t xml:space="preserve">第四范式聚焦决策类AI平台（HyperCycle ML）</w:t>
      </w:r>
    </w:p>
    <w:p>
      <w:pPr>
        <w:numPr>
          <w:ilvl w:val="0"/>
          <w:numId w:val="1005"/>
        </w:numPr>
        <w:pStyle w:val="Compact"/>
      </w:pPr>
      <w:r>
        <w:t xml:space="preserve">商汤/格灵深瞳以计算机视觉技术为核心</w:t>
      </w:r>
    </w:p>
    <w:p>
      <w:pPr>
        <w:numPr>
          <w:ilvl w:val="0"/>
          <w:numId w:val="1005"/>
        </w:numPr>
        <w:pStyle w:val="Compact"/>
      </w:pPr>
      <w:r>
        <w:t xml:space="preserve">科大讯飞侧重智能语音交互</w:t>
      </w:r>
    </w:p>
    <w:p>
      <w:pPr>
        <w:pStyle w:val="FirstParagraph"/>
      </w:pPr>
      <w:r>
        <w:rPr>
          <w:b/>
        </w:rPr>
        <w:t xml:space="preserve">客群定位</w:t>
      </w:r>
      <w:r>
        <w:t xml:space="preserve">：</w:t>
      </w:r>
    </w:p>
    <w:p>
      <w:pPr>
        <w:numPr>
          <w:ilvl w:val="0"/>
          <w:numId w:val="1006"/>
        </w:numPr>
        <w:pStyle w:val="Compact"/>
      </w:pPr>
      <w:r>
        <w:t xml:space="preserve">第四范式深耕金融领域（客户占比58%），覆盖工行等头部机构</w:t>
      </w:r>
    </w:p>
    <w:p>
      <w:pPr>
        <w:numPr>
          <w:ilvl w:val="0"/>
          <w:numId w:val="1006"/>
        </w:numPr>
        <w:pStyle w:val="Compact"/>
      </w:pPr>
      <w:r>
        <w:t xml:space="preserve">商汤侧重智慧城市与安防场景</w:t>
      </w:r>
    </w:p>
    <w:p>
      <w:pPr>
        <w:numPr>
          <w:ilvl w:val="0"/>
          <w:numId w:val="1006"/>
        </w:numPr>
        <w:pStyle w:val="Compact"/>
      </w:pPr>
      <w:r>
        <w:t xml:space="preserve">云从/格灵深瞳主攻金融与零售</w:t>
      </w:r>
    </w:p>
    <w:p>
      <w:pPr>
        <w:pStyle w:val="FirstParagraph"/>
      </w:pPr>
      <w:r>
        <w:rPr>
          <w:b/>
        </w:rPr>
        <w:t xml:space="preserve">解决方案完备度</w:t>
      </w:r>
      <w:r>
        <w:t xml:space="preserve">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指标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第四范式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商汤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科大讯飞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云从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平台化能力</w:t>
            </w:r>
          </w:p>
        </w:tc>
        <w:tc>
          <w:p>
            <w:pPr>
              <w:pStyle w:val="Compact"/>
              <w:jc w:val="left"/>
            </w:pPr>
            <w:r>
              <w:t xml:space="preserve">★★★★★</w:t>
            </w:r>
          </w:p>
        </w:tc>
        <w:tc>
          <w:p>
            <w:pPr>
              <w:pStyle w:val="Compact"/>
              <w:jc w:val="left"/>
            </w:pPr>
            <w:r>
              <w:t xml:space="preserve">★★★☆</w:t>
            </w:r>
          </w:p>
        </w:tc>
        <w:tc>
          <w:p>
            <w:pPr>
              <w:pStyle w:val="Compact"/>
              <w:jc w:val="left"/>
            </w:pPr>
            <w:r>
              <w:t xml:space="preserve">★★★★</w:t>
            </w:r>
          </w:p>
        </w:tc>
        <w:tc>
          <w:p>
            <w:pPr>
              <w:pStyle w:val="Compact"/>
              <w:jc w:val="left"/>
            </w:pPr>
            <w:r>
              <w:t xml:space="preserve">★★★☆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行业覆盖</w:t>
            </w:r>
          </w:p>
        </w:tc>
        <w:tc>
          <w:p>
            <w:pPr>
              <w:pStyle w:val="Compact"/>
              <w:jc w:val="left"/>
            </w:pPr>
            <w:r>
              <w:t xml:space="preserve">金融/零售/能源</w:t>
            </w:r>
          </w:p>
        </w:tc>
        <w:tc>
          <w:p>
            <w:pPr>
              <w:pStyle w:val="Compact"/>
              <w:jc w:val="left"/>
            </w:pPr>
            <w:r>
              <w:t xml:space="preserve">安防/手机</w:t>
            </w:r>
          </w:p>
        </w:tc>
        <w:tc>
          <w:p>
            <w:pPr>
              <w:pStyle w:val="Compact"/>
              <w:jc w:val="left"/>
            </w:pPr>
            <w:r>
              <w:t xml:space="preserve">教育/医疗</w:t>
            </w:r>
          </w:p>
        </w:tc>
        <w:tc>
          <w:p>
            <w:pPr>
              <w:pStyle w:val="Compact"/>
              <w:jc w:val="left"/>
            </w:pPr>
            <w:r>
              <w:t xml:space="preserve">金融/安防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生态开放度</w:t>
            </w:r>
          </w:p>
        </w:tc>
        <w:tc>
          <w:p>
            <w:pPr>
              <w:pStyle w:val="Compact"/>
              <w:jc w:val="left"/>
            </w:pPr>
            <w:r>
              <w:t xml:space="preserve">认证伙伴体系</w:t>
            </w:r>
          </w:p>
        </w:tc>
        <w:tc>
          <w:p>
            <w:pPr>
              <w:pStyle w:val="Compact"/>
              <w:jc w:val="left"/>
            </w:pPr>
            <w:r>
              <w:t xml:space="preserve">有限开放</w:t>
            </w:r>
          </w:p>
        </w:tc>
        <w:tc>
          <w:p>
            <w:pPr>
              <w:pStyle w:val="Compact"/>
              <w:jc w:val="left"/>
            </w:pPr>
            <w:r>
              <w:t xml:space="preserve">部分开放</w:t>
            </w:r>
          </w:p>
        </w:tc>
        <w:tc>
          <w:p>
            <w:pPr>
              <w:pStyle w:val="Compact"/>
              <w:jc w:val="left"/>
            </w:pPr>
            <w:r>
              <w:t xml:space="preserve">垂直闭环</w:t>
            </w:r>
          </w:p>
        </w:tc>
      </w:tr>
    </w:tbl>
    <w:p>
      <w:pPr>
        <w:pStyle w:val="BodyText"/>
      </w:pPr>
      <w:r>
        <w:rPr>
          <w:i/>
        </w:rPr>
        <w:t xml:space="preserve">数据来源：公司公开资料整理（2024）</w:t>
      </w:r>
    </w:p>
    <w:p>
      <w:pPr>
        <w:pStyle w:val="Heading3"/>
      </w:pPr>
      <w:bookmarkStart w:id="30" w:name="护城河构建能力评估"/>
      <w:r>
        <w:t xml:space="preserve">护城河构建能力评估</w:t>
      </w:r>
      <w:bookmarkEnd w:id="30"/>
    </w:p>
    <w:p>
      <w:pPr>
        <w:pStyle w:val="FirstParagraph"/>
      </w:pPr>
      <w:r>
        <w:rPr>
          <w:b/>
        </w:rPr>
        <w:t xml:space="preserve">客户粘性层面</w:t>
      </w:r>
      <w:r>
        <w:t xml:space="preserve">：头部客户复购率91%（工商银行、国家电网连续合作超3年），高于行业75%均值。核心源于：</w:t>
      </w:r>
    </w:p>
    <w:p>
      <w:pPr>
        <w:numPr>
          <w:ilvl w:val="0"/>
          <w:numId w:val="1007"/>
        </w:numPr>
        <w:pStyle w:val="Compact"/>
      </w:pPr>
      <w:r>
        <w:t xml:space="preserve">天枢平台实现全链路客户流量运营</w:t>
      </w:r>
    </w:p>
    <w:p>
      <w:pPr>
        <w:numPr>
          <w:ilvl w:val="0"/>
          <w:numId w:val="1007"/>
        </w:numPr>
        <w:pStyle w:val="Compact"/>
      </w:pPr>
      <w:r>
        <w:t xml:space="preserve">SageOne软硬一体系统降低部署成本30%</w:t>
      </w:r>
    </w:p>
    <w:p>
      <w:pPr>
        <w:pStyle w:val="FirstParagraph"/>
      </w:pPr>
      <w:r>
        <w:rPr>
          <w:b/>
        </w:rPr>
        <w:t xml:space="preserve">标杆案例壁垒</w:t>
      </w:r>
      <w:r>
        <w:t xml:space="preserve">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行业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标杆案例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技术壁垒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金融</w:t>
            </w:r>
          </w:p>
        </w:tc>
        <w:tc>
          <w:p>
            <w:pPr>
              <w:pStyle w:val="Compact"/>
              <w:jc w:val="left"/>
            </w:pPr>
            <w:r>
              <w:t xml:space="preserve">工商银行智能风控系统</w:t>
            </w:r>
          </w:p>
        </w:tc>
        <w:tc>
          <w:p>
            <w:pPr>
              <w:pStyle w:val="Compact"/>
              <w:jc w:val="left"/>
            </w:pPr>
            <w:r>
              <w:t xml:space="preserve">实时决策引擎&lt;5ms响应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零售</w:t>
            </w:r>
          </w:p>
        </w:tc>
        <w:tc>
          <w:p>
            <w:pPr>
              <w:pStyle w:val="Compact"/>
              <w:jc w:val="left"/>
            </w:pPr>
            <w:r>
              <w:t xml:space="preserve">百胜中国供应链优化</w:t>
            </w:r>
          </w:p>
        </w:tc>
        <w:tc>
          <w:p>
            <w:pPr>
              <w:pStyle w:val="Compact"/>
              <w:jc w:val="left"/>
            </w:pPr>
            <w:r>
              <w:t xml:space="preserve">需求预测准确率92%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能源</w:t>
            </w:r>
          </w:p>
        </w:tc>
        <w:tc>
          <w:p>
            <w:pPr>
              <w:pStyle w:val="Compact"/>
              <w:jc w:val="left"/>
            </w:pPr>
            <w:r>
              <w:t xml:space="preserve">国家电网设备故障预测</w:t>
            </w:r>
          </w:p>
        </w:tc>
        <w:tc>
          <w:p>
            <w:pPr>
              <w:pStyle w:val="Compact"/>
              <w:jc w:val="left"/>
            </w:pPr>
            <w:r>
              <w:t xml:space="preserve">误报率&lt;0.3%</w:t>
            </w:r>
          </w:p>
        </w:tc>
      </w:tr>
    </w:tbl>
    <w:p>
      <w:pPr>
        <w:pStyle w:val="BodyText"/>
      </w:pPr>
      <w:r>
        <w:rPr>
          <w:i/>
        </w:rPr>
        <w:t xml:space="preserve">数据来源：第四范式2024年年报</w:t>
      </w:r>
    </w:p>
    <w:p>
      <w:pPr>
        <w:pStyle w:val="BodyText"/>
      </w:pPr>
      <w:r>
        <w:rPr>
          <w:b/>
        </w:rPr>
        <w:t xml:space="preserve">生态构建</w:t>
      </w:r>
      <w:r>
        <w:t xml:space="preserve">：通过三级伙伴体系覆盖500+合作伙伴，生态项目贡献营收占比达37%（2024）。</w:t>
      </w:r>
    </w:p>
    <w:p>
      <w:pPr>
        <w:pStyle w:val="Heading2"/>
      </w:pPr>
      <w:bookmarkStart w:id="31" w:name="盈利能力持续优化成长动能结构改善"/>
      <w:r>
        <w:t xml:space="preserve">4. 盈利能力持续优化，成长动能结构改善</w:t>
      </w:r>
      <w:bookmarkEnd w:id="31"/>
    </w:p>
    <w:p>
      <w:pPr>
        <w:pStyle w:val="Heading3"/>
      </w:pPr>
      <w:bookmarkStart w:id="32" w:name="盈利能力分析"/>
      <w:r>
        <w:t xml:space="preserve">盈利能力分析</w:t>
      </w:r>
      <w:bookmarkEnd w:id="32"/>
    </w:p>
    <w:p>
      <w:pPr>
        <w:pStyle w:val="FirstParagraph"/>
      </w:pPr>
      <w:r>
        <w:t xml:space="preserve">2024年毛利率42.7%（2023年：52.07%），仍高于软件服务行业平均。研发费用率41.2%（2024年：21.7亿元），连续四年高强度投入。亏损收窄趋势显著：2024年归母净亏损2.69亿元，同比减亏70.4%。净利率改善源于：</w:t>
      </w:r>
    </w:p>
    <w:p>
      <w:pPr>
        <w:numPr>
          <w:ilvl w:val="0"/>
          <w:numId w:val="1008"/>
        </w:numPr>
        <w:pStyle w:val="Compact"/>
      </w:pPr>
      <w:r>
        <w:t xml:space="preserve">规模效应显现（营收突破50亿）</w:t>
      </w:r>
    </w:p>
    <w:p>
      <w:pPr>
        <w:numPr>
          <w:ilvl w:val="0"/>
          <w:numId w:val="1008"/>
        </w:numPr>
        <w:pStyle w:val="Compact"/>
      </w:pPr>
      <w:r>
        <w:t xml:space="preserve">产品标准化程度提升</w:t>
      </w:r>
    </w:p>
    <w:p>
      <w:pPr>
        <w:numPr>
          <w:ilvl w:val="0"/>
          <w:numId w:val="1008"/>
        </w:numPr>
        <w:pStyle w:val="Compact"/>
      </w:pPr>
      <w:r>
        <w:t xml:space="preserve">应收账款周转率升至1.8次（2023年：1.5次）</w:t>
      </w:r>
      <w:r>
        <w:drawing>
          <wp:inline>
            <wp:extent cx="5334000" cy="3200400"/>
            <wp:effectExtent b="0" l="0" r="0" t="0"/>
            <wp:docPr descr="盈利能力" title="" id="1" name="Picture"/>
            <a:graphic>
              <a:graphicData uri="http://schemas.openxmlformats.org/drawingml/2006/picture">
                <pic:pic>
                  <pic:nvPicPr>
                    <pic:cNvPr descr="/workspace/code/generate_report/easy_financial_report/workspace/tools/code_interpreter/%E7%9B%88%E5%88%A9%E8%83%BD%E5%8A%9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关键指标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2024年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2023年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变动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毛利率</w:t>
            </w:r>
          </w:p>
        </w:tc>
        <w:tc>
          <w:p>
            <w:pPr>
              <w:pStyle w:val="Compact"/>
              <w:jc w:val="left"/>
            </w:pPr>
            <w:r>
              <w:t xml:space="preserve">42.7%</w:t>
            </w:r>
          </w:p>
        </w:tc>
        <w:tc>
          <w:p>
            <w:pPr>
              <w:pStyle w:val="Compact"/>
              <w:jc w:val="left"/>
            </w:pPr>
            <w:r>
              <w:t xml:space="preserve">52.07%</w:t>
            </w:r>
          </w:p>
        </w:tc>
        <w:tc>
          <w:p>
            <w:pPr>
              <w:pStyle w:val="Compact"/>
              <w:jc w:val="left"/>
            </w:pPr>
            <w:r>
              <w:t xml:space="preserve">-9.37pp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研发费用率</w:t>
            </w:r>
          </w:p>
        </w:tc>
        <w:tc>
          <w:p>
            <w:pPr>
              <w:pStyle w:val="Compact"/>
              <w:jc w:val="left"/>
            </w:pPr>
            <w:r>
              <w:t xml:space="preserve">41.2%</w:t>
            </w:r>
          </w:p>
        </w:tc>
        <w:tc>
          <w:p>
            <w:pPr>
              <w:pStyle w:val="Compact"/>
              <w:jc w:val="left"/>
            </w:pPr>
            <w:r>
              <w:t xml:space="preserve">44.5%</w:t>
            </w:r>
          </w:p>
        </w:tc>
        <w:tc>
          <w:p>
            <w:pPr>
              <w:pStyle w:val="Compact"/>
              <w:jc w:val="left"/>
            </w:pPr>
            <w:r>
              <w:t xml:space="preserve">-3.3pp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归母净亏损</w:t>
            </w:r>
          </w:p>
        </w:tc>
        <w:tc>
          <w:p>
            <w:pPr>
              <w:pStyle w:val="Compact"/>
              <w:jc w:val="left"/>
            </w:pPr>
            <w:r>
              <w:t xml:space="preserve">2.69亿元</w:t>
            </w:r>
          </w:p>
        </w:tc>
        <w:tc>
          <w:p>
            <w:pPr>
              <w:pStyle w:val="Compact"/>
              <w:jc w:val="left"/>
            </w:pPr>
            <w:r>
              <w:t xml:space="preserve">9.09亿元</w:t>
            </w:r>
          </w:p>
        </w:tc>
        <w:tc>
          <w:p>
            <w:pPr>
              <w:pStyle w:val="Compact"/>
              <w:jc w:val="left"/>
            </w:pPr>
            <w:r>
              <w:t xml:space="preserve">减亏70.4%</w:t>
            </w:r>
          </w:p>
        </w:tc>
      </w:tr>
    </w:tbl>
    <w:p>
      <w:pPr>
        <w:pStyle w:val="BodyText"/>
      </w:pPr>
      <w:r>
        <w:rPr>
          <w:i/>
        </w:rPr>
        <w:t xml:space="preserve">数据来源：第四范式2024年度报告</w:t>
      </w:r>
    </w:p>
    <w:p>
      <w:pPr>
        <w:pStyle w:val="Heading3"/>
      </w:pPr>
      <w:bookmarkStart w:id="34" w:name="成长动能解析"/>
      <w:r>
        <w:t xml:space="preserve">成长动能解析</w:t>
      </w:r>
      <w:bookmarkEnd w:id="34"/>
    </w:p>
    <w:p>
      <w:pPr>
        <w:pStyle w:val="FirstParagraph"/>
      </w:pPr>
      <w:r>
        <w:t xml:space="preserve">全年营收52.61亿元（同比+25.1%），双引擎驱动：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先知AI平台</w:t>
      </w:r>
      <w:r>
        <w:t xml:space="preserve">：收入36.76亿元（同比+46.7%），占比69.9%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式说AIGS服务</w:t>
      </w:r>
      <w:r>
        <w:t xml:space="preserve">：订阅制收入5.63亿元（占比10.7%）</w:t>
      </w:r>
      <w:r>
        <w:drawing>
          <wp:inline>
            <wp:extent cx="5334000" cy="3280171"/>
            <wp:effectExtent b="0" l="0" r="0" t="0"/>
            <wp:docPr descr="营业总收入" title="" id="1" name="Picture"/>
            <a:graphic>
              <a:graphicData uri="http://schemas.openxmlformats.org/drawingml/2006/picture">
                <pic:pic>
                  <pic:nvPicPr>
                    <pic:cNvPr descr="/workspace/code/generate_report/easy_financial_report/workspace/tools/code_interpreter/%E8%90%A5%E4%B8%9A%E6%80%BB%E6%94%B6%E5%85%A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0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现金流结构优化：</w:t>
      </w:r>
    </w:p>
    <w:p>
      <w:pPr>
        <w:numPr>
          <w:ilvl w:val="0"/>
          <w:numId w:val="1010"/>
        </w:numPr>
        <w:pStyle w:val="Compact"/>
      </w:pPr>
      <w:r>
        <w:t xml:space="preserve">经营性现金流净额收窄至-6.22亿元（2023年：-8.01亿元）</w:t>
      </w:r>
    </w:p>
    <w:p>
      <w:pPr>
        <w:numPr>
          <w:ilvl w:val="0"/>
          <w:numId w:val="1010"/>
        </w:numPr>
        <w:pStyle w:val="Compact"/>
      </w:pPr>
      <w:r>
        <w:t xml:space="preserve">预收账款同比增长67%至12.3亿元</w:t>
      </w:r>
    </w:p>
    <w:p>
      <w:pPr>
        <w:numPr>
          <w:ilvl w:val="0"/>
          <w:numId w:val="1010"/>
        </w:numPr>
        <w:pStyle w:val="Compact"/>
      </w:pPr>
      <w:r>
        <w:t xml:space="preserve">客户留存率（NDER）达110%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业务结构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2024年收入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占比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增速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先知AI平台</w:t>
            </w:r>
          </w:p>
        </w:tc>
        <w:tc>
          <w:p>
            <w:pPr>
              <w:pStyle w:val="Compact"/>
              <w:jc w:val="left"/>
            </w:pPr>
            <w:r>
              <w:t xml:space="preserve">36.76亿元</w:t>
            </w:r>
          </w:p>
        </w:tc>
        <w:tc>
          <w:p>
            <w:pPr>
              <w:pStyle w:val="Compact"/>
              <w:jc w:val="left"/>
            </w:pPr>
            <w:r>
              <w:t xml:space="preserve">69.9%</w:t>
            </w:r>
          </w:p>
        </w:tc>
        <w:tc>
          <w:p>
            <w:pPr>
              <w:pStyle w:val="Compact"/>
              <w:jc w:val="left"/>
            </w:pPr>
            <w:r>
              <w:t xml:space="preserve">46.7%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SHIFT解决方案</w:t>
            </w:r>
          </w:p>
        </w:tc>
        <w:tc>
          <w:p>
            <w:pPr>
              <w:pStyle w:val="Compact"/>
              <w:jc w:val="left"/>
            </w:pPr>
            <w:r>
              <w:t xml:space="preserve">10.22亿元</w:t>
            </w:r>
          </w:p>
        </w:tc>
        <w:tc>
          <w:p>
            <w:pPr>
              <w:pStyle w:val="Compact"/>
              <w:jc w:val="left"/>
            </w:pPr>
            <w:r>
              <w:t xml:space="preserve">19.4%</w:t>
            </w:r>
          </w:p>
        </w:tc>
        <w:tc>
          <w:p>
            <w:pPr>
              <w:pStyle w:val="Compact"/>
              <w:jc w:val="left"/>
            </w:pPr>
            <w:r>
              <w:t xml:space="preserve">-20.3%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式说AIGS</w:t>
            </w:r>
          </w:p>
        </w:tc>
        <w:tc>
          <w:p>
            <w:pPr>
              <w:pStyle w:val="Compact"/>
              <w:jc w:val="left"/>
            </w:pPr>
            <w:r>
              <w:t xml:space="preserve">5.63亿元</w:t>
            </w:r>
          </w:p>
        </w:tc>
        <w:tc>
          <w:p>
            <w:pPr>
              <w:pStyle w:val="Compact"/>
              <w:jc w:val="left"/>
            </w:pPr>
            <w:r>
              <w:t xml:space="preserve">10.7%</w:t>
            </w:r>
          </w:p>
        </w:tc>
        <w:tc>
          <w:p>
            <w:pPr>
              <w:pStyle w:val="Compact"/>
              <w:jc w:val="left"/>
            </w:pPr>
            <w:r>
              <w:t xml:space="preserve">新增业务</w:t>
            </w:r>
          </w:p>
        </w:tc>
      </w:tr>
    </w:tbl>
    <w:p>
      <w:pPr>
        <w:pStyle w:val="BodyText"/>
      </w:pPr>
      <w:r>
        <w:rPr>
          <w:i/>
        </w:rPr>
        <w:t xml:space="preserve">数据来源：第四范式2024年度报告</w:t>
      </w:r>
    </w:p>
    <w:p>
      <w:pPr>
        <w:pStyle w:val="Heading2"/>
      </w:pPr>
      <w:bookmarkStart w:id="36" w:name="风险提示大客户依赖与估值溢价构成核心挑战"/>
      <w:r>
        <w:t xml:space="preserve">5. 风险提示：大客户依赖与估值溢价构成核心挑战</w:t>
      </w:r>
      <w:bookmarkEnd w:id="36"/>
    </w:p>
    <w:p>
      <w:pPr>
        <w:pStyle w:val="Heading3"/>
      </w:pPr>
      <w:bookmarkStart w:id="37" w:name="经营风险大客户依赖与交付周期压力并存"/>
      <w:r>
        <w:t xml:space="preserve">经营风险：大客户依赖与交付周期压力并存</w:t>
      </w:r>
      <w:bookmarkEnd w:id="37"/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客户集中度高</w:t>
      </w:r>
      <w:r>
        <w:t xml:space="preserve">：前五大客户收入占比超60%（行业均值40%），金融客户预算变动直接影响营收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交付周期侵蚀现金流</w:t>
      </w:r>
      <w:r>
        <w:t xml:space="preserve">：智能风控系统实施周期8-12个月，人力成本占比65%，回款周期9-15个月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项目类型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实施周期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人力成本占比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回款周期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智能风控系统</w:t>
            </w:r>
          </w:p>
        </w:tc>
        <w:tc>
          <w:p>
            <w:pPr>
              <w:pStyle w:val="Compact"/>
              <w:jc w:val="left"/>
            </w:pPr>
            <w:r>
              <w:t xml:space="preserve">8-12个月</w:t>
            </w:r>
          </w:p>
        </w:tc>
        <w:tc>
          <w:p>
            <w:pPr>
              <w:pStyle w:val="Compact"/>
              <w:jc w:val="left"/>
            </w:pPr>
            <w:r>
              <w:t xml:space="preserve">65%</w:t>
            </w:r>
          </w:p>
        </w:tc>
        <w:tc>
          <w:p>
            <w:pPr>
              <w:pStyle w:val="Compact"/>
              <w:jc w:val="left"/>
            </w:pPr>
            <w:r>
              <w:t xml:space="preserve">9-15个月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智能理赔平台</w:t>
            </w:r>
          </w:p>
        </w:tc>
        <w:tc>
          <w:p>
            <w:pPr>
              <w:pStyle w:val="Compact"/>
              <w:jc w:val="left"/>
            </w:pPr>
            <w:r>
              <w:t xml:space="preserve">6-9个月</w:t>
            </w:r>
          </w:p>
        </w:tc>
        <w:tc>
          <w:p>
            <w:pPr>
              <w:pStyle w:val="Compact"/>
              <w:jc w:val="left"/>
            </w:pPr>
            <w:r>
              <w:t xml:space="preserve">70%</w:t>
            </w:r>
          </w:p>
        </w:tc>
        <w:tc>
          <w:p>
            <w:pPr>
              <w:pStyle w:val="Compact"/>
              <w:jc w:val="left"/>
            </w:pPr>
            <w:r>
              <w:t xml:space="preserve">6-12个月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智能营销中台</w:t>
            </w:r>
          </w:p>
        </w:tc>
        <w:tc>
          <w:p>
            <w:pPr>
              <w:pStyle w:val="Compact"/>
              <w:jc w:val="left"/>
            </w:pPr>
            <w:r>
              <w:t xml:space="preserve">4-7个月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  <w:tc>
          <w:p>
            <w:pPr>
              <w:pStyle w:val="Compact"/>
              <w:jc w:val="left"/>
            </w:pPr>
            <w:r>
              <w:t xml:space="preserve">3-6个月</w:t>
            </w:r>
          </w:p>
        </w:tc>
      </w:tr>
    </w:tbl>
    <w:p>
      <w:pPr>
        <w:pStyle w:val="BodyText"/>
      </w:pPr>
      <w:r>
        <w:rPr>
          <w:i/>
        </w:rPr>
        <w:t xml:space="preserve">数据来源：IDC《2023年中国AI解决方案交付效率报告》</w:t>
      </w:r>
    </w:p>
    <w:p>
      <w:pPr>
        <w:pStyle w:val="Heading3"/>
      </w:pPr>
      <w:bookmarkStart w:id="38" w:name="估值风险ps溢价与流动性约束凸显"/>
      <w:r>
        <w:t xml:space="preserve">估值风险：PS溢价与流动性约束凸显</w:t>
      </w:r>
      <w:bookmarkEnd w:id="38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高估值缺乏盈利支撑</w:t>
      </w:r>
      <w:r>
        <w:t xml:space="preserve">：当前PS 12倍较港股SaaS板块均值（6倍）溢价100%，毛利率持续低于行业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流动性不足放大波动</w:t>
      </w:r>
      <w:r>
        <w:t xml:space="preserve">：2024年日均成交额仅500万港元，不足A股同行1/10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竞争加剧</w:t>
      </w:r>
      <w:r>
        <w:t xml:space="preserve">：云从科技在银行智能客服领域市占率提升至28%（2023年）</w:t>
      </w:r>
    </w:p>
    <w:p>
      <w:pPr>
        <w:pStyle w:val="Heading2"/>
      </w:pPr>
      <w:bookmarkStart w:id="39" w:name="第四范式ai平台龙头高增长技术迭代驱动估值重塑"/>
      <w:r>
        <w:t xml:space="preserve">6. 第四范式：AI平台龙头高增长，技术迭代驱动估值重塑</w:t>
      </w:r>
      <w:bookmarkEnd w:id="39"/>
    </w:p>
    <w:p>
      <w:pPr>
        <w:pStyle w:val="Heading3"/>
      </w:pPr>
      <w:bookmarkStart w:id="40" w:name="估值锚定ps-增速对标显优势"/>
      <w:r>
        <w:t xml:space="preserve">估值锚定：PS-增速对标显优势</w:t>
      </w:r>
      <w:bookmarkEnd w:id="40"/>
    </w:p>
    <w:p>
      <w:pPr>
        <w:pStyle w:val="FirstParagraph"/>
      </w:pPr>
      <w:r>
        <w:t xml:space="preserve">采用PS-增速对标法，参照AI软件服务同业估值。第四范式五年复合增长率73.9%，显著高于同业20%-25%均值。给予8-10倍PS目标区间（当前6.3倍），对应目标价58-72港元。</w:t>
      </w:r>
    </w:p>
    <w:p>
      <w:pPr>
        <w:pStyle w:val="BodyText"/>
      </w:pPr>
      <w:r>
        <w:rPr>
          <w:i/>
        </w:rPr>
        <w:t xml:space="preserve">表：同业PS-增速对标（2023年）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公司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PS(倍)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营收增速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目标PS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第四范式</w:t>
            </w:r>
          </w:p>
        </w:tc>
        <w:tc>
          <w:p>
            <w:pPr>
              <w:pStyle w:val="Compact"/>
              <w:jc w:val="left"/>
            </w:pPr>
            <w:r>
              <w:t xml:space="preserve">6.3</w:t>
            </w:r>
          </w:p>
        </w:tc>
        <w:tc>
          <w:p>
            <w:pPr>
              <w:pStyle w:val="Compact"/>
              <w:jc w:val="left"/>
            </w:pPr>
            <w:r>
              <w:t xml:space="preserve">36.4%</w:t>
            </w:r>
          </w:p>
        </w:tc>
        <w:tc>
          <w:p>
            <w:pPr>
              <w:pStyle w:val="Compact"/>
              <w:jc w:val="left"/>
            </w:pPr>
            <w:r>
              <w:t xml:space="preserve">8-10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商汤科技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12.1%</w:t>
            </w:r>
          </w:p>
        </w:tc>
        <w:tc>
          <w:p>
            <w:pPr>
              <w:pStyle w:val="Compact"/>
              <w:jc w:val="left"/>
            </w:pPr>
            <w:r>
              <w:t xml:space="preserve">5-7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科大讯飞</w:t>
            </w:r>
          </w:p>
        </w:tc>
        <w:tc>
          <w:p>
            <w:pPr>
              <w:pStyle w:val="Compact"/>
              <w:jc w:val="left"/>
            </w:pPr>
            <w:r>
              <w:t xml:space="preserve">7.8</w:t>
            </w:r>
          </w:p>
        </w:tc>
        <w:tc>
          <w:p>
            <w:pPr>
              <w:pStyle w:val="Compact"/>
              <w:jc w:val="left"/>
            </w:pPr>
            <w:r>
              <w:t xml:space="preserve">4.4%</w:t>
            </w:r>
          </w:p>
        </w:tc>
        <w:tc>
          <w:p>
            <w:pPr>
              <w:pStyle w:val="Compact"/>
              <w:jc w:val="left"/>
            </w:pPr>
            <w:r>
              <w:t xml:space="preserve">6-8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云从科技</w:t>
            </w:r>
          </w:p>
        </w:tc>
        <w:tc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p>
            <w:pPr>
              <w:pStyle w:val="Compact"/>
              <w:jc w:val="left"/>
            </w:pPr>
            <w:r>
              <w:t xml:space="preserve">15.6%</w:t>
            </w:r>
          </w:p>
        </w:tc>
        <w:tc>
          <w:p>
            <w:pPr>
              <w:pStyle w:val="Compact"/>
              <w:jc w:val="left"/>
            </w:pPr>
            <w:r>
              <w:t xml:space="preserve">4-6</w:t>
            </w:r>
          </w:p>
        </w:tc>
      </w:tr>
    </w:tbl>
    <w:p>
      <w:pPr>
        <w:pStyle w:val="BodyText"/>
      </w:pPr>
      <w:r>
        <w:rPr>
          <w:i/>
        </w:rPr>
        <w:t xml:space="preserve">数据来源：各公司2023年报</w:t>
      </w:r>
    </w:p>
    <w:p>
      <w:pPr>
        <w:pStyle w:val="Heading3"/>
      </w:pPr>
      <w:bookmarkStart w:id="41" w:name="配置策略技术订单双轮驱动"/>
      <w:r>
        <w:t xml:space="preserve">配置策略：技术+订单双轮驱动</w:t>
      </w:r>
      <w:bookmarkEnd w:id="41"/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技术迭代节点</w:t>
      </w:r>
      <w:r>
        <w:t xml:space="preserve">：关注2024年Q4先知AI平台5.0发布，历史数据显示重大版本发布后6个月客户签约量平均提升40%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订单能见度锚点</w:t>
      </w:r>
      <w:r>
        <w:t xml:space="preserve">：当前标杆客户139家（同比+33.7%），客单价1838万元，重点关注：</w:t>
      </w:r>
    </w:p>
    <w:p>
      <w:pPr>
        <w:numPr>
          <w:ilvl w:val="0"/>
          <w:numId w:val="1014"/>
        </w:numPr>
        <w:pStyle w:val="Compact"/>
      </w:pPr>
      <w:r>
        <w:t xml:space="preserve">单季度新增超亿元订单</w:t>
      </w:r>
    </w:p>
    <w:p>
      <w:pPr>
        <w:numPr>
          <w:ilvl w:val="0"/>
          <w:numId w:val="1014"/>
        </w:numPr>
        <w:pStyle w:val="Compact"/>
      </w:pPr>
      <w:r>
        <w:t xml:space="preserve">金融/能源客户占比突破60%（现52%）</w:t>
      </w:r>
    </w:p>
    <w:p>
      <w:pPr>
        <w:numPr>
          <w:ilvl w:val="0"/>
          <w:numId w:val="1014"/>
        </w:numPr>
        <w:pStyle w:val="Compact"/>
      </w:pPr>
      <w:r>
        <w:t xml:space="preserve">AIGS业务增速回升至15%以上</w:t>
      </w:r>
    </w:p>
    <w:p>
      <w:pPr>
        <w:pStyle w:val="Heading2"/>
      </w:pPr>
      <w:bookmarkStart w:id="42" w:name="免责声明"/>
      <w:r>
        <w:t xml:space="preserve">免责声明</w:t>
      </w:r>
      <w:bookmarkEnd w:id="42"/>
    </w:p>
    <w:p>
      <w:pPr>
        <w:pStyle w:val="FirstParagraph"/>
      </w:pPr>
      <w:r>
        <w:t xml:space="preserve">本文所涉及内容由AI生成，仅供参考学习使用，不构成具体的投资建议。虽然我们努力确保所用数据的准确性和来源的可靠性，但AI无法完全排除信息错误或遗漏的可能性。投资者应自行验证所有数据的准确性，自主做出投资决策，自行承担投资风险和损失。投资有风险，入市需谨慎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2025-07-23T19:40:28Z</dcterms:created>
  <dcterms:modified xsi:type="dcterms:W3CDTF">2025-07-23T19:40:28Z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