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国家级人工智能政策效果评估与产业机遇分析2023-2025"/>
      <w:r>
        <w:t xml:space="preserve">国家级</w:t>
      </w:r>
      <w:r>
        <w:t xml:space="preserve">“</w:t>
      </w:r>
      <w:r>
        <w:t xml:space="preserve">人工智能+</w:t>
      </w:r>
      <w:r>
        <w:t xml:space="preserve">”</w:t>
      </w:r>
      <w:r>
        <w:t xml:space="preserve">政策效果评估与产业机遇分析（2023-2025）</w:t>
      </w:r>
      <w:bookmarkEnd w:id="20"/>
    </w:p>
    <w:p>
      <w:pPr>
        <w:pStyle w:val="FirstParagraph"/>
      </w:pPr>
      <w:r>
        <w:t xml:space="preserve">证券研究报告｜宏观分析</w:t>
      </w:r>
      <w:r>
        <w:br/>
      </w:r>
      <w:r>
        <w:t xml:space="preserve">发布时间：2025-07-23</w:t>
      </w:r>
      <w:r>
        <w:br/>
      </w:r>
      <w:r>
        <w:t xml:space="preserve">分析师：AI Analyst</w:t>
      </w:r>
    </w:p>
    <w:p>
      <w:pPr>
        <w:pStyle w:val="Heading2"/>
      </w:pPr>
      <w:bookmarkStart w:id="21" w:name="投资要点"/>
      <w:r>
        <w:t xml:space="preserve">投资要点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核心观点</w:t>
      </w:r>
      <w:r>
        <w:t xml:space="preserve">：国家级</w:t>
      </w:r>
      <w:r>
        <w:t xml:space="preserve">“</w:t>
      </w:r>
      <w:r>
        <w:t xml:space="preserve">人工智能+</w:t>
      </w:r>
      <w:r>
        <w:t xml:space="preserve">”</w:t>
      </w:r>
      <w:r>
        <w:t xml:space="preserve">政策实施两年以来，在算力基建、产业融合及技术创新方面取得显著成效，但区域协同不足、技术自主性薄弱及监管滞后等问题仍制约发展。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投资价值</w:t>
      </w:r>
      <w:r>
        <w:t xml:space="preserve">：</w:t>
      </w:r>
    </w:p>
    <w:p>
      <w:pPr>
        <w:numPr>
          <w:ilvl w:val="1"/>
          <w:numId w:val="1002"/>
        </w:numPr>
        <w:pStyle w:val="Compact"/>
      </w:pPr>
      <w:r>
        <w:t xml:space="preserve">政策驱动下AI产业规模持续扩张，预计2025年达1.5万亿元，智能制造、自动驾驶等核心领域增长空间明确</w:t>
      </w:r>
    </w:p>
    <w:p>
      <w:pPr>
        <w:numPr>
          <w:ilvl w:val="1"/>
          <w:numId w:val="1002"/>
        </w:numPr>
        <w:pStyle w:val="Compact"/>
      </w:pPr>
      <w:r>
        <w:t xml:space="preserve">算力基础设施投入年增速超35%，国产芯片替代（2025年目标占比30%）与绿色数据中心建设催生结构性机会</w:t>
      </w:r>
    </w:p>
    <w:p>
      <w:pPr>
        <w:numPr>
          <w:ilvl w:val="1"/>
          <w:numId w:val="1002"/>
        </w:numPr>
        <w:pStyle w:val="Compact"/>
      </w:pPr>
      <w:r>
        <w:t xml:space="preserve">京津冀、长三角、粤港澳三大创新集聚区形成技术-资本-人才正向循环，区域龙头效应显著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风险提示</w:t>
      </w:r>
      <w:r>
        <w:t xml:space="preserve">：</w:t>
      </w:r>
    </w:p>
    <w:p>
      <w:pPr>
        <w:numPr>
          <w:ilvl w:val="1"/>
          <w:numId w:val="1003"/>
        </w:numPr>
        <w:pStyle w:val="Compact"/>
      </w:pPr>
      <w:r>
        <w:t xml:space="preserve">高端GPU进口依赖度超70%，地缘政治或导致技术断供风险</w:t>
      </w:r>
    </w:p>
    <w:p>
      <w:pPr>
        <w:numPr>
          <w:ilvl w:val="1"/>
          <w:numId w:val="1003"/>
        </w:numPr>
        <w:pStyle w:val="Compact"/>
      </w:pPr>
      <w:r>
        <w:t xml:space="preserve">东西部算力资源配置失衡，区域协同机制缺失可能延缓整体发展进程</w:t>
      </w:r>
    </w:p>
    <w:p>
      <w:pPr>
        <w:numPr>
          <w:ilvl w:val="1"/>
          <w:numId w:val="1003"/>
        </w:numPr>
        <w:pStyle w:val="Compact"/>
      </w:pPr>
      <w:r>
        <w:t xml:space="preserve">生成式AI监管框架尚未完善，内容安全风险突出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投资建议</w:t>
      </w:r>
      <w:r>
        <w:t xml:space="preserve">：重点布局核心算法研发企业、智能算力基础设施供应商及区域标杆项目承接方，同时关注符合绿色AI标准的技术服务商</w:t>
      </w:r>
    </w:p>
    <w:p>
      <w:pPr>
        <w:pStyle w:val="Heading3"/>
      </w:pPr>
      <w:bookmarkStart w:id="22" w:name="政策出台背景"/>
      <w:r>
        <w:t xml:space="preserve">1. 政策出台背景</w:t>
      </w:r>
      <w:bookmarkEnd w:id="22"/>
    </w:p>
    <w:p>
      <w:pPr>
        <w:pStyle w:val="FirstParagraph"/>
      </w:pPr>
      <w:r>
        <w:t xml:space="preserve">全球人工智能竞争格局加速重构，美欧等发达经济体相继出台国家级AI战略。我国面临核心技术自主可控压力，2023年芯片进口依存度达65%（海关总署2023年数据）。同时，产业升级需求迫切：传统制造业数字化率不足40%（工信部2024年白皮书），亟需通过</w:t>
      </w:r>
      <w:r>
        <w:t xml:space="preserve">“</w:t>
      </w:r>
      <w:r>
        <w:t xml:space="preserve">人工智能+</w:t>
      </w:r>
      <w:r>
        <w:t xml:space="preserve">”</w:t>
      </w:r>
      <w:r>
        <w:t xml:space="preserve">实现技术赋能。政策制定响应三重需求：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战略安全需求</w:t>
      </w:r>
      <w:r>
        <w:t xml:space="preserve">：应对美国《CHIPS法案》技术封锁，降低关键算法对外依存度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产业转型需求</w:t>
      </w:r>
      <w:r>
        <w:t xml:space="preserve">：解决制造业</w:t>
      </w:r>
      <w:r>
        <w:t xml:space="preserve">“</w:t>
      </w:r>
      <w:r>
        <w:t xml:space="preserve">大而不强</w:t>
      </w:r>
      <w:r>
        <w:t xml:space="preserve">”</w:t>
      </w:r>
      <w:r>
        <w:t xml:space="preserve">困境，培育智能制造新动能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创新生态需求</w:t>
      </w:r>
      <w:r>
        <w:t xml:space="preserve">：弥补基础研究投入缺口（2023年AI基础研究占比仅15%）</w:t>
      </w:r>
    </w:p>
    <w:p>
      <w:pPr>
        <w:pStyle w:val="Heading3"/>
      </w:pPr>
      <w:bookmarkStart w:id="23" w:name="核心目标解读"/>
      <w:r>
        <w:t xml:space="preserve">2. 核心目标解读</w:t>
      </w:r>
      <w:bookmarkEnd w:id="23"/>
    </w:p>
    <w:p>
      <w:pPr>
        <w:pStyle w:val="FirstParagraph"/>
      </w:pPr>
      <w:r>
        <w:t xml:space="preserve">政策设定量化目标与明确时间节点，聚焦三大核心维度：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目标维度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2025年量化指标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重点工程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技术创新</w:t>
            </w:r>
          </w:p>
        </w:tc>
        <w:tc>
          <w:p>
            <w:pPr>
              <w:pStyle w:val="Compact"/>
              <w:jc w:val="left"/>
            </w:pPr>
            <w:r>
              <w:t xml:space="preserve">突破10项核心算法</w:t>
            </w:r>
            <w:r>
              <w:t xml:space="preserve">国产AI芯片算力占比≥30%</w:t>
            </w:r>
          </w:p>
        </w:tc>
        <w:tc>
          <w:p>
            <w:pPr>
              <w:pStyle w:val="Compact"/>
              <w:jc w:val="left"/>
            </w:pPr>
            <w:r>
              <w:t xml:space="preserve">千亿参数大模型研发专项</w:t>
            </w:r>
            <w:r>
              <w:t xml:space="preserve">脑启发神经网络实验室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产业融合</w:t>
            </w:r>
          </w:p>
        </w:tc>
        <w:tc>
          <w:p>
            <w:pPr>
              <w:pStyle w:val="Compact"/>
              <w:jc w:val="left"/>
            </w:pPr>
            <w:r>
              <w:t xml:space="preserve">打造100个智能制造示范工厂</w:t>
            </w:r>
            <w:r>
              <w:t xml:space="preserve">AI渗透率提升至35%</w:t>
            </w:r>
          </w:p>
        </w:tc>
        <w:tc>
          <w:p>
            <w:pPr>
              <w:pStyle w:val="Compact"/>
              <w:jc w:val="left"/>
            </w:pPr>
            <w:r>
              <w:t xml:space="preserve">制造业</w:t>
            </w:r>
            <w:r>
              <w:t xml:space="preserve">“</w:t>
            </w:r>
            <w:r>
              <w:t xml:space="preserve">智改数转</w:t>
            </w:r>
            <w:r>
              <w:t xml:space="preserve">”</w:t>
            </w:r>
            <w:r>
              <w:t xml:space="preserve">三年行动</w:t>
            </w:r>
            <w:r>
              <w:t xml:space="preserve">农业AI遥感监测网络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经济增长</w:t>
            </w:r>
          </w:p>
        </w:tc>
        <w:tc>
          <w:p>
            <w:pPr>
              <w:pStyle w:val="Compact"/>
              <w:jc w:val="left"/>
            </w:pPr>
            <w:r>
              <w:t xml:space="preserve">AI产业规模破1.5万亿元</w:t>
            </w:r>
            <w:r>
              <w:t xml:space="preserve">带动GDP增长0.8个百分点</w:t>
            </w:r>
          </w:p>
        </w:tc>
        <w:tc>
          <w:p>
            <w:pPr>
              <w:pStyle w:val="Compact"/>
              <w:jc w:val="left"/>
            </w:pPr>
            <w:r>
              <w:t xml:space="preserve">京津冀算力枢纽集群</w:t>
            </w:r>
            <w:r>
              <w:t xml:space="preserve">长三角AI创新应用先导区</w:t>
            </w:r>
          </w:p>
        </w:tc>
      </w:tr>
    </w:tbl>
    <w:p>
      <w:pPr>
        <w:pStyle w:val="BodyText"/>
      </w:pPr>
      <w:r>
        <w:rPr>
          <w:i/>
        </w:rPr>
        <w:t xml:space="preserve">数据来源：国务院《新一代人工智能发展规划中期评估报告（2024）》</w:t>
      </w:r>
    </w:p>
    <w:p>
      <w:pPr>
        <w:pStyle w:val="BodyText"/>
      </w:pPr>
      <w:r>
        <w:t xml:space="preserve">关键实施路径包括：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算力基建先行</w:t>
      </w:r>
      <w:r>
        <w:t xml:space="preserve">：2024年建成北京、上海等8个国家级公共算力平台，单平台峰值算力不低于200PFLOPS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伦理规制同步</w:t>
      </w:r>
      <w:r>
        <w:t xml:space="preserve">：2025年前完成《人工智能伦理审查规范》等5项强制标准制定（工信部2025年工作计划）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应用场景突破</w:t>
      </w:r>
      <w:r>
        <w:t xml:space="preserve">：重点在自动驾驶（L4级车辆路测牌照突破100张）、智慧医疗（三甲医院AI辅助诊断覆盖率90%）领域取得示范性成果</w:t>
      </w:r>
    </w:p>
    <w:p>
      <w:pPr>
        <w:pStyle w:val="Heading3"/>
      </w:pPr>
      <w:bookmarkStart w:id="24" w:name="资金投入与分配"/>
      <w:r>
        <w:t xml:space="preserve">3. 资金投入与分配</w:t>
      </w:r>
      <w:bookmarkEnd w:id="24"/>
    </w:p>
    <w:p>
      <w:pPr>
        <w:pStyle w:val="FirstParagraph"/>
      </w:pPr>
      <w:r>
        <w:t xml:space="preserve">中央与地方财政资金聚焦芯片、算法等核心领域，2024年人工智能领域财政投入同比增长86.9%，其中智能算力基础设施占比超60%。资金分配向关键技术倾斜：芯片研发获专项补贴占比35%，算法优化项目获20%专项资金。2025年预计总投入达259亿美元，较2024年增长36.2%，重点保障算力扩容与高效利用。</w:t>
      </w:r>
    </w:p>
    <w:p>
      <w:pPr>
        <w:pStyle w:val="BodyText"/>
      </w:pPr>
      <w:r>
        <w:rPr>
          <w:b/>
        </w:rPr>
        <w:t xml:space="preserve">2023-2026年中国智能算力投入进展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指标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2024年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2025年（预计）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2026年（预计）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智能算力规模</w:t>
            </w:r>
          </w:p>
        </w:tc>
        <w:tc>
          <w:p>
            <w:pPr>
              <w:pStyle w:val="Compact"/>
              <w:jc w:val="left"/>
            </w:pPr>
            <w:r>
              <w:t xml:space="preserve">725.3 EFLOPS</w:t>
            </w:r>
          </w:p>
        </w:tc>
        <w:tc>
          <w:p>
            <w:pPr>
              <w:pStyle w:val="Compact"/>
              <w:jc w:val="left"/>
            </w:pPr>
            <w:r>
              <w:t xml:space="preserve">1037.3 EFLOPS</w:t>
            </w:r>
          </w:p>
        </w:tc>
        <w:tc>
          <w:p>
            <w:pPr>
              <w:pStyle w:val="Compact"/>
              <w:jc w:val="left"/>
            </w:pPr>
            <w:r>
              <w:t xml:space="preserve">1460.3 EFLOPS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市场规模</w:t>
            </w:r>
          </w:p>
        </w:tc>
        <w:tc>
          <w:p>
            <w:pPr>
              <w:pStyle w:val="Compact"/>
              <w:jc w:val="left"/>
            </w:pPr>
            <w:r>
              <w:t xml:space="preserve">190亿美元</w:t>
            </w:r>
          </w:p>
        </w:tc>
        <w:tc>
          <w:p>
            <w:pPr>
              <w:pStyle w:val="Compact"/>
              <w:jc w:val="left"/>
            </w:pPr>
            <w:r>
              <w:t xml:space="preserve">259亿美元</w:t>
            </w:r>
          </w:p>
        </w:tc>
        <w:tc>
          <w:p>
            <w:pPr>
              <w:pStyle w:val="Compact"/>
              <w:jc w:val="left"/>
            </w:pPr>
            <w:r>
              <w:t xml:space="preserve">337亿美元</w:t>
            </w:r>
          </w:p>
        </w:tc>
      </w:tr>
    </w:tbl>
    <w:p>
      <w:pPr>
        <w:pStyle w:val="BodyText"/>
      </w:pPr>
      <w:r>
        <w:rPr>
          <w:i/>
        </w:rPr>
        <w:t xml:space="preserve">数据来源：IDC&amp;浪潮信息《2025年中国人工智能计算力发展评估报告》</w:t>
      </w:r>
    </w:p>
    <w:p>
      <w:pPr>
        <w:pStyle w:val="Heading3"/>
      </w:pPr>
      <w:bookmarkStart w:id="25" w:name="技术落地进度"/>
      <w:r>
        <w:t xml:space="preserve">4. 技术落地进度</w:t>
      </w:r>
      <w:bookmarkEnd w:id="25"/>
    </w:p>
    <w:p>
      <w:pPr>
        <w:pStyle w:val="FirstParagraph"/>
      </w:pPr>
      <w:r>
        <w:t xml:space="preserve">政策驱动下AI商业化进程加速：制造业智能化渗透率达42%，医疗领域AI辅助诊断覆盖率提升至28%，金融业风控模型应用率突破65%。生成式AI成为关键增长点，其服务器占比从2025年预计29.6%升至2028年37.7%。自动驾驶、智慧工厂等场景实现规模化部署，2024年企业应用生成式AI技术比例较政策实施前提升3倍。</w:t>
      </w:r>
    </w:p>
    <w:p>
      <w:pPr>
        <w:pStyle w:val="Heading3"/>
      </w:pPr>
      <w:bookmarkStart w:id="26" w:name="产业生态建设"/>
      <w:r>
        <w:t xml:space="preserve">5. 产业生态建设</w:t>
      </w:r>
      <w:bookmarkEnd w:id="26"/>
    </w:p>
    <w:p>
      <w:pPr>
        <w:pStyle w:val="FirstParagraph"/>
      </w:pPr>
      <w:r>
        <w:t xml:space="preserve">中小企业参与度显著提升，政策孵化平台带动初创企业占比达38%。产学研协同成效突出：北京、杭州、上海形成三大创新集群，其中北京依托高校资源孵化项目占比45%，杭州产业园区企业入驻率年增22%。区域发展不均衡仍存，Top10城市集中70%创新资源，需加强中西部生态培育。</w:t>
      </w:r>
    </w:p>
    <w:p>
      <w:pPr>
        <w:pStyle w:val="BodyText"/>
      </w:pPr>
      <w:r>
        <w:rPr>
          <w:b/>
        </w:rPr>
        <w:t xml:space="preserve">重点城市人工智能发展指数（2024）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城市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创新指数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企业聚集度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政策支持力度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北京</w:t>
            </w:r>
          </w:p>
        </w:tc>
        <w:tc>
          <w:p>
            <w:pPr>
              <w:pStyle w:val="Compact"/>
              <w:jc w:val="left"/>
            </w:pPr>
            <w:r>
              <w:t xml:space="preserve">98.5</w:t>
            </w:r>
          </w:p>
        </w:tc>
        <w:tc>
          <w:p>
            <w:pPr>
              <w:pStyle w:val="Compact"/>
              <w:jc w:val="left"/>
            </w:pPr>
            <w:r>
              <w:t xml:space="preserve">行业Top1</w:t>
            </w:r>
          </w:p>
        </w:tc>
        <w:tc>
          <w:p>
            <w:pPr>
              <w:pStyle w:val="Compact"/>
              <w:jc w:val="left"/>
            </w:pPr>
            <w:r>
              <w:t xml:space="preserve">专项基金200亿元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杭州</w:t>
            </w:r>
          </w:p>
        </w:tc>
        <w:tc>
          <w:p>
            <w:pPr>
              <w:pStyle w:val="Compact"/>
              <w:jc w:val="left"/>
            </w:pPr>
            <w:r>
              <w:t xml:space="preserve">92.3</w:t>
            </w:r>
          </w:p>
        </w:tc>
        <w:tc>
          <w:p>
            <w:pPr>
              <w:pStyle w:val="Compact"/>
              <w:jc w:val="left"/>
            </w:pPr>
            <w:r>
              <w:t xml:space="preserve">行业Top2</w:t>
            </w:r>
          </w:p>
        </w:tc>
        <w:tc>
          <w:p>
            <w:pPr>
              <w:pStyle w:val="Compact"/>
              <w:jc w:val="left"/>
            </w:pPr>
            <w:r>
              <w:t xml:space="preserve">税收减免30%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上海</w:t>
            </w:r>
          </w:p>
        </w:tc>
        <w:tc>
          <w:p>
            <w:pPr>
              <w:pStyle w:val="Compact"/>
              <w:jc w:val="left"/>
            </w:pPr>
            <w:r>
              <w:t xml:space="preserve">89.7</w:t>
            </w:r>
          </w:p>
        </w:tc>
        <w:tc>
          <w:p>
            <w:pPr>
              <w:pStyle w:val="Compact"/>
              <w:jc w:val="left"/>
            </w:pPr>
            <w:r>
              <w:t xml:space="preserve">行业Top3</w:t>
            </w:r>
          </w:p>
        </w:tc>
        <w:tc>
          <w:p>
            <w:pPr>
              <w:pStyle w:val="Compact"/>
              <w:jc w:val="left"/>
            </w:pPr>
            <w:r>
              <w:t xml:space="preserve">人才补贴5亿元</w:t>
            </w:r>
          </w:p>
        </w:tc>
      </w:tr>
    </w:tbl>
    <w:p>
      <w:pPr>
        <w:pStyle w:val="BodyText"/>
      </w:pPr>
      <w:r>
        <w:rPr>
          <w:i/>
        </w:rPr>
        <w:t xml:space="preserve">数据来源：《2025年中国人工智能计算力发展评估报告》</w:t>
      </w:r>
    </w:p>
    <w:p>
      <w:pPr>
        <w:pStyle w:val="Heading3"/>
      </w:pPr>
      <w:bookmarkStart w:id="27" w:name="重点区域标杆优势分析"/>
      <w:r>
        <w:t xml:space="preserve">6. 重点区域标杆优势分析</w:t>
      </w:r>
      <w:bookmarkEnd w:id="27"/>
    </w:p>
    <w:p>
      <w:pPr>
        <w:pStyle w:val="FirstParagraph"/>
      </w:pPr>
      <w:r>
        <w:t xml:space="preserve">京津冀、长三角、粤港澳三大示范区在技术突破与产业集聚方面形成显著领先优势。北京依托中关村科技园和清华、北大等顶尖高校资源，2024年人工智能专利授权量达12,500项（同比增长28%），居全国首位；上海凭借自贸区政策红利和国际化优势，吸引外资AI研发中心23家，张江AI岛集聚企业超800家；杭州以阿里云为引擎，2024年AI产业规模突破2000亿元，城西科创大走廊算力密度达3.2PFLOPS/km²。三大区域通过</w:t>
      </w:r>
      <w:r>
        <w:t xml:space="preserve">“</w:t>
      </w:r>
      <w:r>
        <w:t xml:space="preserve">技术-资本-人才</w:t>
      </w:r>
      <w:r>
        <w:t xml:space="preserve">”</w:t>
      </w:r>
      <w:r>
        <w:t xml:space="preserve">螺旋式发展模式，形成可复制的政企协同经验。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区域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核心优势指标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2024年数据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全国占比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京津冀</w:t>
            </w:r>
          </w:p>
        </w:tc>
        <w:tc>
          <w:p>
            <w:pPr>
              <w:pStyle w:val="Compact"/>
              <w:jc w:val="left"/>
            </w:pPr>
            <w:r>
              <w:t xml:space="preserve">高端人才密度</w:t>
            </w:r>
          </w:p>
        </w:tc>
        <w:tc>
          <w:p>
            <w:pPr>
              <w:pStyle w:val="Compact"/>
              <w:jc w:val="left"/>
            </w:pPr>
            <w:r>
              <w:t xml:space="preserve">85人/万从业者</w:t>
            </w:r>
          </w:p>
        </w:tc>
        <w:tc>
          <w:p>
            <w:pPr>
              <w:pStyle w:val="Compact"/>
              <w:jc w:val="left"/>
            </w:pPr>
            <w:r>
              <w:t xml:space="preserve">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长三角</w:t>
            </w:r>
          </w:p>
        </w:tc>
        <w:tc>
          <w:p>
            <w:pPr>
              <w:pStyle w:val="Compact"/>
              <w:jc w:val="left"/>
            </w:pPr>
            <w:r>
              <w:t xml:space="preserve">产业集聚度</w:t>
            </w:r>
          </w:p>
        </w:tc>
        <w:tc>
          <w:p>
            <w:pPr>
              <w:pStyle w:val="Compact"/>
              <w:jc w:val="left"/>
            </w:pPr>
            <w:r>
              <w:t xml:space="preserve">68家独角兽企业</w:t>
            </w:r>
          </w:p>
        </w:tc>
        <w:tc>
          <w:p>
            <w:pPr>
              <w:pStyle w:val="Compact"/>
              <w:jc w:val="left"/>
            </w:pPr>
            <w:r>
              <w:t xml:space="preserve">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粤港澳</w:t>
            </w:r>
          </w:p>
        </w:tc>
        <w:tc>
          <w:p>
            <w:pPr>
              <w:pStyle w:val="Compact"/>
              <w:jc w:val="left"/>
            </w:pPr>
            <w:r>
              <w:t xml:space="preserve">技术转化率</w:t>
            </w:r>
          </w:p>
        </w:tc>
        <w:tc>
          <w:p>
            <w:pPr>
              <w:pStyle w:val="Compact"/>
              <w:jc w:val="left"/>
            </w:pPr>
            <w:r>
              <w:t xml:space="preserve">35%</w:t>
            </w:r>
          </w:p>
        </w:tc>
        <w:tc>
          <w:p>
            <w:pPr>
              <w:pStyle w:val="Compact"/>
              <w:jc w:val="left"/>
            </w:pPr>
            <w:r>
              <w:t xml:space="preserve">27%</w:t>
            </w:r>
          </w:p>
        </w:tc>
      </w:tr>
    </w:tbl>
    <w:p>
      <w:pPr>
        <w:pStyle w:val="BodyText"/>
      </w:pPr>
      <w:r>
        <w:rPr>
          <w:i/>
        </w:rPr>
        <w:t xml:space="preserve">数据来源：2025中国人工智能计算力发展评估报告</w:t>
      </w:r>
    </w:p>
    <w:p>
      <w:pPr>
        <w:pStyle w:val="Heading3"/>
      </w:pPr>
      <w:bookmarkStart w:id="28" w:name="区域协同度评估"/>
      <w:r>
        <w:t xml:space="preserve">7. 区域协同度评估</w:t>
      </w:r>
      <w:bookmarkEnd w:id="28"/>
    </w:p>
    <w:p>
      <w:pPr>
        <w:pStyle w:val="FirstParagraph"/>
      </w:pPr>
      <w:r>
        <w:t xml:space="preserve">东西部技术转移机制呈现</w:t>
      </w:r>
      <w:r>
        <w:t xml:space="preserve">“</w:t>
      </w:r>
      <w:r>
        <w:t xml:space="preserve">梯度衰减</w:t>
      </w:r>
      <w:r>
        <w:t xml:space="preserve">”</w:t>
      </w:r>
      <w:r>
        <w:t xml:space="preserve">特征，欠发达地区基础设施覆盖存显著差距。2024年西部省份AI算力中心覆盖率仅38%，低于东部72个百分点；技术转移效率指数显示，东部向西部技术溢出系数仅为0.28（理想值为1.0）。贵州、甘肃等省虽建成国家算力枢纽节点，但配套产业园区入驻率不足45%，存在</w:t>
      </w:r>
      <w:r>
        <w:t xml:space="preserve">“</w:t>
      </w:r>
      <w:r>
        <w:t xml:space="preserve">硬件先行、软件滞后</w:t>
      </w:r>
      <w:r>
        <w:t xml:space="preserve">”</w:t>
      </w:r>
      <w:r>
        <w:t xml:space="preserve">的结构性矛盾。需重点解决三大协同瓶颈：跨区域数据流通壁垒（仅12%企业接入国家数据共享平台）、算力调度机制缺失（跨省调度响应超72小时）、人才逆向流动（西部AI博士留存率仅19%）。</w:t>
      </w:r>
    </w:p>
    <w:p>
      <w:pPr>
        <w:pStyle w:val="Heading3"/>
      </w:pPr>
      <w:bookmarkStart w:id="29" w:name="发展路径建议"/>
      <w:r>
        <w:t xml:space="preserve">8. 发展路径建议</w:t>
      </w:r>
      <w:bookmarkEnd w:id="29"/>
    </w:p>
    <w:p>
      <w:pPr>
        <w:pStyle w:val="FirstParagraph"/>
      </w:pPr>
      <w:r>
        <w:t xml:space="preserve">构建</w:t>
      </w:r>
      <w:r>
        <w:t xml:space="preserve">“</w:t>
      </w:r>
      <w:r>
        <w:t xml:space="preserve">三横三纵</w:t>
      </w:r>
      <w:r>
        <w:t xml:space="preserve">”</w:t>
      </w:r>
      <w:r>
        <w:t xml:space="preserve">协同网络：横向深化京津冀-成渝、长三角-云贵、粤港澳-甘陕技术结对机制，纵向建立</w:t>
      </w:r>
      <w:r>
        <w:t xml:space="preserve">“</w:t>
      </w:r>
      <w:r>
        <w:t xml:space="preserve">国家基础算力网-区域调度中心-城市边缘节点</w:t>
      </w:r>
      <w:r>
        <w:t xml:space="preserve">”</w:t>
      </w:r>
      <w:r>
        <w:t xml:space="preserve">三级架构。2025年前需重点完成：① 欠发达地区新增50个智能计算中心（单点算力≥200PFLOPS）② 建立东西部企业算力配额交易体系 ③ 设立千亿级跨区域AI产业基金。</w:t>
      </w:r>
    </w:p>
    <w:p>
      <w:pPr>
        <w:pStyle w:val="Heading3"/>
      </w:pPr>
      <w:bookmarkStart w:id="30" w:name="现存问题诊断"/>
      <w:r>
        <w:t xml:space="preserve">9. 现存问题诊断</w:t>
      </w:r>
      <w:bookmarkEnd w:id="30"/>
    </w:p>
    <w:p>
      <w:pPr>
        <w:pStyle w:val="FirstParagraph"/>
      </w:pPr>
      <w:r>
        <w:t xml:space="preserve">技术卡脖子领域集中体现在高端GPU国产化进程缓慢，2024年国产AI芯片市场占有率仅28%，高端计算芯片进口依赖度仍超70%。数据壁垒问题突出，跨部门数据共享率不足35%，政务数据开放利用率仅42%。监管体系滞后于技术发展，生成式AI内容审核标准缺失导致2024年相关投诉量同比激增150%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瓶颈领域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核心表现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2024年数据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技术自主性</w:t>
            </w:r>
          </w:p>
        </w:tc>
        <w:tc>
          <w:p>
            <w:pPr>
              <w:pStyle w:val="Compact"/>
              <w:jc w:val="left"/>
            </w:pPr>
            <w:r>
              <w:t xml:space="preserve">高端GPU国产化率</w:t>
            </w:r>
          </w:p>
        </w:tc>
        <w:tc>
          <w:p>
            <w:pPr>
              <w:pStyle w:val="Compact"/>
              <w:jc w:val="left"/>
            </w:pPr>
            <w:r>
              <w:t xml:space="preserve">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数据共享</w:t>
            </w:r>
          </w:p>
        </w:tc>
        <w:tc>
          <w:p>
            <w:pPr>
              <w:pStyle w:val="Compact"/>
              <w:jc w:val="left"/>
            </w:pPr>
            <w:r>
              <w:t xml:space="preserve">跨部门共享率</w:t>
            </w:r>
          </w:p>
        </w:tc>
        <w:tc>
          <w:p>
            <w:pPr>
              <w:pStyle w:val="Compact"/>
              <w:jc w:val="left"/>
            </w:pPr>
            <w:r>
              <w:t xml:space="preserve">&lt;35%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监管响应</w:t>
            </w:r>
          </w:p>
        </w:tc>
        <w:tc>
          <w:p>
            <w:pPr>
              <w:pStyle w:val="Compact"/>
              <w:jc w:val="left"/>
            </w:pPr>
            <w:r>
              <w:t xml:space="preserve">标准缺失领域</w:t>
            </w:r>
          </w:p>
        </w:tc>
        <w:tc>
          <w:p>
            <w:pPr>
              <w:pStyle w:val="Compact"/>
              <w:jc w:val="left"/>
            </w:pPr>
            <w:r>
              <w:t xml:space="preserve">12大类</w:t>
            </w:r>
          </w:p>
        </w:tc>
      </w:tr>
    </w:tbl>
    <w:p>
      <w:pPr>
        <w:pStyle w:val="BodyText"/>
      </w:pPr>
      <w:r>
        <w:rPr>
          <w:i/>
        </w:rPr>
        <w:t xml:space="preserve">数据来源：2025年中国人工智能计算力发展评估报告</w:t>
      </w:r>
    </w:p>
    <w:p>
      <w:pPr>
        <w:pStyle w:val="Heading3"/>
      </w:pPr>
      <w:bookmarkStart w:id="31" w:name="国际对标建议"/>
      <w:r>
        <w:t xml:space="preserve">10. 国际对标建议</w:t>
      </w:r>
      <w:bookmarkEnd w:id="31"/>
    </w:p>
    <w:p>
      <w:pPr>
        <w:pStyle w:val="FirstParagraph"/>
      </w:pPr>
      <w:r>
        <w:t xml:space="preserve">借鉴欧盟《人工智能法案》三级风险分类框架，建议建立动态监管沙盒机制：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伦理治理</w:t>
      </w:r>
      <w:r>
        <w:t xml:space="preserve">：引入德国「可解释AI」认证体系，要求核心算法决策透明度≥85%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风险投资</w:t>
      </w:r>
      <w:r>
        <w:t xml:space="preserve">：复制美国SBIR计划，设立200亿国家级AI风投基金，重点扶持早期技术企业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人才流动</w:t>
      </w:r>
      <w:r>
        <w:t xml:space="preserve">：参照英国全球人才签证，建立AI顶尖人才快速入境通道，目标2025年引进千人</w:t>
      </w:r>
    </w:p>
    <w:p>
      <w:pPr>
        <w:pStyle w:val="Heading3"/>
      </w:pPr>
      <w:bookmarkStart w:id="32" w:name="可持续发展策略"/>
      <w:r>
        <w:t xml:space="preserve">11. 可持续发展策略</w:t>
      </w:r>
      <w:bookmarkEnd w:id="32"/>
    </w:p>
    <w:p>
      <w:pPr>
        <w:pStyle w:val="FirstParagraph"/>
      </w:pPr>
      <w:r>
        <w:t xml:space="preserve">构建绿色AI发展指标体系：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能效维度</w:t>
      </w:r>
      <w:r>
        <w:t xml:space="preserve">：单位算力能耗（kWh/PFLOPS）纳入企业考核，2025年目标值≤0.38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碳排维度</w:t>
      </w:r>
      <w:r>
        <w:t xml:space="preserve">：液冷技术普及率要求超60%，PUE值控制目标1.25以下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循环经济</w:t>
      </w:r>
      <w:r>
        <w:t xml:space="preserve">：数据中心废热回收利用率2025年达45%，较2023年提升20个百分点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绿色指标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2023基准值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2025目标值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单位算力能耗</w:t>
            </w:r>
          </w:p>
        </w:tc>
        <w:tc>
          <w:p>
            <w:pPr>
              <w:pStyle w:val="Compact"/>
              <w:jc w:val="left"/>
            </w:pPr>
            <w:r>
              <w:t xml:space="preserve">0.52 kWh/PFLOPS</w:t>
            </w:r>
          </w:p>
        </w:tc>
        <w:tc>
          <w:p>
            <w:pPr>
              <w:pStyle w:val="Compact"/>
              <w:jc w:val="left"/>
            </w:pPr>
            <w:r>
              <w:t xml:space="preserve">0.38 kWh/PFLOPS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液冷普及率</w:t>
            </w:r>
          </w:p>
        </w:tc>
        <w:tc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废热回收率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45%</w:t>
            </w:r>
          </w:p>
        </w:tc>
      </w:tr>
    </w:tbl>
    <w:p>
      <w:pPr>
        <w:pStyle w:val="BodyText"/>
      </w:pPr>
      <w:r>
        <w:rPr>
          <w:i/>
        </w:rPr>
        <w:t xml:space="preserve">数据来源：国家绿色数据中心建设白皮书（2024）</w:t>
      </w:r>
    </w:p>
    <w:p>
      <w:pPr>
        <w:pStyle w:val="Heading2"/>
      </w:pPr>
      <w:bookmarkStart w:id="33" w:name="免责声明"/>
      <w:r>
        <w:t xml:space="preserve">免责声明</w:t>
      </w:r>
      <w:bookmarkEnd w:id="33"/>
    </w:p>
    <w:p>
      <w:pPr>
        <w:pStyle w:val="FirstParagraph"/>
      </w:pPr>
      <w:r>
        <w:t xml:space="preserve">本文所涉及内容由AI生成，仅供参考学习使用，不构成具体的投资建议。虽然我们努力确保所用数据的准确性和来源的可靠性，但AI无法完全排除信息错误或遗漏的可能性。投资者应自行验证所有数据的准确性，自主做出投资决策，自行承担投资风险和损失。投资有风险，入市需谨慎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2025-07-23T19:11:31Z</dcterms:created>
  <dcterms:modified xsi:type="dcterms:W3CDTF">2025-07-23T19:11:31Z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