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上海家化(600315.SH)2021年报分析</w:t>
      </w:r>
    </w:p>
    <w:p>
      <w:pPr>
        <w:pStyle w:val="Heading1"/>
      </w:pPr>
      <w:r>
        <w:t>营收利润情况</w:t>
      </w:r>
    </w:p>
    <w:p>
      <w:r>
        <w:t>上海家化(600315.SH)全年实现营业总收入76.46亿元，同比增长8.73%；实现净利润6.49亿元，同比增长50.92%。</w:t>
      </w:r>
    </w:p>
    <w:p>
      <w:r>
        <w:drawing>
          <wp:inline xmlns:a="http://schemas.openxmlformats.org/drawingml/2006/main" xmlns:pic="http://schemas.openxmlformats.org/drawingml/2006/picture">
            <wp:extent cx="27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00000" cy="18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运营效率情况</w:t>
      </w:r>
    </w:p>
    <w:p>
      <w:r>
        <w:t>净利率同期增长2.37pct至8.49%，毛利率同期增长2.84pct至58.73%。费用率方面，销售费用率同期增长1.02pct至38.54%，管理费用率同期增长0.10pct至10.34%，财务费用率同期下降-0.45pct至0.16%。</w:t>
      </w:r>
    </w:p>
    <w:p>
      <w:r>
        <w:drawing>
          <wp:inline xmlns:a="http://schemas.openxmlformats.org/drawingml/2006/main" xmlns:pic="http://schemas.openxmlformats.org/drawingml/2006/picture">
            <wp:extent cx="2700000" cy="18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00000" cy="18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杜邦分析</w:t>
      </w:r>
    </w:p>
    <w:p>
      <w:r>
        <w:t>ROE同期增长2.92pct至9.65%，根据杜邦分析法拆解，净利率同期增长2.37pct至8.49%。资产周转率同期增长2.57pct至65.24%，资产负债率同期增长0.21pct至42.67%。</w:t>
      </w:r>
    </w:p>
    <w:p>
      <w:r>
        <w:drawing>
          <wp:inline xmlns:a="http://schemas.openxmlformats.org/drawingml/2006/main" xmlns:pic="http://schemas.openxmlformats.org/drawingml/2006/picture">
            <wp:extent cx="2700000" cy="18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00000" cy="180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财务摘要（百万元）</w:t>
            </w:r>
          </w:p>
        </w:tc>
        <w:tc>
          <w:tcPr>
            <w:tcW w:type="dxa" w:w="1440"/>
          </w:tcPr>
          <w:p>
            <w:r>
              <w:t>2017A</w:t>
            </w:r>
          </w:p>
        </w:tc>
        <w:tc>
          <w:tcPr>
            <w:tcW w:type="dxa" w:w="1440"/>
          </w:tcPr>
          <w:p>
            <w:r>
              <w:t>2018A</w:t>
            </w:r>
          </w:p>
        </w:tc>
        <w:tc>
          <w:tcPr>
            <w:tcW w:type="dxa" w:w="1440"/>
          </w:tcPr>
          <w:p>
            <w:r>
              <w:t>2019A</w:t>
            </w:r>
          </w:p>
        </w:tc>
        <w:tc>
          <w:tcPr>
            <w:tcW w:type="dxa" w:w="1440"/>
          </w:tcPr>
          <w:p>
            <w:r>
              <w:t>2020A</w:t>
            </w:r>
          </w:p>
        </w:tc>
        <w:tc>
          <w:tcPr>
            <w:tcW w:type="dxa" w:w="1440"/>
          </w:tcPr>
          <w:p>
            <w:r>
              <w:t>2021A</w:t>
            </w:r>
          </w:p>
        </w:tc>
      </w:tr>
      <w:tr>
        <w:tc>
          <w:tcPr>
            <w:tcW w:type="dxa" w:w="1440"/>
          </w:tcPr>
          <w:p>
            <w:r>
              <w:t>营业收入</w:t>
            </w:r>
          </w:p>
        </w:tc>
        <w:tc>
          <w:tcPr>
            <w:tcW w:type="dxa" w:w="1440"/>
          </w:tcPr>
          <w:p>
            <w:r>
              <w:t>6488</w:t>
            </w:r>
          </w:p>
        </w:tc>
        <w:tc>
          <w:tcPr>
            <w:tcW w:type="dxa" w:w="1440"/>
          </w:tcPr>
          <w:p>
            <w:r>
              <w:t>7137</w:t>
            </w:r>
          </w:p>
        </w:tc>
        <w:tc>
          <w:tcPr>
            <w:tcW w:type="dxa" w:w="1440"/>
          </w:tcPr>
          <w:p>
            <w:r>
              <w:t>7596</w:t>
            </w:r>
          </w:p>
        </w:tc>
        <w:tc>
          <w:tcPr>
            <w:tcW w:type="dxa" w:w="1440"/>
          </w:tcPr>
          <w:p>
            <w:r>
              <w:t>7032</w:t>
            </w:r>
          </w:p>
        </w:tc>
        <w:tc>
          <w:tcPr>
            <w:tcW w:type="dxa" w:w="1440"/>
          </w:tcPr>
          <w:p>
            <w:r>
              <w:t>7646</w:t>
            </w:r>
          </w:p>
        </w:tc>
      </w:tr>
      <w:tr>
        <w:tc>
          <w:tcPr>
            <w:tcW w:type="dxa" w:w="1440"/>
          </w:tcPr>
          <w:p>
            <w:r>
              <w:t>(+/-)%</w:t>
            </w:r>
          </w:p>
        </w:tc>
        <w:tc>
          <w:tcPr>
            <w:tcW w:type="dxa" w:w="1440"/>
          </w:tcPr>
          <w:p>
            <w:r>
              <w:t>8.82</w:t>
            </w:r>
          </w:p>
        </w:tc>
        <w:tc>
          <w:tcPr>
            <w:tcW w:type="dxa" w:w="1440"/>
          </w:tcPr>
          <w:p>
            <w:r>
              <w:t>10.01</w:t>
            </w:r>
          </w:p>
        </w:tc>
        <w:tc>
          <w:tcPr>
            <w:tcW w:type="dxa" w:w="1440"/>
          </w:tcPr>
          <w:p>
            <w:r>
              <w:t>6.43</w:t>
            </w:r>
          </w:p>
        </w:tc>
        <w:tc>
          <w:tcPr>
            <w:tcW w:type="dxa" w:w="1440"/>
          </w:tcPr>
          <w:p>
            <w:r>
              <w:t>-7.43</w:t>
            </w:r>
          </w:p>
        </w:tc>
        <w:tc>
          <w:tcPr>
            <w:tcW w:type="dxa" w:w="1440"/>
          </w:tcPr>
          <w:p>
            <w:r>
              <w:t>8.73</w:t>
            </w:r>
          </w:p>
        </w:tc>
      </w:tr>
      <w:tr>
        <w:tc>
          <w:tcPr>
            <w:tcW w:type="dxa" w:w="1440"/>
          </w:tcPr>
          <w:p>
            <w:r>
              <w:t>经营利润(EBIT)</w:t>
            </w:r>
          </w:p>
        </w:tc>
        <w:tc>
          <w:tcPr>
            <w:tcW w:type="dxa" w:w="1440"/>
          </w:tcPr>
          <w:p>
            <w:r>
              <w:t>501</w:t>
            </w:r>
          </w:p>
        </w:tc>
        <w:tc>
          <w:tcPr>
            <w:tcW w:type="dxa" w:w="1440"/>
          </w:tcPr>
          <w:p>
            <w:r>
              <w:t>707</w:t>
            </w:r>
          </w:p>
        </w:tc>
        <w:tc>
          <w:tcPr>
            <w:tcW w:type="dxa" w:w="1440"/>
          </w:tcPr>
          <w:p>
            <w:r>
              <w:t>733</w:t>
            </w:r>
          </w:p>
        </w:tc>
        <w:tc>
          <w:tcPr>
            <w:tcW w:type="dxa" w:w="1440"/>
          </w:tcPr>
          <w:p>
            <w:r>
              <w:t>577</w:t>
            </w:r>
          </w:p>
        </w:tc>
        <w:tc>
          <w:tcPr>
            <w:tcW w:type="dxa" w:w="1440"/>
          </w:tcPr>
          <w:p>
            <w:r>
              <w:t>776</w:t>
            </w:r>
          </w:p>
        </w:tc>
      </w:tr>
      <w:tr>
        <w:tc>
          <w:tcPr>
            <w:tcW w:type="dxa" w:w="1440"/>
          </w:tcPr>
          <w:p>
            <w:r>
              <w:t>(+/-)%</w:t>
            </w:r>
          </w:p>
        </w:tc>
        <w:tc>
          <w:tcPr>
            <w:tcW w:type="dxa" w:w="1440"/>
          </w:tcPr>
          <w:p>
            <w:r>
              <w:t>73.69</w:t>
            </w:r>
          </w:p>
        </w:tc>
        <w:tc>
          <w:tcPr>
            <w:tcW w:type="dxa" w:w="1440"/>
          </w:tcPr>
          <w:p>
            <w:r>
              <w:t>41.13</w:t>
            </w:r>
          </w:p>
        </w:tc>
        <w:tc>
          <w:tcPr>
            <w:tcW w:type="dxa" w:w="1440"/>
          </w:tcPr>
          <w:p>
            <w:r>
              <w:t>3.71</w:t>
            </w:r>
          </w:p>
        </w:tc>
        <w:tc>
          <w:tcPr>
            <w:tcW w:type="dxa" w:w="1440"/>
          </w:tcPr>
          <w:p>
            <w:r>
              <w:t>-21.29</w:t>
            </w:r>
          </w:p>
        </w:tc>
        <w:tc>
          <w:tcPr>
            <w:tcW w:type="dxa" w:w="1440"/>
          </w:tcPr>
          <w:p>
            <w:r>
              <w:t>34.57</w:t>
            </w:r>
          </w:p>
        </w:tc>
      </w:tr>
      <w:tr>
        <w:tc>
          <w:tcPr>
            <w:tcW w:type="dxa" w:w="1440"/>
          </w:tcPr>
          <w:p>
            <w:r>
              <w:t>净利润</w:t>
            </w:r>
          </w:p>
        </w:tc>
        <w:tc>
          <w:tcPr>
            <w:tcW w:type="dxa" w:w="1440"/>
          </w:tcPr>
          <w:p>
            <w:r>
              <w:t>389</w:t>
            </w:r>
          </w:p>
        </w:tc>
        <w:tc>
          <w:tcPr>
            <w:tcW w:type="dxa" w:w="1440"/>
          </w:tcPr>
          <w:p>
            <w:r>
              <w:t>540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430</w:t>
            </w:r>
          </w:p>
        </w:tc>
        <w:tc>
          <w:tcPr>
            <w:tcW w:type="dxa" w:w="1440"/>
          </w:tcPr>
          <w:p>
            <w:r>
              <w:t>649</w:t>
            </w:r>
          </w:p>
        </w:tc>
      </w:tr>
      <w:tr>
        <w:tc>
          <w:tcPr>
            <w:tcW w:type="dxa" w:w="1440"/>
          </w:tcPr>
          <w:p>
            <w:r>
              <w:t>(+/-)%</w:t>
            </w:r>
          </w:p>
        </w:tc>
        <w:tc>
          <w:tcPr>
            <w:tcW w:type="dxa" w:w="1440"/>
          </w:tcPr>
          <w:p>
            <w:r>
              <w:t>93.95</w:t>
            </w:r>
          </w:p>
        </w:tc>
        <w:tc>
          <w:tcPr>
            <w:tcW w:type="dxa" w:w="1440"/>
          </w:tcPr>
          <w:p>
            <w:r>
              <w:t>38.63</w:t>
            </w:r>
          </w:p>
        </w:tc>
        <w:tc>
          <w:tcPr>
            <w:tcW w:type="dxa" w:w="1440"/>
          </w:tcPr>
          <w:p>
            <w:r>
              <w:t>3.09</w:t>
            </w:r>
          </w:p>
        </w:tc>
        <w:tc>
          <w:tcPr>
            <w:tcW w:type="dxa" w:w="1440"/>
          </w:tcPr>
          <w:p>
            <w:r>
              <w:t>-22.78</w:t>
            </w:r>
          </w:p>
        </w:tc>
        <w:tc>
          <w:tcPr>
            <w:tcW w:type="dxa" w:w="1440"/>
          </w:tcPr>
          <w:p>
            <w:r>
              <w:t>50.92</w:t>
            </w:r>
          </w:p>
        </w:tc>
      </w:tr>
    </w:tbl>
    <w:p>
      <w:r>
        <w:br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杜邦分析指标</w:t>
            </w:r>
          </w:p>
        </w:tc>
        <w:tc>
          <w:tcPr>
            <w:tcW w:type="dxa" w:w="1440"/>
          </w:tcPr>
          <w:p>
            <w:r>
              <w:t>2017A</w:t>
            </w:r>
          </w:p>
        </w:tc>
        <w:tc>
          <w:tcPr>
            <w:tcW w:type="dxa" w:w="1440"/>
          </w:tcPr>
          <w:p>
            <w:r>
              <w:t>2018A</w:t>
            </w:r>
          </w:p>
        </w:tc>
        <w:tc>
          <w:tcPr>
            <w:tcW w:type="dxa" w:w="1440"/>
          </w:tcPr>
          <w:p>
            <w:r>
              <w:t>2019A</w:t>
            </w:r>
          </w:p>
        </w:tc>
        <w:tc>
          <w:tcPr>
            <w:tcW w:type="dxa" w:w="1440"/>
          </w:tcPr>
          <w:p>
            <w:r>
              <w:t>2020A</w:t>
            </w:r>
          </w:p>
        </w:tc>
        <w:tc>
          <w:tcPr>
            <w:tcW w:type="dxa" w:w="1440"/>
          </w:tcPr>
          <w:p>
            <w:r>
              <w:t>2021A</w:t>
            </w:r>
          </w:p>
        </w:tc>
      </w:tr>
      <w:tr>
        <w:tc>
          <w:tcPr>
            <w:tcW w:type="dxa" w:w="1440"/>
          </w:tcPr>
          <w:p>
            <w:r>
              <w:t>净资产收益率(ROE)</w:t>
            </w:r>
          </w:p>
        </w:tc>
        <w:tc>
          <w:tcPr>
            <w:tcW w:type="dxa" w:w="1440"/>
          </w:tcPr>
          <w:p>
            <w:r>
              <w:t>7.33</w:t>
            </w:r>
          </w:p>
        </w:tc>
        <w:tc>
          <w:tcPr>
            <w:tcW w:type="dxa" w:w="1440"/>
          </w:tcPr>
          <w:p>
            <w:r>
              <w:t>9.66</w:t>
            </w:r>
          </w:p>
        </w:tc>
        <w:tc>
          <w:tcPr>
            <w:tcW w:type="dxa" w:w="1440"/>
          </w:tcPr>
          <w:p>
            <w:r>
              <w:t>9.21</w:t>
            </w:r>
          </w:p>
        </w:tc>
        <w:tc>
          <w:tcPr>
            <w:tcW w:type="dxa" w:w="1440"/>
          </w:tcPr>
          <w:p>
            <w:r>
              <w:t>6.73</w:t>
            </w:r>
          </w:p>
        </w:tc>
        <w:tc>
          <w:tcPr>
            <w:tcW w:type="dxa" w:w="1440"/>
          </w:tcPr>
          <w:p>
            <w:r>
              <w:t>9.65</w:t>
            </w:r>
          </w:p>
        </w:tc>
      </w:tr>
      <w:tr>
        <w:tc>
          <w:tcPr>
            <w:tcW w:type="dxa" w:w="1440"/>
          </w:tcPr>
          <w:p>
            <w:r>
              <w:t>利润率</w:t>
            </w:r>
          </w:p>
        </w:tc>
        <w:tc>
          <w:tcPr>
            <w:tcW w:type="dxa" w:w="1440"/>
          </w:tcPr>
          <w:p>
            <w:r>
              <w:t>6.01</w:t>
            </w:r>
          </w:p>
        </w:tc>
        <w:tc>
          <w:tcPr>
            <w:tcW w:type="dxa" w:w="1440"/>
          </w:tcPr>
          <w:p>
            <w:r>
              <w:t>7.57</w:t>
            </w:r>
          </w:p>
        </w:tc>
        <w:tc>
          <w:tcPr>
            <w:tcW w:type="dxa" w:w="1440"/>
          </w:tcPr>
          <w:p>
            <w:r>
              <w:t>7.33</w:t>
            </w:r>
          </w:p>
        </w:tc>
        <w:tc>
          <w:tcPr>
            <w:tcW w:type="dxa" w:w="1440"/>
          </w:tcPr>
          <w:p>
            <w:r>
              <w:t>6.12</w:t>
            </w:r>
          </w:p>
        </w:tc>
        <w:tc>
          <w:tcPr>
            <w:tcW w:type="dxa" w:w="1440"/>
          </w:tcPr>
          <w:p>
            <w:r>
              <w:t>8.49</w:t>
            </w:r>
          </w:p>
        </w:tc>
      </w:tr>
      <w:tr>
        <w:tc>
          <w:tcPr>
            <w:tcW w:type="dxa" w:w="1440"/>
          </w:tcPr>
          <w:p>
            <w:r>
              <w:t>资产周转率</w:t>
            </w:r>
          </w:p>
        </w:tc>
        <w:tc>
          <w:tcPr>
            <w:tcW w:type="dxa" w:w="1440"/>
          </w:tcPr>
          <w:p>
            <w:r>
              <w:t>63.80</w:t>
            </w:r>
          </w:p>
        </w:tc>
        <w:tc>
          <w:tcPr>
            <w:tcW w:type="dxa" w:w="1440"/>
          </w:tcPr>
          <w:p>
            <w:r>
              <w:t>72.23</w:t>
            </w:r>
          </w:p>
        </w:tc>
        <w:tc>
          <w:tcPr>
            <w:tcW w:type="dxa" w:w="1440"/>
          </w:tcPr>
          <w:p>
            <w:r>
              <w:t>71.31</w:t>
            </w:r>
          </w:p>
        </w:tc>
        <w:tc>
          <w:tcPr>
            <w:tcW w:type="dxa" w:w="1440"/>
          </w:tcPr>
          <w:p>
            <w:r>
              <w:t>62.67</w:t>
            </w:r>
          </w:p>
        </w:tc>
        <w:tc>
          <w:tcPr>
            <w:tcW w:type="dxa" w:w="1440"/>
          </w:tcPr>
          <w:p>
            <w:r>
              <w:t>65.24</w:t>
            </w:r>
          </w:p>
        </w:tc>
      </w:tr>
      <w:tr>
        <w:tc>
          <w:tcPr>
            <w:tcW w:type="dxa" w:w="1440"/>
          </w:tcPr>
          <w:p>
            <w:r>
              <w:t>资产负债率</w:t>
            </w:r>
          </w:p>
        </w:tc>
        <w:tc>
          <w:tcPr>
            <w:tcW w:type="dxa" w:w="1440"/>
          </w:tcPr>
          <w:p>
            <w:r>
              <w:t>44.02</w:t>
            </w:r>
          </w:p>
        </w:tc>
        <w:tc>
          <w:tcPr>
            <w:tcW w:type="dxa" w:w="1440"/>
          </w:tcPr>
          <w:p>
            <w:r>
              <w:t>42.79</w:t>
            </w:r>
          </w:p>
        </w:tc>
        <w:tc>
          <w:tcPr>
            <w:tcW w:type="dxa" w:w="1440"/>
          </w:tcPr>
          <w:p>
            <w:r>
              <w:t>43.61</w:t>
            </w:r>
          </w:p>
        </w:tc>
        <w:tc>
          <w:tcPr>
            <w:tcW w:type="dxa" w:w="1440"/>
          </w:tcPr>
          <w:p>
            <w:r>
              <w:t>42.46</w:t>
            </w:r>
          </w:p>
        </w:tc>
        <w:tc>
          <w:tcPr>
            <w:tcW w:type="dxa" w:w="1440"/>
          </w:tcPr>
          <w:p>
            <w:r>
              <w:t>42.67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微软雅黑" w:hAnsiTheme="majorHAnsi" w:cstheme="majorBidi" w:eastAsia="微软雅黑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微软雅黑" w:hAnsiTheme="majorHAnsi" w:cstheme="majorBidi" w:eastAsia="微软雅黑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