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1200"/>
      </w:pPr>
      <w:r>
        <w:rPr>
          <w:rFonts w:ascii="Times New Roman" w:cs="Times New Roman" w:eastAsia="Times New Roman" w:hAnsi="Times New Roman"/>
          <w:b/>
          <w:bCs/>
          <w:sz w:val="48"/>
          <w:szCs w:val="48"/>
        </w:rPr>
        <w:t xml:space="preserve">CAHIER DES CHARGES FONCTIONNEL ET TECHNIQUE</w:t>
      </w:r>
    </w:p>
    <w:p>
      <w:pPr>
        <w:spacing w:after="240"/>
      </w:pPr>
      <w:r>
        <w:rPr>
          <w:rFonts w:ascii="Times New Roman" w:cs="Times New Roman" w:eastAsia="Times New Roman" w:hAnsi="Times New Roman"/>
          <w:b/>
          <w:bCs/>
          <w:sz w:val="30"/>
          <w:szCs w:val="30"/>
        </w:rPr>
        <w:t xml:space="preserve">QURANOVA — Plateforme de gestion des concours du Saint Coran</w:t>
      </w:r>
    </w:p>
    <w:p>
      <w:pPr>
        <w:spacing w:after="120"/>
        <w:jc w:val="both"/>
      </w:pPr>
      <w:r>
        <w:rPr>
          <w:rFonts w:ascii="Times New Roman" w:cs="Times New Roman" w:eastAsia="Times New Roman" w:hAnsi="Times New Roman"/>
        </w:rPr>
        <w:t xml:space="preserve">Document de référence interne — Version 2.0</w:t>
      </w:r>
    </w:p>
    <w:p>
      <w:pPr>
        <w:spacing w:after="200" w:before="360"/>
      </w:pPr>
      <w:r>
        <w:rPr>
          <w:rFonts w:ascii="Times New Roman" w:cs="Times New Roman" w:eastAsia="Times New Roman" w:hAnsi="Times New Roman"/>
          <w:b/>
          <w:bCs/>
          <w:sz w:val="36"/>
          <w:szCs w:val="36"/>
        </w:rPr>
        <w:t xml:space="preserve">QURANOVA</w:t>
      </w:r>
    </w:p>
    <w:p>
      <w:pPr>
        <w:spacing w:after="120"/>
        <w:jc w:val="both"/>
      </w:pPr>
      <w:r>
        <w:rPr>
          <w:rFonts w:ascii="Times New Roman" w:cs="Times New Roman" w:eastAsia="Times New Roman" w:hAnsi="Times New Roman"/>
        </w:rPr>
        <w:t xml:space="preserve">Outil de gestion de concours coraniques exploité dans le cadre de missions de prestation</w:t>
      </w:r>
    </w:p>
    <w:p>
      <w:pPr>
        <w:spacing w:after="120"/>
        <w:jc w:val="both"/>
      </w:pPr>
      <w:r>
        <w:rPr>
          <w:rFonts w:ascii="Times New Roman" w:cs="Times New Roman" w:eastAsia="Times New Roman" w:hAnsi="Times New Roman"/>
        </w:rPr>
        <w:t xml:space="preserve">Zone de déploiement initiale : Côte d’Ivoire</w:t>
      </w:r>
    </w:p>
    <w:p>
      <w:pPr>
        <w:spacing w:after="120"/>
        <w:jc w:val="both"/>
      </w:pPr>
      <w:r>
        <w:rPr>
          <w:rFonts w:ascii="Times New Roman" w:cs="Times New Roman" w:eastAsia="Times New Roman" w:hAnsi="Times New Roman"/>
        </w:rPr>
        <w:t xml:space="preserve">Plateforme cible : application web fonctionnant en local dans la salle (serveur de salle), avec instance centrale en ligne en V2.</w:t>
      </w:r>
    </w:p>
    <w:p>
      <w:pPr>
        <w:spacing w:after="120"/>
        <w:jc w:val="both"/>
      </w:pPr>
      <w:r>
        <w:rPr>
          <w:rFonts w:ascii="Times New Roman" w:cs="Times New Roman" w:eastAsia="Times New Roman" w:hAnsi="Times New Roman"/>
        </w:rPr>
        <w:t xml:space="preserve">Modèle d’exploitation : outil interne d’un prestataire unique réalisant des missions pour plusieurs organisations clientes.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800"/>
        <w:gridCol w:w="6272"/>
      </w:tblGrid>
      <w:tr>
        <w:trPr>
          <w:cantSplit/>
          <w:tblHeader/>
        </w:trPr>
        <w:tc>
          <w:tcPr>
            <w:tcW w:type="dxa" w:w="2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Élément</w:t>
            </w:r>
          </w:p>
        </w:tc>
        <w:tc>
          <w:tcPr>
            <w:tcW w:type="dxa" w:w="627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Description</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Nom du projet</w:t>
            </w:r>
          </w:p>
        </w:tc>
        <w:tc>
          <w:tcPr>
            <w:tcW w:type="dxa" w:w="62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QURANOVA</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Nature du document</w:t>
            </w:r>
          </w:p>
        </w:tc>
        <w:tc>
          <w:tcPr>
            <w:tcW w:type="dxa" w:w="62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Cahier des charges fonctionnel et technique — référentiel interne</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Maîtrise d’ouvrage et réalisation</w:t>
            </w:r>
          </w:p>
        </w:tc>
        <w:tc>
          <w:tcPr>
            <w:tcW w:type="dxa" w:w="62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Le prestataire (développement interne)</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Version</w:t>
            </w:r>
          </w:p>
        </w:tc>
        <w:tc>
          <w:tcPr>
            <w:tcW w:type="dxa" w:w="62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2.0 — Adaptation au modèle « outil interne du prestataire » (remplace la version 1.1)</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Date</w:t>
            </w:r>
          </w:p>
        </w:tc>
        <w:tc>
          <w:tcPr>
            <w:tcW w:type="dxa" w:w="62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Octobre 2026</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Pays de référence</w:t>
            </w:r>
          </w:p>
        </w:tc>
        <w:tc>
          <w:tcPr>
            <w:tcW w:type="dxa" w:w="62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Côte d’Ivoire</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Langue de l’interface</w:t>
            </w:r>
          </w:p>
        </w:tc>
        <w:tc>
          <w:tcPr>
            <w:tcW w:type="dxa" w:w="62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Français, avec affichage coranique en arabe</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Devise éventuelle</w:t>
            </w:r>
          </w:p>
        </w:tc>
        <w:tc>
          <w:tcPr>
            <w:tcW w:type="dxa" w:w="62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FCFA pour les frais d’inscription ou récompenses, si applicables</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Statut</w:t>
            </w:r>
          </w:p>
        </w:tc>
        <w:tc>
          <w:tcPr>
            <w:tcW w:type="dxa" w:w="62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Feuille de route validée pour le développement de la V1</w:t>
            </w:r>
          </w:p>
        </w:tc>
      </w:tr>
    </w:tbl>
    <w:p>
      <w:pPr>
        <w:spacing w:after="120"/>
      </w:pPr>
    </w:p>
    <w:p>
      <w:r>
        <w:br w:type="page"/>
      </w:r>
    </w:p>
    <w:p>
      <w:pPr>
        <w:spacing w:after="240"/>
      </w:pPr>
      <w:r>
        <w:rPr>
          <w:rFonts w:ascii="Times New Roman" w:cs="Times New Roman" w:eastAsia="Times New Roman" w:hAnsi="Times New Roman"/>
          <w:b/>
          <w:bCs/>
          <w:sz w:val="36"/>
          <w:szCs w:val="36"/>
        </w:rPr>
        <w:t xml:space="preserve">Table des matières</w:t>
      </w:r>
    </w:p>
    <w:p>
      <w:pPr>
        <w:tabs>
          <w:tab w:val="right" w:pos="9060" w:leader="dot"/>
        </w:tabs>
        <w:spacing w:after="40" w:before="80"/>
        <w:ind w:left="0"/>
      </w:pPr>
      <w:r>
        <w:fldChar w:fldCharType="begin"/>
      </w:r>
      <w:r>
        <w:instrText xml:space="preserve"> TOC \o "1-2" \h \z \u </w:instrText>
      </w:r>
      <w:r>
        <w:fldChar w:fldCharType="separate"/>
      </w:r>
      <w:hyperlink w:history="1" w:anchor="_h1">
        <w:r>
          <w:rPr>
            <w:rFonts w:ascii="Times New Roman" w:cs="Times New Roman" w:eastAsia="Times New Roman" w:hAnsi="Times New Roman"/>
            <w:b/>
            <w:bCs/>
            <w:sz w:val="21"/>
            <w:szCs w:val="21"/>
          </w:rPr>
          <w:t xml:space="preserve">1. Résumé exécutif *</w:t>
        </w:r>
      </w:hyperlink>
      <w:r>
        <w:rPr>
          <w:rFonts w:ascii="Times New Roman" w:cs="Times New Roman" w:eastAsia="Times New Roman" w:hAnsi="Times New Roman"/>
          <w:sz w:val="21"/>
          <w:szCs w:val="21"/>
        </w:rPr>
        <w:t xml:space="preserve">	5</w:t>
      </w:r>
    </w:p>
    <w:p>
      <w:pPr>
        <w:tabs>
          <w:tab w:val="right" w:pos="9060" w:leader="dot"/>
        </w:tabs>
        <w:spacing w:after="40" w:before="80"/>
        <w:ind w:left="0"/>
      </w:pPr>
      <w:hyperlink w:history="1" w:anchor="_h2">
        <w:r>
          <w:rPr>
            <w:rFonts w:ascii="Times New Roman" w:cs="Times New Roman" w:eastAsia="Times New Roman" w:hAnsi="Times New Roman"/>
            <w:b/>
            <w:bCs/>
            <w:sz w:val="21"/>
            <w:szCs w:val="21"/>
          </w:rPr>
          <w:t xml:space="preserve">2. Glossaire</w:t>
        </w:r>
      </w:hyperlink>
      <w:r>
        <w:rPr>
          <w:rFonts w:ascii="Times New Roman" w:cs="Times New Roman" w:eastAsia="Times New Roman" w:hAnsi="Times New Roman"/>
          <w:sz w:val="21"/>
          <w:szCs w:val="21"/>
        </w:rPr>
        <w:t xml:space="preserve">	5</w:t>
      </w:r>
    </w:p>
    <w:p>
      <w:pPr>
        <w:tabs>
          <w:tab w:val="right" w:pos="9060" w:leader="dot"/>
        </w:tabs>
        <w:spacing w:after="40" w:before="80"/>
        <w:ind w:left="0"/>
      </w:pPr>
      <w:hyperlink w:history="1" w:anchor="_h3">
        <w:r>
          <w:rPr>
            <w:rFonts w:ascii="Times New Roman" w:cs="Times New Roman" w:eastAsia="Times New Roman" w:hAnsi="Times New Roman"/>
            <w:b/>
            <w:bCs/>
            <w:sz w:val="21"/>
            <w:szCs w:val="21"/>
          </w:rPr>
          <w:t xml:space="preserve">3. Contexte, modèle d’exploitation et justification *</w:t>
        </w:r>
      </w:hyperlink>
      <w:r>
        <w:rPr>
          <w:rFonts w:ascii="Times New Roman" w:cs="Times New Roman" w:eastAsia="Times New Roman" w:hAnsi="Times New Roman"/>
          <w:sz w:val="21"/>
          <w:szCs w:val="21"/>
        </w:rPr>
        <w:t xml:space="preserve">	7</w:t>
      </w:r>
    </w:p>
    <w:p>
      <w:pPr>
        <w:tabs>
          <w:tab w:val="right" w:pos="9060" w:leader="dot"/>
        </w:tabs>
        <w:spacing w:after="0" w:before="0"/>
        <w:ind w:left="400"/>
      </w:pPr>
      <w:hyperlink w:history="1" w:anchor="_h4">
        <w:r>
          <w:rPr>
            <w:rFonts w:ascii="Times New Roman" w:cs="Times New Roman" w:eastAsia="Times New Roman" w:hAnsi="Times New Roman"/>
            <w:b w:val="false"/>
            <w:bCs w:val="false"/>
            <w:sz w:val="19"/>
            <w:szCs w:val="19"/>
          </w:rPr>
          <w:t xml:space="preserve">3.1. Contexte</w:t>
        </w:r>
      </w:hyperlink>
      <w:r>
        <w:rPr>
          <w:rFonts w:ascii="Times New Roman" w:cs="Times New Roman" w:eastAsia="Times New Roman" w:hAnsi="Times New Roman"/>
          <w:sz w:val="19"/>
          <w:szCs w:val="19"/>
        </w:rPr>
        <w:t xml:space="preserve">	7</w:t>
      </w:r>
    </w:p>
    <w:p>
      <w:pPr>
        <w:tabs>
          <w:tab w:val="right" w:pos="9060" w:leader="dot"/>
        </w:tabs>
        <w:spacing w:after="0" w:before="0"/>
        <w:ind w:left="400"/>
      </w:pPr>
      <w:hyperlink w:history="1" w:anchor="_h5">
        <w:r>
          <w:rPr>
            <w:rFonts w:ascii="Times New Roman" w:cs="Times New Roman" w:eastAsia="Times New Roman" w:hAnsi="Times New Roman"/>
            <w:b w:val="false"/>
            <w:bCs w:val="false"/>
            <w:sz w:val="19"/>
            <w:szCs w:val="19"/>
          </w:rPr>
          <w:t xml:space="preserve">3.2. Modèle d’exploitation retenu</w:t>
        </w:r>
      </w:hyperlink>
      <w:r>
        <w:rPr>
          <w:rFonts w:ascii="Times New Roman" w:cs="Times New Roman" w:eastAsia="Times New Roman" w:hAnsi="Times New Roman"/>
          <w:sz w:val="19"/>
          <w:szCs w:val="19"/>
        </w:rPr>
        <w:t xml:space="preserve">	7</w:t>
      </w:r>
    </w:p>
    <w:p>
      <w:pPr>
        <w:tabs>
          <w:tab w:val="right" w:pos="9060" w:leader="dot"/>
        </w:tabs>
        <w:spacing w:after="0" w:before="0"/>
        <w:ind w:left="400"/>
      </w:pPr>
      <w:hyperlink w:history="1" w:anchor="_h6">
        <w:r>
          <w:rPr>
            <w:rFonts w:ascii="Times New Roman" w:cs="Times New Roman" w:eastAsia="Times New Roman" w:hAnsi="Times New Roman"/>
            <w:b w:val="false"/>
            <w:bCs w:val="false"/>
            <w:sz w:val="19"/>
            <w:szCs w:val="19"/>
          </w:rPr>
          <w:t xml:space="preserve">3.3. Justification</w:t>
        </w:r>
      </w:hyperlink>
      <w:r>
        <w:rPr>
          <w:rFonts w:ascii="Times New Roman" w:cs="Times New Roman" w:eastAsia="Times New Roman" w:hAnsi="Times New Roman"/>
          <w:sz w:val="19"/>
          <w:szCs w:val="19"/>
        </w:rPr>
        <w:t xml:space="preserve">	8</w:t>
      </w:r>
    </w:p>
    <w:p>
      <w:pPr>
        <w:tabs>
          <w:tab w:val="right" w:pos="9060" w:leader="dot"/>
        </w:tabs>
        <w:spacing w:after="40" w:before="80"/>
        <w:ind w:left="0"/>
      </w:pPr>
      <w:hyperlink w:history="1" w:anchor="_h7">
        <w:r>
          <w:rPr>
            <w:rFonts w:ascii="Times New Roman" w:cs="Times New Roman" w:eastAsia="Times New Roman" w:hAnsi="Times New Roman"/>
            <w:b/>
            <w:bCs/>
            <w:sz w:val="21"/>
            <w:szCs w:val="21"/>
          </w:rPr>
          <w:t xml:space="preserve">4. Objectifs du projet</w:t>
        </w:r>
      </w:hyperlink>
      <w:r>
        <w:rPr>
          <w:rFonts w:ascii="Times New Roman" w:cs="Times New Roman" w:eastAsia="Times New Roman" w:hAnsi="Times New Roman"/>
          <w:sz w:val="21"/>
          <w:szCs w:val="21"/>
        </w:rPr>
        <w:t xml:space="preserve">	8</w:t>
      </w:r>
    </w:p>
    <w:p>
      <w:pPr>
        <w:tabs>
          <w:tab w:val="right" w:pos="9060" w:leader="dot"/>
        </w:tabs>
        <w:spacing w:after="0" w:before="0"/>
        <w:ind w:left="400"/>
      </w:pPr>
      <w:hyperlink w:history="1" w:anchor="_h8">
        <w:r>
          <w:rPr>
            <w:rFonts w:ascii="Times New Roman" w:cs="Times New Roman" w:eastAsia="Times New Roman" w:hAnsi="Times New Roman"/>
            <w:b w:val="false"/>
            <w:bCs w:val="false"/>
            <w:sz w:val="19"/>
            <w:szCs w:val="19"/>
          </w:rPr>
          <w:t xml:space="preserve">4.1. Objectif général</w:t>
        </w:r>
      </w:hyperlink>
      <w:r>
        <w:rPr>
          <w:rFonts w:ascii="Times New Roman" w:cs="Times New Roman" w:eastAsia="Times New Roman" w:hAnsi="Times New Roman"/>
          <w:sz w:val="19"/>
          <w:szCs w:val="19"/>
        </w:rPr>
        <w:t xml:space="preserve">	8</w:t>
      </w:r>
    </w:p>
    <w:p>
      <w:pPr>
        <w:tabs>
          <w:tab w:val="right" w:pos="9060" w:leader="dot"/>
        </w:tabs>
        <w:spacing w:after="0" w:before="0"/>
        <w:ind w:left="400"/>
      </w:pPr>
      <w:hyperlink w:history="1" w:anchor="_h9">
        <w:r>
          <w:rPr>
            <w:rFonts w:ascii="Times New Roman" w:cs="Times New Roman" w:eastAsia="Times New Roman" w:hAnsi="Times New Roman"/>
            <w:b w:val="false"/>
            <w:bCs w:val="false"/>
            <w:sz w:val="19"/>
            <w:szCs w:val="19"/>
          </w:rPr>
          <w:t xml:space="preserve">4.2. Objectifs spécifiques</w:t>
        </w:r>
      </w:hyperlink>
      <w:r>
        <w:rPr>
          <w:rFonts w:ascii="Times New Roman" w:cs="Times New Roman" w:eastAsia="Times New Roman" w:hAnsi="Times New Roman"/>
          <w:sz w:val="19"/>
          <w:szCs w:val="19"/>
        </w:rPr>
        <w:t xml:space="preserve">	8</w:t>
      </w:r>
    </w:p>
    <w:p>
      <w:pPr>
        <w:tabs>
          <w:tab w:val="right" w:pos="9060" w:leader="dot"/>
        </w:tabs>
        <w:spacing w:after="40" w:before="80"/>
        <w:ind w:left="0"/>
      </w:pPr>
      <w:hyperlink w:history="1" w:anchor="_h10">
        <w:r>
          <w:rPr>
            <w:rFonts w:ascii="Times New Roman" w:cs="Times New Roman" w:eastAsia="Times New Roman" w:hAnsi="Times New Roman"/>
            <w:b/>
            <w:bCs/>
            <w:sz w:val="21"/>
            <w:szCs w:val="21"/>
          </w:rPr>
          <w:t xml:space="preserve">5. Périmètre fonctionnel et versions *</w:t>
        </w:r>
      </w:hyperlink>
      <w:r>
        <w:rPr>
          <w:rFonts w:ascii="Times New Roman" w:cs="Times New Roman" w:eastAsia="Times New Roman" w:hAnsi="Times New Roman"/>
          <w:sz w:val="21"/>
          <w:szCs w:val="21"/>
        </w:rPr>
        <w:t xml:space="preserve">	8</w:t>
      </w:r>
    </w:p>
    <w:p>
      <w:pPr>
        <w:tabs>
          <w:tab w:val="right" w:pos="9060" w:leader="dot"/>
        </w:tabs>
        <w:spacing w:after="0" w:before="0"/>
        <w:ind w:left="400"/>
      </w:pPr>
      <w:hyperlink w:history="1" w:anchor="_h11">
        <w:r>
          <w:rPr>
            <w:rFonts w:ascii="Times New Roman" w:cs="Times New Roman" w:eastAsia="Times New Roman" w:hAnsi="Times New Roman"/>
            <w:b w:val="false"/>
            <w:bCs w:val="false"/>
            <w:sz w:val="19"/>
            <w:szCs w:val="19"/>
          </w:rPr>
          <w:t xml:space="preserve">5.1. V1 — Version minimale opérationnelle (concours pilote)</w:t>
        </w:r>
      </w:hyperlink>
      <w:r>
        <w:rPr>
          <w:rFonts w:ascii="Times New Roman" w:cs="Times New Roman" w:eastAsia="Times New Roman" w:hAnsi="Times New Roman"/>
          <w:sz w:val="19"/>
          <w:szCs w:val="19"/>
        </w:rPr>
        <w:t xml:space="preserve">	8</w:t>
      </w:r>
    </w:p>
    <w:p>
      <w:pPr>
        <w:tabs>
          <w:tab w:val="right" w:pos="9060" w:leader="dot"/>
        </w:tabs>
        <w:spacing w:after="0" w:before="0"/>
        <w:ind w:left="400"/>
      </w:pPr>
      <w:hyperlink w:history="1" w:anchor="_h12">
        <w:r>
          <w:rPr>
            <w:rFonts w:ascii="Times New Roman" w:cs="Times New Roman" w:eastAsia="Times New Roman" w:hAnsi="Times New Roman"/>
            <w:b w:val="false"/>
            <w:bCs w:val="false"/>
            <w:sz w:val="19"/>
            <w:szCs w:val="19"/>
          </w:rPr>
          <w:t xml:space="preserve">5.2. V2 — Industrialisation des missions</w:t>
        </w:r>
      </w:hyperlink>
      <w:r>
        <w:rPr>
          <w:rFonts w:ascii="Times New Roman" w:cs="Times New Roman" w:eastAsia="Times New Roman" w:hAnsi="Times New Roman"/>
          <w:sz w:val="19"/>
          <w:szCs w:val="19"/>
        </w:rPr>
        <w:t xml:space="preserve">	9</w:t>
      </w:r>
    </w:p>
    <w:p>
      <w:pPr>
        <w:tabs>
          <w:tab w:val="right" w:pos="9060" w:leader="dot"/>
        </w:tabs>
        <w:spacing w:after="0" w:before="0"/>
        <w:ind w:left="400"/>
      </w:pPr>
      <w:hyperlink w:history="1" w:anchor="_h13">
        <w:r>
          <w:rPr>
            <w:rFonts w:ascii="Times New Roman" w:cs="Times New Roman" w:eastAsia="Times New Roman" w:hAnsi="Times New Roman"/>
            <w:b w:val="false"/>
            <w:bCs w:val="false"/>
            <w:sz w:val="19"/>
            <w:szCs w:val="19"/>
          </w:rPr>
          <w:t xml:space="preserve">5.3. V3 — Évolutions possibles</w:t>
        </w:r>
      </w:hyperlink>
      <w:r>
        <w:rPr>
          <w:rFonts w:ascii="Times New Roman" w:cs="Times New Roman" w:eastAsia="Times New Roman" w:hAnsi="Times New Roman"/>
          <w:sz w:val="19"/>
          <w:szCs w:val="19"/>
        </w:rPr>
        <w:t xml:space="preserve">	9</w:t>
      </w:r>
    </w:p>
    <w:p>
      <w:pPr>
        <w:tabs>
          <w:tab w:val="right" w:pos="9060" w:leader="dot"/>
        </w:tabs>
        <w:spacing w:after="0" w:before="0"/>
        <w:ind w:left="400"/>
      </w:pPr>
      <w:hyperlink w:history="1" w:anchor="_h14">
        <w:r>
          <w:rPr>
            <w:rFonts w:ascii="Times New Roman" w:cs="Times New Roman" w:eastAsia="Times New Roman" w:hAnsi="Times New Roman"/>
            <w:b w:val="false"/>
            <w:bCs w:val="false"/>
            <w:sz w:val="19"/>
            <w:szCs w:val="19"/>
          </w:rPr>
          <w:t xml:space="preserve">5.4. Exclus du périmètre</w:t>
        </w:r>
      </w:hyperlink>
      <w:r>
        <w:rPr>
          <w:rFonts w:ascii="Times New Roman" w:cs="Times New Roman" w:eastAsia="Times New Roman" w:hAnsi="Times New Roman"/>
          <w:sz w:val="19"/>
          <w:szCs w:val="19"/>
        </w:rPr>
        <w:t xml:space="preserve">	9</w:t>
      </w:r>
    </w:p>
    <w:p>
      <w:pPr>
        <w:tabs>
          <w:tab w:val="right" w:pos="9060" w:leader="dot"/>
        </w:tabs>
        <w:spacing w:after="40" w:before="80"/>
        <w:ind w:left="0"/>
      </w:pPr>
      <w:hyperlink w:history="1" w:anchor="_h15">
        <w:r>
          <w:rPr>
            <w:rFonts w:ascii="Times New Roman" w:cs="Times New Roman" w:eastAsia="Times New Roman" w:hAnsi="Times New Roman"/>
            <w:b/>
            <w:bCs/>
            <w:sz w:val="21"/>
            <w:szCs w:val="21"/>
          </w:rPr>
          <w:t xml:space="preserve">6. Acteurs et gestion des rôles *</w:t>
        </w:r>
      </w:hyperlink>
      <w:r>
        <w:rPr>
          <w:rFonts w:ascii="Times New Roman" w:cs="Times New Roman" w:eastAsia="Times New Roman" w:hAnsi="Times New Roman"/>
          <w:sz w:val="21"/>
          <w:szCs w:val="21"/>
        </w:rPr>
        <w:t xml:space="preserve">	9</w:t>
      </w:r>
    </w:p>
    <w:p>
      <w:pPr>
        <w:tabs>
          <w:tab w:val="right" w:pos="9060" w:leader="dot"/>
        </w:tabs>
        <w:spacing w:after="0" w:before="0"/>
        <w:ind w:left="400"/>
      </w:pPr>
      <w:hyperlink w:history="1" w:anchor="_h16">
        <w:r>
          <w:rPr>
            <w:rFonts w:ascii="Times New Roman" w:cs="Times New Roman" w:eastAsia="Times New Roman" w:hAnsi="Times New Roman"/>
            <w:b w:val="false"/>
            <w:bCs w:val="false"/>
            <w:sz w:val="19"/>
            <w:szCs w:val="19"/>
          </w:rPr>
          <w:t xml:space="preserve">6.1. Rôles</w:t>
        </w:r>
      </w:hyperlink>
      <w:r>
        <w:rPr>
          <w:rFonts w:ascii="Times New Roman" w:cs="Times New Roman" w:eastAsia="Times New Roman" w:hAnsi="Times New Roman"/>
          <w:sz w:val="19"/>
          <w:szCs w:val="19"/>
        </w:rPr>
        <w:t xml:space="preserve">	9</w:t>
      </w:r>
    </w:p>
    <w:p>
      <w:pPr>
        <w:tabs>
          <w:tab w:val="right" w:pos="9060" w:leader="dot"/>
        </w:tabs>
        <w:spacing w:after="0" w:before="0"/>
        <w:ind w:left="400"/>
      </w:pPr>
      <w:hyperlink w:history="1" w:anchor="_h17">
        <w:r>
          <w:rPr>
            <w:rFonts w:ascii="Times New Roman" w:cs="Times New Roman" w:eastAsia="Times New Roman" w:hAnsi="Times New Roman"/>
            <w:b w:val="false"/>
            <w:bCs w:val="false"/>
            <w:sz w:val="19"/>
            <w:szCs w:val="19"/>
          </w:rPr>
          <w:t xml:space="preserve">6.2. Séparation entre exécution et validation</w:t>
        </w:r>
      </w:hyperlink>
      <w:r>
        <w:rPr>
          <w:rFonts w:ascii="Times New Roman" w:cs="Times New Roman" w:eastAsia="Times New Roman" w:hAnsi="Times New Roman"/>
          <w:sz w:val="19"/>
          <w:szCs w:val="19"/>
        </w:rPr>
        <w:t xml:space="preserve">	10</w:t>
      </w:r>
    </w:p>
    <w:p>
      <w:pPr>
        <w:tabs>
          <w:tab w:val="right" w:pos="9060" w:leader="dot"/>
        </w:tabs>
        <w:spacing w:after="0" w:before="0"/>
        <w:ind w:left="400"/>
      </w:pPr>
      <w:hyperlink w:history="1" w:anchor="_h18">
        <w:r>
          <w:rPr>
            <w:rFonts w:ascii="Times New Roman" w:cs="Times New Roman" w:eastAsia="Times New Roman" w:hAnsi="Times New Roman"/>
            <w:b w:val="false"/>
            <w:bCs w:val="false"/>
            <w:sz w:val="19"/>
            <w:szCs w:val="19"/>
          </w:rPr>
          <w:t xml:space="preserve">6.3. Règles d’accès</w:t>
        </w:r>
      </w:hyperlink>
      <w:r>
        <w:rPr>
          <w:rFonts w:ascii="Times New Roman" w:cs="Times New Roman" w:eastAsia="Times New Roman" w:hAnsi="Times New Roman"/>
          <w:sz w:val="19"/>
          <w:szCs w:val="19"/>
        </w:rPr>
        <w:t xml:space="preserve">	10</w:t>
      </w:r>
    </w:p>
    <w:p>
      <w:pPr>
        <w:tabs>
          <w:tab w:val="right" w:pos="9060" w:leader="dot"/>
        </w:tabs>
        <w:spacing w:after="40" w:before="80"/>
        <w:ind w:left="0"/>
      </w:pPr>
      <w:hyperlink w:history="1" w:anchor="_h19">
        <w:r>
          <w:rPr>
            <w:rFonts w:ascii="Times New Roman" w:cs="Times New Roman" w:eastAsia="Times New Roman" w:hAnsi="Times New Roman"/>
            <w:b/>
            <w:bCs/>
            <w:sz w:val="21"/>
            <w:szCs w:val="21"/>
          </w:rPr>
          <w:t xml:space="preserve">7. Description détaillée des fonctionnalités</w:t>
        </w:r>
      </w:hyperlink>
      <w:r>
        <w:rPr>
          <w:rFonts w:ascii="Times New Roman" w:cs="Times New Roman" w:eastAsia="Times New Roman" w:hAnsi="Times New Roman"/>
          <w:sz w:val="21"/>
          <w:szCs w:val="21"/>
        </w:rPr>
        <w:t xml:space="preserve">	11</w:t>
      </w:r>
    </w:p>
    <w:p>
      <w:pPr>
        <w:tabs>
          <w:tab w:val="right" w:pos="9060" w:leader="dot"/>
        </w:tabs>
        <w:spacing w:after="0" w:before="0"/>
        <w:ind w:left="400"/>
      </w:pPr>
      <w:hyperlink w:history="1" w:anchor="_h20">
        <w:r>
          <w:rPr>
            <w:rFonts w:ascii="Times New Roman" w:cs="Times New Roman" w:eastAsia="Times New Roman" w:hAnsi="Times New Roman"/>
            <w:b w:val="false"/>
            <w:bCs w:val="false"/>
            <w:sz w:val="19"/>
            <w:szCs w:val="19"/>
          </w:rPr>
          <w:t xml:space="preserve">7.1. Module de gestion des clients *</w:t>
        </w:r>
      </w:hyperlink>
      <w:r>
        <w:rPr>
          <w:rFonts w:ascii="Times New Roman" w:cs="Times New Roman" w:eastAsia="Times New Roman" w:hAnsi="Times New Roman"/>
          <w:sz w:val="19"/>
          <w:szCs w:val="19"/>
        </w:rPr>
        <w:t xml:space="preserve">	11</w:t>
      </w:r>
    </w:p>
    <w:p>
      <w:pPr>
        <w:tabs>
          <w:tab w:val="right" w:pos="9060" w:leader="dot"/>
        </w:tabs>
        <w:spacing w:after="0" w:before="0"/>
        <w:ind w:left="400"/>
      </w:pPr>
      <w:hyperlink w:history="1" w:anchor="_h21">
        <w:r>
          <w:rPr>
            <w:rFonts w:ascii="Times New Roman" w:cs="Times New Roman" w:eastAsia="Times New Roman" w:hAnsi="Times New Roman"/>
            <w:b w:val="false"/>
            <w:bCs w:val="false"/>
            <w:sz w:val="19"/>
            <w:szCs w:val="19"/>
          </w:rPr>
          <w:t xml:space="preserve">7.2. Module de création et de paramétrage des concours</w:t>
        </w:r>
      </w:hyperlink>
      <w:r>
        <w:rPr>
          <w:rFonts w:ascii="Times New Roman" w:cs="Times New Roman" w:eastAsia="Times New Roman" w:hAnsi="Times New Roman"/>
          <w:sz w:val="19"/>
          <w:szCs w:val="19"/>
        </w:rPr>
        <w:t xml:space="preserve">	11</w:t>
      </w:r>
    </w:p>
    <w:p>
      <w:pPr>
        <w:tabs>
          <w:tab w:val="right" w:pos="9060" w:leader="dot"/>
        </w:tabs>
        <w:spacing w:after="0" w:before="0"/>
        <w:ind w:left="400"/>
      </w:pPr>
      <w:hyperlink w:history="1" w:anchor="_h22">
        <w:r>
          <w:rPr>
            <w:rFonts w:ascii="Times New Roman" w:cs="Times New Roman" w:eastAsia="Times New Roman" w:hAnsi="Times New Roman"/>
            <w:b w:val="false"/>
            <w:bCs w:val="false"/>
            <w:sz w:val="19"/>
            <w:szCs w:val="19"/>
          </w:rPr>
          <w:t xml:space="preserve">7.3. Module de gestion des candidats</w:t>
        </w:r>
      </w:hyperlink>
      <w:r>
        <w:rPr>
          <w:rFonts w:ascii="Times New Roman" w:cs="Times New Roman" w:eastAsia="Times New Roman" w:hAnsi="Times New Roman"/>
          <w:sz w:val="19"/>
          <w:szCs w:val="19"/>
        </w:rPr>
        <w:t xml:space="preserve">	12</w:t>
      </w:r>
    </w:p>
    <w:p>
      <w:pPr>
        <w:tabs>
          <w:tab w:val="right" w:pos="9060" w:leader="dot"/>
        </w:tabs>
        <w:spacing w:after="0" w:before="0"/>
        <w:ind w:left="400"/>
      </w:pPr>
      <w:hyperlink w:history="1" w:anchor="_h23">
        <w:r>
          <w:rPr>
            <w:rFonts w:ascii="Times New Roman" w:cs="Times New Roman" w:eastAsia="Times New Roman" w:hAnsi="Times New Roman"/>
            <w:b w:val="false"/>
            <w:bCs w:val="false"/>
            <w:sz w:val="19"/>
            <w:szCs w:val="19"/>
          </w:rPr>
          <w:t xml:space="preserve">7.4. Module de gestion des jurys</w:t>
        </w:r>
      </w:hyperlink>
      <w:r>
        <w:rPr>
          <w:rFonts w:ascii="Times New Roman" w:cs="Times New Roman" w:eastAsia="Times New Roman" w:hAnsi="Times New Roman"/>
          <w:sz w:val="19"/>
          <w:szCs w:val="19"/>
        </w:rPr>
        <w:t xml:space="preserve">	12</w:t>
      </w:r>
    </w:p>
    <w:p>
      <w:pPr>
        <w:tabs>
          <w:tab w:val="right" w:pos="9060" w:leader="dot"/>
        </w:tabs>
        <w:spacing w:after="40" w:before="80"/>
        <w:ind w:left="0"/>
      </w:pPr>
      <w:hyperlink w:history="1" w:anchor="_h24">
        <w:r>
          <w:rPr>
            <w:rFonts w:ascii="Times New Roman" w:cs="Times New Roman" w:eastAsia="Times New Roman" w:hAnsi="Times New Roman"/>
            <w:b/>
            <w:bCs/>
            <w:sz w:val="21"/>
            <w:szCs w:val="21"/>
          </w:rPr>
          <w:t xml:space="preserve">8. Module central : tirage au sort et gestion des passages coraniques</w:t>
        </w:r>
      </w:hyperlink>
      <w:r>
        <w:rPr>
          <w:rFonts w:ascii="Times New Roman" w:cs="Times New Roman" w:eastAsia="Times New Roman" w:hAnsi="Times New Roman"/>
          <w:sz w:val="21"/>
          <w:szCs w:val="21"/>
        </w:rPr>
        <w:t xml:space="preserve">	12</w:t>
      </w:r>
    </w:p>
    <w:p>
      <w:pPr>
        <w:tabs>
          <w:tab w:val="right" w:pos="9060" w:leader="dot"/>
        </w:tabs>
        <w:spacing w:after="0" w:before="0"/>
        <w:ind w:left="400"/>
      </w:pPr>
      <w:hyperlink w:history="1" w:anchor="_h25">
        <w:r>
          <w:rPr>
            <w:rFonts w:ascii="Times New Roman" w:cs="Times New Roman" w:eastAsia="Times New Roman" w:hAnsi="Times New Roman"/>
            <w:b w:val="false"/>
            <w:bCs w:val="false"/>
            <w:sz w:val="19"/>
            <w:szCs w:val="19"/>
          </w:rPr>
          <w:t xml:space="preserve">8.1. Modèle de tirage retenu</w:t>
        </w:r>
      </w:hyperlink>
      <w:r>
        <w:rPr>
          <w:rFonts w:ascii="Times New Roman" w:cs="Times New Roman" w:eastAsia="Times New Roman" w:hAnsi="Times New Roman"/>
          <w:sz w:val="19"/>
          <w:szCs w:val="19"/>
        </w:rPr>
        <w:t xml:space="preserve">	13</w:t>
      </w:r>
    </w:p>
    <w:p>
      <w:pPr>
        <w:tabs>
          <w:tab w:val="right" w:pos="9060" w:leader="dot"/>
        </w:tabs>
        <w:spacing w:after="0" w:before="0"/>
        <w:ind w:left="400"/>
      </w:pPr>
      <w:hyperlink w:history="1" w:anchor="_h26">
        <w:r>
          <w:rPr>
            <w:rFonts w:ascii="Times New Roman" w:cs="Times New Roman" w:eastAsia="Times New Roman" w:hAnsi="Times New Roman"/>
            <w:b w:val="false"/>
            <w:bCs w:val="false"/>
            <w:sz w:val="19"/>
            <w:szCs w:val="19"/>
          </w:rPr>
          <w:t xml:space="preserve">8.2. Articulation des paramètres quantitatifs</w:t>
        </w:r>
      </w:hyperlink>
      <w:r>
        <w:rPr>
          <w:rFonts w:ascii="Times New Roman" w:cs="Times New Roman" w:eastAsia="Times New Roman" w:hAnsi="Times New Roman"/>
          <w:sz w:val="19"/>
          <w:szCs w:val="19"/>
        </w:rPr>
        <w:t xml:space="preserve">	13</w:t>
      </w:r>
    </w:p>
    <w:p>
      <w:pPr>
        <w:tabs>
          <w:tab w:val="right" w:pos="9060" w:leader="dot"/>
        </w:tabs>
        <w:spacing w:after="0" w:before="0"/>
        <w:ind w:left="400"/>
      </w:pPr>
      <w:hyperlink w:history="1" w:anchor="_h27">
        <w:r>
          <w:rPr>
            <w:rFonts w:ascii="Times New Roman" w:cs="Times New Roman" w:eastAsia="Times New Roman" w:hAnsi="Times New Roman"/>
            <w:b w:val="false"/>
            <w:bCs w:val="false"/>
            <w:sz w:val="19"/>
            <w:szCs w:val="19"/>
          </w:rPr>
          <w:t xml:space="preserve">8.3. Cycle d’un tirage et d’une prestation</w:t>
        </w:r>
      </w:hyperlink>
      <w:r>
        <w:rPr>
          <w:rFonts w:ascii="Times New Roman" w:cs="Times New Roman" w:eastAsia="Times New Roman" w:hAnsi="Times New Roman"/>
          <w:sz w:val="19"/>
          <w:szCs w:val="19"/>
        </w:rPr>
        <w:t xml:space="preserve">	14</w:t>
      </w:r>
    </w:p>
    <w:p>
      <w:pPr>
        <w:tabs>
          <w:tab w:val="right" w:pos="9060" w:leader="dot"/>
        </w:tabs>
        <w:spacing w:after="0" w:before="0"/>
        <w:ind w:left="400"/>
      </w:pPr>
      <w:hyperlink w:history="1" w:anchor="_h28">
        <w:r>
          <w:rPr>
            <w:rFonts w:ascii="Times New Roman" w:cs="Times New Roman" w:eastAsia="Times New Roman" w:hAnsi="Times New Roman"/>
            <w:b w:val="false"/>
            <w:bCs w:val="false"/>
            <w:sz w:val="19"/>
            <w:szCs w:val="19"/>
          </w:rPr>
          <w:t xml:space="preserve">8.4. Définition des questions par références coraniques</w:t>
        </w:r>
      </w:hyperlink>
      <w:r>
        <w:rPr>
          <w:rFonts w:ascii="Times New Roman" w:cs="Times New Roman" w:eastAsia="Times New Roman" w:hAnsi="Times New Roman"/>
          <w:sz w:val="19"/>
          <w:szCs w:val="19"/>
        </w:rPr>
        <w:t xml:space="preserve">	14</w:t>
      </w:r>
    </w:p>
    <w:p>
      <w:pPr>
        <w:tabs>
          <w:tab w:val="right" w:pos="9060" w:leader="dot"/>
        </w:tabs>
        <w:spacing w:after="0" w:before="0"/>
        <w:ind w:left="400"/>
      </w:pPr>
      <w:hyperlink w:history="1" w:anchor="_h29">
        <w:r>
          <w:rPr>
            <w:rFonts w:ascii="Times New Roman" w:cs="Times New Roman" w:eastAsia="Times New Roman" w:hAnsi="Times New Roman"/>
            <w:b w:val="false"/>
            <w:bCs w:val="false"/>
            <w:sz w:val="19"/>
            <w:szCs w:val="19"/>
          </w:rPr>
          <w:t xml:space="preserve">8.5. Fonctionnement du tirage au sort</w:t>
        </w:r>
      </w:hyperlink>
      <w:r>
        <w:rPr>
          <w:rFonts w:ascii="Times New Roman" w:cs="Times New Roman" w:eastAsia="Times New Roman" w:hAnsi="Times New Roman"/>
          <w:sz w:val="19"/>
          <w:szCs w:val="19"/>
        </w:rPr>
        <w:t xml:space="preserve">	15</w:t>
      </w:r>
    </w:p>
    <w:p>
      <w:pPr>
        <w:tabs>
          <w:tab w:val="right" w:pos="9060" w:leader="dot"/>
        </w:tabs>
        <w:spacing w:after="0" w:before="0"/>
        <w:ind w:left="400"/>
      </w:pPr>
      <w:hyperlink w:history="1" w:anchor="_h30">
        <w:r>
          <w:rPr>
            <w:rFonts w:ascii="Times New Roman" w:cs="Times New Roman" w:eastAsia="Times New Roman" w:hAnsi="Times New Roman"/>
            <w:b w:val="false"/>
            <w:bCs w:val="false"/>
            <w:sz w:val="19"/>
            <w:szCs w:val="19"/>
          </w:rPr>
          <w:t xml:space="preserve">8.6. Limitation de l’écran du candidat</w:t>
        </w:r>
      </w:hyperlink>
      <w:r>
        <w:rPr>
          <w:rFonts w:ascii="Times New Roman" w:cs="Times New Roman" w:eastAsia="Times New Roman" w:hAnsi="Times New Roman"/>
          <w:sz w:val="19"/>
          <w:szCs w:val="19"/>
        </w:rPr>
        <w:t xml:space="preserve">	16</w:t>
      </w:r>
    </w:p>
    <w:p>
      <w:pPr>
        <w:tabs>
          <w:tab w:val="right" w:pos="9060" w:leader="dot"/>
        </w:tabs>
        <w:spacing w:after="40" w:before="80"/>
        <w:ind w:left="0"/>
      </w:pPr>
      <w:hyperlink w:history="1" w:anchor="_h31">
        <w:r>
          <w:rPr>
            <w:rFonts w:ascii="Times New Roman" w:cs="Times New Roman" w:eastAsia="Times New Roman" w:hAnsi="Times New Roman"/>
            <w:b/>
            <w:bCs/>
            <w:sz w:val="21"/>
            <w:szCs w:val="21"/>
          </w:rPr>
          <w:t xml:space="preserve">9. Affichage des versets en mode diaporama</w:t>
        </w:r>
      </w:hyperlink>
      <w:r>
        <w:rPr>
          <w:rFonts w:ascii="Times New Roman" w:cs="Times New Roman" w:eastAsia="Times New Roman" w:hAnsi="Times New Roman"/>
          <w:sz w:val="21"/>
          <w:szCs w:val="21"/>
        </w:rPr>
        <w:t xml:space="preserve">	17</w:t>
      </w:r>
    </w:p>
    <w:p>
      <w:pPr>
        <w:tabs>
          <w:tab w:val="right" w:pos="9060" w:leader="dot"/>
        </w:tabs>
        <w:spacing w:after="0" w:before="0"/>
        <w:ind w:left="400"/>
      </w:pPr>
      <w:hyperlink w:history="1" w:anchor="_h32">
        <w:r>
          <w:rPr>
            <w:rFonts w:ascii="Times New Roman" w:cs="Times New Roman" w:eastAsia="Times New Roman" w:hAnsi="Times New Roman"/>
            <w:b w:val="false"/>
            <w:bCs w:val="false"/>
            <w:sz w:val="19"/>
            <w:szCs w:val="19"/>
          </w:rPr>
          <w:t xml:space="preserve">9.1. Principe visuel</w:t>
        </w:r>
      </w:hyperlink>
      <w:r>
        <w:rPr>
          <w:rFonts w:ascii="Times New Roman" w:cs="Times New Roman" w:eastAsia="Times New Roman" w:hAnsi="Times New Roman"/>
          <w:sz w:val="19"/>
          <w:szCs w:val="19"/>
        </w:rPr>
        <w:t xml:space="preserve">	17</w:t>
      </w:r>
    </w:p>
    <w:p>
      <w:pPr>
        <w:tabs>
          <w:tab w:val="right" w:pos="9060" w:leader="dot"/>
        </w:tabs>
        <w:spacing w:after="0" w:before="0"/>
        <w:ind w:left="400"/>
      </w:pPr>
      <w:hyperlink w:history="1" w:anchor="_h33">
        <w:r>
          <w:rPr>
            <w:rFonts w:ascii="Times New Roman" w:cs="Times New Roman" w:eastAsia="Times New Roman" w:hAnsi="Times New Roman"/>
            <w:b w:val="false"/>
            <w:bCs w:val="false"/>
            <w:sz w:val="19"/>
            <w:szCs w:val="19"/>
          </w:rPr>
          <w:t xml:space="preserve">9.2. Règles d’animation</w:t>
        </w:r>
      </w:hyperlink>
      <w:r>
        <w:rPr>
          <w:rFonts w:ascii="Times New Roman" w:cs="Times New Roman" w:eastAsia="Times New Roman" w:hAnsi="Times New Roman"/>
          <w:sz w:val="19"/>
          <w:szCs w:val="19"/>
        </w:rPr>
        <w:t xml:space="preserve">	17</w:t>
      </w:r>
    </w:p>
    <w:p>
      <w:pPr>
        <w:tabs>
          <w:tab w:val="right" w:pos="9060" w:leader="dot"/>
        </w:tabs>
        <w:spacing w:after="0" w:before="0"/>
        <w:ind w:left="400"/>
      </w:pPr>
      <w:hyperlink w:history="1" w:anchor="_h34">
        <w:r>
          <w:rPr>
            <w:rFonts w:ascii="Times New Roman" w:cs="Times New Roman" w:eastAsia="Times New Roman" w:hAnsi="Times New Roman"/>
            <w:b w:val="false"/>
            <w:bCs w:val="false"/>
            <w:sz w:val="19"/>
            <w:szCs w:val="19"/>
          </w:rPr>
          <w:t xml:space="preserve">9.3. Commandes de l’opérateur</w:t>
        </w:r>
      </w:hyperlink>
      <w:r>
        <w:rPr>
          <w:rFonts w:ascii="Times New Roman" w:cs="Times New Roman" w:eastAsia="Times New Roman" w:hAnsi="Times New Roman"/>
          <w:sz w:val="19"/>
          <w:szCs w:val="19"/>
        </w:rPr>
        <w:t xml:space="preserve">	17</w:t>
      </w:r>
    </w:p>
    <w:p>
      <w:pPr>
        <w:tabs>
          <w:tab w:val="right" w:pos="9060" w:leader="dot"/>
        </w:tabs>
        <w:spacing w:after="0" w:before="0"/>
        <w:ind w:left="400"/>
      </w:pPr>
      <w:hyperlink w:history="1" w:anchor="_h35">
        <w:r>
          <w:rPr>
            <w:rFonts w:ascii="Times New Roman" w:cs="Times New Roman" w:eastAsia="Times New Roman" w:hAnsi="Times New Roman"/>
            <w:b w:val="false"/>
            <w:bCs w:val="false"/>
            <w:sz w:val="19"/>
            <w:szCs w:val="19"/>
          </w:rPr>
          <w:t xml:space="preserve">9.4. Synchronisation des écrans</w:t>
        </w:r>
      </w:hyperlink>
      <w:r>
        <w:rPr>
          <w:rFonts w:ascii="Times New Roman" w:cs="Times New Roman" w:eastAsia="Times New Roman" w:hAnsi="Times New Roman"/>
          <w:sz w:val="19"/>
          <w:szCs w:val="19"/>
        </w:rPr>
        <w:t xml:space="preserve">	18</w:t>
      </w:r>
    </w:p>
    <w:p>
      <w:pPr>
        <w:tabs>
          <w:tab w:val="right" w:pos="9060" w:leader="dot"/>
        </w:tabs>
        <w:spacing w:after="40" w:before="80"/>
        <w:ind w:left="0"/>
      </w:pPr>
      <w:hyperlink w:history="1" w:anchor="_h36">
        <w:r>
          <w:rPr>
            <w:rFonts w:ascii="Times New Roman" w:cs="Times New Roman" w:eastAsia="Times New Roman" w:hAnsi="Times New Roman"/>
            <w:b/>
            <w:bCs/>
            <w:sz w:val="21"/>
            <w:szCs w:val="21"/>
          </w:rPr>
          <w:t xml:space="preserve">10. Interface de notation du jury</w:t>
        </w:r>
      </w:hyperlink>
      <w:r>
        <w:rPr>
          <w:rFonts w:ascii="Times New Roman" w:cs="Times New Roman" w:eastAsia="Times New Roman" w:hAnsi="Times New Roman"/>
          <w:sz w:val="21"/>
          <w:szCs w:val="21"/>
        </w:rPr>
        <w:t xml:space="preserve">	18</w:t>
      </w:r>
    </w:p>
    <w:p>
      <w:pPr>
        <w:tabs>
          <w:tab w:val="right" w:pos="9060" w:leader="dot"/>
        </w:tabs>
        <w:spacing w:after="0" w:before="0"/>
        <w:ind w:left="400"/>
      </w:pPr>
      <w:hyperlink w:history="1" w:anchor="_h37">
        <w:r>
          <w:rPr>
            <w:rFonts w:ascii="Times New Roman" w:cs="Times New Roman" w:eastAsia="Times New Roman" w:hAnsi="Times New Roman"/>
            <w:b w:val="false"/>
            <w:bCs w:val="false"/>
            <w:sz w:val="19"/>
            <w:szCs w:val="19"/>
          </w:rPr>
          <w:t xml:space="preserve">10.1. Principe</w:t>
        </w:r>
      </w:hyperlink>
      <w:r>
        <w:rPr>
          <w:rFonts w:ascii="Times New Roman" w:cs="Times New Roman" w:eastAsia="Times New Roman" w:hAnsi="Times New Roman"/>
          <w:sz w:val="19"/>
          <w:szCs w:val="19"/>
        </w:rPr>
        <w:t xml:space="preserve">	18</w:t>
      </w:r>
    </w:p>
    <w:p>
      <w:pPr>
        <w:tabs>
          <w:tab w:val="right" w:pos="9060" w:leader="dot"/>
        </w:tabs>
        <w:spacing w:after="0" w:before="0"/>
        <w:ind w:left="400"/>
      </w:pPr>
      <w:hyperlink w:history="1" w:anchor="_h38">
        <w:r>
          <w:rPr>
            <w:rFonts w:ascii="Times New Roman" w:cs="Times New Roman" w:eastAsia="Times New Roman" w:hAnsi="Times New Roman"/>
            <w:b w:val="false"/>
            <w:bCs w:val="false"/>
            <w:sz w:val="19"/>
            <w:szCs w:val="19"/>
          </w:rPr>
          <w:t xml:space="preserve">10.2. Fonctionnalités de notation</w:t>
        </w:r>
      </w:hyperlink>
      <w:r>
        <w:rPr>
          <w:rFonts w:ascii="Times New Roman" w:cs="Times New Roman" w:eastAsia="Times New Roman" w:hAnsi="Times New Roman"/>
          <w:sz w:val="19"/>
          <w:szCs w:val="19"/>
        </w:rPr>
        <w:t xml:space="preserve">	18</w:t>
      </w:r>
    </w:p>
    <w:p>
      <w:pPr>
        <w:tabs>
          <w:tab w:val="right" w:pos="9060" w:leader="dot"/>
        </w:tabs>
        <w:spacing w:after="0" w:before="0"/>
        <w:ind w:left="400"/>
      </w:pPr>
      <w:hyperlink w:history="1" w:anchor="_h39">
        <w:r>
          <w:rPr>
            <w:rFonts w:ascii="Times New Roman" w:cs="Times New Roman" w:eastAsia="Times New Roman" w:hAnsi="Times New Roman"/>
            <w:b w:val="false"/>
            <w:bCs w:val="false"/>
            <w:sz w:val="19"/>
            <w:szCs w:val="19"/>
          </w:rPr>
          <w:t xml:space="preserve">10.3. Calcul des résultats</w:t>
        </w:r>
      </w:hyperlink>
      <w:r>
        <w:rPr>
          <w:rFonts w:ascii="Times New Roman" w:cs="Times New Roman" w:eastAsia="Times New Roman" w:hAnsi="Times New Roman"/>
          <w:sz w:val="19"/>
          <w:szCs w:val="19"/>
        </w:rPr>
        <w:t xml:space="preserve">	18</w:t>
      </w:r>
    </w:p>
    <w:p>
      <w:pPr>
        <w:tabs>
          <w:tab w:val="right" w:pos="9060" w:leader="dot"/>
        </w:tabs>
        <w:spacing w:after="0" w:before="0"/>
        <w:ind w:left="400"/>
      </w:pPr>
      <w:hyperlink w:history="1" w:anchor="_h40">
        <w:r>
          <w:rPr>
            <w:rFonts w:ascii="Times New Roman" w:cs="Times New Roman" w:eastAsia="Times New Roman" w:hAnsi="Times New Roman"/>
            <w:b w:val="false"/>
            <w:bCs w:val="false"/>
            <w:sz w:val="19"/>
            <w:szCs w:val="19"/>
          </w:rPr>
          <w:t xml:space="preserve">10.4. Gestion des égalités et des désaccords</w:t>
        </w:r>
      </w:hyperlink>
      <w:r>
        <w:rPr>
          <w:rFonts w:ascii="Times New Roman" w:cs="Times New Roman" w:eastAsia="Times New Roman" w:hAnsi="Times New Roman"/>
          <w:sz w:val="19"/>
          <w:szCs w:val="19"/>
        </w:rPr>
        <w:t xml:space="preserve">	19</w:t>
      </w:r>
    </w:p>
    <w:p>
      <w:pPr>
        <w:tabs>
          <w:tab w:val="right" w:pos="9060" w:leader="dot"/>
        </w:tabs>
        <w:spacing w:after="40" w:before="80"/>
        <w:ind w:left="0"/>
      </w:pPr>
      <w:hyperlink w:history="1" w:anchor="_h41">
        <w:r>
          <w:rPr>
            <w:rFonts w:ascii="Times New Roman" w:cs="Times New Roman" w:eastAsia="Times New Roman" w:hAnsi="Times New Roman"/>
            <w:b/>
            <w:bCs/>
            <w:sz w:val="21"/>
            <w:szCs w:val="21"/>
          </w:rPr>
          <w:t xml:space="preserve">11. Module des résultats et du classement</w:t>
        </w:r>
      </w:hyperlink>
      <w:r>
        <w:rPr>
          <w:rFonts w:ascii="Times New Roman" w:cs="Times New Roman" w:eastAsia="Times New Roman" w:hAnsi="Times New Roman"/>
          <w:sz w:val="21"/>
          <w:szCs w:val="21"/>
        </w:rPr>
        <w:t xml:space="preserve">	19</w:t>
      </w:r>
    </w:p>
    <w:p>
      <w:pPr>
        <w:tabs>
          <w:tab w:val="right" w:pos="9060" w:leader="dot"/>
        </w:tabs>
        <w:spacing w:after="0" w:before="0"/>
        <w:ind w:left="400"/>
      </w:pPr>
      <w:hyperlink w:history="1" w:anchor="_h42">
        <w:r>
          <w:rPr>
            <w:rFonts w:ascii="Times New Roman" w:cs="Times New Roman" w:eastAsia="Times New Roman" w:hAnsi="Times New Roman"/>
            <w:b w:val="false"/>
            <w:bCs w:val="false"/>
            <w:sz w:val="19"/>
            <w:szCs w:val="19"/>
          </w:rPr>
          <w:t xml:space="preserve">11.1. Affichage sur scène</w:t>
        </w:r>
      </w:hyperlink>
      <w:r>
        <w:rPr>
          <w:rFonts w:ascii="Times New Roman" w:cs="Times New Roman" w:eastAsia="Times New Roman" w:hAnsi="Times New Roman"/>
          <w:sz w:val="19"/>
          <w:szCs w:val="19"/>
        </w:rPr>
        <w:t xml:space="preserve">	19</w:t>
      </w:r>
    </w:p>
    <w:p>
      <w:pPr>
        <w:tabs>
          <w:tab w:val="right" w:pos="9060" w:leader="dot"/>
        </w:tabs>
        <w:spacing w:after="40" w:before="80"/>
        <w:ind w:left="0"/>
      </w:pPr>
      <w:hyperlink w:history="1" w:anchor="_h43">
        <w:r>
          <w:rPr>
            <w:rFonts w:ascii="Times New Roman" w:cs="Times New Roman" w:eastAsia="Times New Roman" w:hAnsi="Times New Roman"/>
            <w:b/>
            <w:bCs/>
            <w:sz w:val="21"/>
            <w:szCs w:val="21"/>
          </w:rPr>
          <w:t xml:space="preserve">12. Corpus coranique de référence</w:t>
        </w:r>
      </w:hyperlink>
      <w:r>
        <w:rPr>
          <w:rFonts w:ascii="Times New Roman" w:cs="Times New Roman" w:eastAsia="Times New Roman" w:hAnsi="Times New Roman"/>
          <w:sz w:val="21"/>
          <w:szCs w:val="21"/>
        </w:rPr>
        <w:t xml:space="preserve">	20</w:t>
      </w:r>
    </w:p>
    <w:p>
      <w:pPr>
        <w:tabs>
          <w:tab w:val="right" w:pos="9060" w:leader="dot"/>
        </w:tabs>
        <w:spacing w:after="0" w:before="0"/>
        <w:ind w:left="400"/>
      </w:pPr>
      <w:hyperlink w:history="1" w:anchor="_h44">
        <w:r>
          <w:rPr>
            <w:rFonts w:ascii="Times New Roman" w:cs="Times New Roman" w:eastAsia="Times New Roman" w:hAnsi="Times New Roman"/>
            <w:b w:val="false"/>
            <w:bCs w:val="false"/>
            <w:sz w:val="19"/>
            <w:szCs w:val="19"/>
          </w:rPr>
          <w:t xml:space="preserve">12.1. Source officielle unique</w:t>
        </w:r>
      </w:hyperlink>
      <w:r>
        <w:rPr>
          <w:rFonts w:ascii="Times New Roman" w:cs="Times New Roman" w:eastAsia="Times New Roman" w:hAnsi="Times New Roman"/>
          <w:sz w:val="19"/>
          <w:szCs w:val="19"/>
        </w:rPr>
        <w:t xml:space="preserve">	20</w:t>
      </w:r>
    </w:p>
    <w:p>
      <w:pPr>
        <w:tabs>
          <w:tab w:val="right" w:pos="9060" w:leader="dot"/>
        </w:tabs>
        <w:spacing w:after="0" w:before="0"/>
        <w:ind w:left="400"/>
      </w:pPr>
      <w:hyperlink w:history="1" w:anchor="_h45">
        <w:r>
          <w:rPr>
            <w:rFonts w:ascii="Times New Roman" w:cs="Times New Roman" w:eastAsia="Times New Roman" w:hAnsi="Times New Roman"/>
            <w:b w:val="false"/>
            <w:bCs w:val="false"/>
            <w:sz w:val="19"/>
            <w:szCs w:val="19"/>
          </w:rPr>
          <w:t xml:space="preserve">12.2. Procédure de vérification avant intégration</w:t>
        </w:r>
      </w:hyperlink>
      <w:r>
        <w:rPr>
          <w:rFonts w:ascii="Times New Roman" w:cs="Times New Roman" w:eastAsia="Times New Roman" w:hAnsi="Times New Roman"/>
          <w:sz w:val="19"/>
          <w:szCs w:val="19"/>
        </w:rPr>
        <w:t xml:space="preserve">	20</w:t>
      </w:r>
    </w:p>
    <w:p>
      <w:pPr>
        <w:tabs>
          <w:tab w:val="right" w:pos="9060" w:leader="dot"/>
        </w:tabs>
        <w:spacing w:after="0" w:before="0"/>
        <w:ind w:left="400"/>
      </w:pPr>
      <w:hyperlink w:history="1" w:anchor="_h46">
        <w:r>
          <w:rPr>
            <w:rFonts w:ascii="Times New Roman" w:cs="Times New Roman" w:eastAsia="Times New Roman" w:hAnsi="Times New Roman"/>
            <w:b w:val="false"/>
            <w:bCs w:val="false"/>
            <w:sz w:val="19"/>
            <w:szCs w:val="19"/>
          </w:rPr>
          <w:t xml:space="preserve">12.3. Versionnement et mise à jour</w:t>
        </w:r>
      </w:hyperlink>
      <w:r>
        <w:rPr>
          <w:rFonts w:ascii="Times New Roman" w:cs="Times New Roman" w:eastAsia="Times New Roman" w:hAnsi="Times New Roman"/>
          <w:sz w:val="19"/>
          <w:szCs w:val="19"/>
        </w:rPr>
        <w:t xml:space="preserve">	21</w:t>
      </w:r>
    </w:p>
    <w:p>
      <w:pPr>
        <w:tabs>
          <w:tab w:val="right" w:pos="9060" w:leader="dot"/>
        </w:tabs>
        <w:spacing w:after="0" w:before="0"/>
        <w:ind w:left="400"/>
      </w:pPr>
      <w:hyperlink w:history="1" w:anchor="_h47">
        <w:r>
          <w:rPr>
            <w:rFonts w:ascii="Times New Roman" w:cs="Times New Roman" w:eastAsia="Times New Roman" w:hAnsi="Times New Roman"/>
            <w:b w:val="false"/>
            <w:bCs w:val="false"/>
            <w:sz w:val="19"/>
            <w:szCs w:val="19"/>
          </w:rPr>
          <w:t xml:space="preserve">12.4. Règles de numérotation des versets</w:t>
        </w:r>
      </w:hyperlink>
      <w:r>
        <w:rPr>
          <w:rFonts w:ascii="Times New Roman" w:cs="Times New Roman" w:eastAsia="Times New Roman" w:hAnsi="Times New Roman"/>
          <w:sz w:val="19"/>
          <w:szCs w:val="19"/>
        </w:rPr>
        <w:t xml:space="preserve">	21</w:t>
      </w:r>
    </w:p>
    <w:p>
      <w:pPr>
        <w:tabs>
          <w:tab w:val="right" w:pos="9060" w:leader="dot"/>
        </w:tabs>
        <w:spacing w:after="0" w:before="0"/>
        <w:ind w:left="400"/>
      </w:pPr>
      <w:hyperlink w:history="1" w:anchor="_h48">
        <w:r>
          <w:rPr>
            <w:rFonts w:ascii="Times New Roman" w:cs="Times New Roman" w:eastAsia="Times New Roman" w:hAnsi="Times New Roman"/>
            <w:b w:val="false"/>
            <w:bCs w:val="false"/>
            <w:sz w:val="19"/>
            <w:szCs w:val="19"/>
          </w:rPr>
          <w:t xml:space="preserve">12.5. Options de riwāya</w:t>
        </w:r>
      </w:hyperlink>
      <w:r>
        <w:rPr>
          <w:rFonts w:ascii="Times New Roman" w:cs="Times New Roman" w:eastAsia="Times New Roman" w:hAnsi="Times New Roman"/>
          <w:sz w:val="19"/>
          <w:szCs w:val="19"/>
        </w:rPr>
        <w:t xml:space="preserve">	21</w:t>
      </w:r>
    </w:p>
    <w:p>
      <w:pPr>
        <w:tabs>
          <w:tab w:val="right" w:pos="9060" w:leader="dot"/>
        </w:tabs>
        <w:spacing w:after="40" w:before="80"/>
        <w:ind w:left="0"/>
      </w:pPr>
      <w:hyperlink w:history="1" w:anchor="_h49">
        <w:r>
          <w:rPr>
            <w:rFonts w:ascii="Times New Roman" w:cs="Times New Roman" w:eastAsia="Times New Roman" w:hAnsi="Times New Roman"/>
            <w:b/>
            <w:bCs/>
            <w:sz w:val="21"/>
            <w:szCs w:val="21"/>
          </w:rPr>
          <w:t xml:space="preserve">13. Architecture technique *</w:t>
        </w:r>
      </w:hyperlink>
      <w:r>
        <w:rPr>
          <w:rFonts w:ascii="Times New Roman" w:cs="Times New Roman" w:eastAsia="Times New Roman" w:hAnsi="Times New Roman"/>
          <w:sz w:val="21"/>
          <w:szCs w:val="21"/>
        </w:rPr>
        <w:t xml:space="preserve">	21</w:t>
      </w:r>
    </w:p>
    <w:p>
      <w:pPr>
        <w:tabs>
          <w:tab w:val="right" w:pos="9060" w:leader="dot"/>
        </w:tabs>
        <w:spacing w:after="0" w:before="0"/>
        <w:ind w:left="400"/>
      </w:pPr>
      <w:hyperlink w:history="1" w:anchor="_h50">
        <w:r>
          <w:rPr>
            <w:rFonts w:ascii="Times New Roman" w:cs="Times New Roman" w:eastAsia="Times New Roman" w:hAnsi="Times New Roman"/>
            <w:b w:val="false"/>
            <w:bCs w:val="false"/>
            <w:sz w:val="19"/>
            <w:szCs w:val="19"/>
          </w:rPr>
          <w:t xml:space="preserve">13.1. Principe « local d’abord »</w:t>
        </w:r>
      </w:hyperlink>
      <w:r>
        <w:rPr>
          <w:rFonts w:ascii="Times New Roman" w:cs="Times New Roman" w:eastAsia="Times New Roman" w:hAnsi="Times New Roman"/>
          <w:sz w:val="19"/>
          <w:szCs w:val="19"/>
        </w:rPr>
        <w:t xml:space="preserve">	21</w:t>
      </w:r>
    </w:p>
    <w:p>
      <w:pPr>
        <w:tabs>
          <w:tab w:val="right" w:pos="9060" w:leader="dot"/>
        </w:tabs>
        <w:spacing w:after="0" w:before="0"/>
        <w:ind w:left="400"/>
      </w:pPr>
      <w:hyperlink w:history="1" w:anchor="_h51">
        <w:r>
          <w:rPr>
            <w:rFonts w:ascii="Times New Roman" w:cs="Times New Roman" w:eastAsia="Times New Roman" w:hAnsi="Times New Roman"/>
            <w:b w:val="false"/>
            <w:bCs w:val="false"/>
            <w:sz w:val="19"/>
            <w:szCs w:val="19"/>
          </w:rPr>
          <w:t xml:space="preserve">13.2. Technologies retenues</w:t>
        </w:r>
      </w:hyperlink>
      <w:r>
        <w:rPr>
          <w:rFonts w:ascii="Times New Roman" w:cs="Times New Roman" w:eastAsia="Times New Roman" w:hAnsi="Times New Roman"/>
          <w:sz w:val="19"/>
          <w:szCs w:val="19"/>
        </w:rPr>
        <w:t xml:space="preserve">	22</w:t>
      </w:r>
    </w:p>
    <w:p>
      <w:pPr>
        <w:tabs>
          <w:tab w:val="right" w:pos="9060" w:leader="dot"/>
        </w:tabs>
        <w:spacing w:after="0" w:before="0"/>
        <w:ind w:left="400"/>
      </w:pPr>
      <w:hyperlink w:history="1" w:anchor="_h52">
        <w:r>
          <w:rPr>
            <w:rFonts w:ascii="Times New Roman" w:cs="Times New Roman" w:eastAsia="Times New Roman" w:hAnsi="Times New Roman"/>
            <w:b w:val="false"/>
            <w:bCs w:val="false"/>
            <w:sz w:val="19"/>
            <w:szCs w:val="19"/>
          </w:rPr>
          <w:t xml:space="preserve">13.3. Choix des technologies d’interface</w:t>
        </w:r>
      </w:hyperlink>
      <w:r>
        <w:rPr>
          <w:rFonts w:ascii="Times New Roman" w:cs="Times New Roman" w:eastAsia="Times New Roman" w:hAnsi="Times New Roman"/>
          <w:sz w:val="19"/>
          <w:szCs w:val="19"/>
        </w:rPr>
        <w:t xml:space="preserve">	22</w:t>
      </w:r>
    </w:p>
    <w:p>
      <w:pPr>
        <w:tabs>
          <w:tab w:val="right" w:pos="9060" w:leader="dot"/>
        </w:tabs>
        <w:spacing w:after="0" w:before="0"/>
        <w:ind w:left="400"/>
      </w:pPr>
      <w:hyperlink w:history="1" w:anchor="_h53">
        <w:r>
          <w:rPr>
            <w:rFonts w:ascii="Times New Roman" w:cs="Times New Roman" w:eastAsia="Times New Roman" w:hAnsi="Times New Roman"/>
            <w:b w:val="false"/>
            <w:bCs w:val="false"/>
            <w:sz w:val="19"/>
            <w:szCs w:val="19"/>
          </w:rPr>
          <w:t xml:space="preserve">13.4. Séparation des données des clients</w:t>
        </w:r>
      </w:hyperlink>
      <w:r>
        <w:rPr>
          <w:rFonts w:ascii="Times New Roman" w:cs="Times New Roman" w:eastAsia="Times New Roman" w:hAnsi="Times New Roman"/>
          <w:sz w:val="19"/>
          <w:szCs w:val="19"/>
        </w:rPr>
        <w:t xml:space="preserve">	23</w:t>
      </w:r>
    </w:p>
    <w:p>
      <w:pPr>
        <w:tabs>
          <w:tab w:val="right" w:pos="9060" w:leader="dot"/>
        </w:tabs>
        <w:spacing w:after="0" w:before="0"/>
        <w:ind w:left="400"/>
      </w:pPr>
      <w:hyperlink w:history="1" w:anchor="_h54">
        <w:r>
          <w:rPr>
            <w:rFonts w:ascii="Times New Roman" w:cs="Times New Roman" w:eastAsia="Times New Roman" w:hAnsi="Times New Roman"/>
            <w:b w:val="false"/>
            <w:bCs w:val="false"/>
            <w:sz w:val="19"/>
            <w:szCs w:val="19"/>
          </w:rPr>
          <w:t xml:space="preserve">13.5. Communication temps réel et reprise d’état</w:t>
        </w:r>
      </w:hyperlink>
      <w:r>
        <w:rPr>
          <w:rFonts w:ascii="Times New Roman" w:cs="Times New Roman" w:eastAsia="Times New Roman" w:hAnsi="Times New Roman"/>
          <w:sz w:val="19"/>
          <w:szCs w:val="19"/>
        </w:rPr>
        <w:t xml:space="preserve">	23</w:t>
      </w:r>
    </w:p>
    <w:p>
      <w:pPr>
        <w:tabs>
          <w:tab w:val="right" w:pos="9060" w:leader="dot"/>
        </w:tabs>
        <w:spacing w:after="0" w:before="0"/>
        <w:ind w:left="400"/>
      </w:pPr>
      <w:hyperlink w:history="1" w:anchor="_h55">
        <w:r>
          <w:rPr>
            <w:rFonts w:ascii="Times New Roman" w:cs="Times New Roman" w:eastAsia="Times New Roman" w:hAnsi="Times New Roman"/>
            <w:b w:val="false"/>
            <w:bCs w:val="false"/>
            <w:sz w:val="19"/>
            <w:szCs w:val="19"/>
          </w:rPr>
          <w:t xml:space="preserve">13.6. Continuité en salle et synchronisation *</w:t>
        </w:r>
      </w:hyperlink>
      <w:r>
        <w:rPr>
          <w:rFonts w:ascii="Times New Roman" w:cs="Times New Roman" w:eastAsia="Times New Roman" w:hAnsi="Times New Roman"/>
          <w:sz w:val="19"/>
          <w:szCs w:val="19"/>
        </w:rPr>
        <w:t xml:space="preserve">	24</w:t>
      </w:r>
    </w:p>
    <w:p>
      <w:pPr>
        <w:tabs>
          <w:tab w:val="right" w:pos="9060" w:leader="dot"/>
        </w:tabs>
        <w:spacing w:after="0" w:before="0"/>
        <w:ind w:left="400"/>
      </w:pPr>
      <w:hyperlink w:history="1" w:anchor="_h56">
        <w:r>
          <w:rPr>
            <w:rFonts w:ascii="Times New Roman" w:cs="Times New Roman" w:eastAsia="Times New Roman" w:hAnsi="Times New Roman"/>
            <w:b w:val="false"/>
            <w:bCs w:val="false"/>
            <w:sz w:val="19"/>
            <w:szCs w:val="19"/>
          </w:rPr>
          <w:t xml:space="preserve">13.7. Architecture logique</w:t>
        </w:r>
      </w:hyperlink>
      <w:r>
        <w:rPr>
          <w:rFonts w:ascii="Times New Roman" w:cs="Times New Roman" w:eastAsia="Times New Roman" w:hAnsi="Times New Roman"/>
          <w:sz w:val="19"/>
          <w:szCs w:val="19"/>
        </w:rPr>
        <w:t xml:space="preserve">	24</w:t>
      </w:r>
    </w:p>
    <w:p>
      <w:pPr>
        <w:tabs>
          <w:tab w:val="right" w:pos="9060" w:leader="dot"/>
        </w:tabs>
        <w:spacing w:after="0" w:before="0"/>
        <w:ind w:left="400"/>
      </w:pPr>
      <w:hyperlink w:history="1" w:anchor="_h57">
        <w:r>
          <w:rPr>
            <w:rFonts w:ascii="Times New Roman" w:cs="Times New Roman" w:eastAsia="Times New Roman" w:hAnsi="Times New Roman"/>
            <w:b w:val="false"/>
            <w:bCs w:val="false"/>
            <w:sz w:val="19"/>
            <w:szCs w:val="19"/>
          </w:rPr>
          <w:t xml:space="preserve">13.8. Architecture fonctionnelle en modules</w:t>
        </w:r>
      </w:hyperlink>
      <w:r>
        <w:rPr>
          <w:rFonts w:ascii="Times New Roman" w:cs="Times New Roman" w:eastAsia="Times New Roman" w:hAnsi="Times New Roman"/>
          <w:sz w:val="19"/>
          <w:szCs w:val="19"/>
        </w:rPr>
        <w:t xml:space="preserve">	25</w:t>
      </w:r>
    </w:p>
    <w:p>
      <w:pPr>
        <w:tabs>
          <w:tab w:val="right" w:pos="9060" w:leader="dot"/>
        </w:tabs>
        <w:spacing w:after="40" w:before="80"/>
        <w:ind w:left="0"/>
      </w:pPr>
      <w:hyperlink w:history="1" w:anchor="_h58">
        <w:r>
          <w:rPr>
            <w:rFonts w:ascii="Times New Roman" w:cs="Times New Roman" w:eastAsia="Times New Roman" w:hAnsi="Times New Roman"/>
            <w:b/>
            <w:bCs/>
            <w:sz w:val="21"/>
            <w:szCs w:val="21"/>
          </w:rPr>
          <w:t xml:space="preserve">14. Modèle de données prévisionnel</w:t>
        </w:r>
      </w:hyperlink>
      <w:r>
        <w:rPr>
          <w:rFonts w:ascii="Times New Roman" w:cs="Times New Roman" w:eastAsia="Times New Roman" w:hAnsi="Times New Roman"/>
          <w:sz w:val="21"/>
          <w:szCs w:val="21"/>
        </w:rPr>
        <w:t xml:space="preserve">	25</w:t>
      </w:r>
    </w:p>
    <w:p>
      <w:pPr>
        <w:tabs>
          <w:tab w:val="right" w:pos="9060" w:leader="dot"/>
        </w:tabs>
        <w:spacing w:after="0" w:before="0"/>
        <w:ind w:left="400"/>
      </w:pPr>
      <w:hyperlink w:history="1" w:anchor="_h59">
        <w:r>
          <w:rPr>
            <w:rFonts w:ascii="Times New Roman" w:cs="Times New Roman" w:eastAsia="Times New Roman" w:hAnsi="Times New Roman"/>
            <w:b w:val="false"/>
            <w:bCs w:val="false"/>
            <w:sz w:val="19"/>
            <w:szCs w:val="19"/>
          </w:rPr>
          <w:t xml:space="preserve">14.1. Principales entités</w:t>
        </w:r>
      </w:hyperlink>
      <w:r>
        <w:rPr>
          <w:rFonts w:ascii="Times New Roman" w:cs="Times New Roman" w:eastAsia="Times New Roman" w:hAnsi="Times New Roman"/>
          <w:sz w:val="19"/>
          <w:szCs w:val="19"/>
        </w:rPr>
        <w:t xml:space="preserve">	25</w:t>
      </w:r>
    </w:p>
    <w:p>
      <w:pPr>
        <w:tabs>
          <w:tab w:val="right" w:pos="9060" w:leader="dot"/>
        </w:tabs>
        <w:spacing w:after="0" w:before="0"/>
        <w:ind w:left="400"/>
      </w:pPr>
      <w:hyperlink w:history="1" w:anchor="_h60">
        <w:r>
          <w:rPr>
            <w:rFonts w:ascii="Times New Roman" w:cs="Times New Roman" w:eastAsia="Times New Roman" w:hAnsi="Times New Roman"/>
            <w:b w:val="false"/>
            <w:bCs w:val="false"/>
            <w:sz w:val="19"/>
            <w:szCs w:val="19"/>
          </w:rPr>
          <w:t xml:space="preserve">14.2. Règles d’intégrité</w:t>
        </w:r>
      </w:hyperlink>
      <w:r>
        <w:rPr>
          <w:rFonts w:ascii="Times New Roman" w:cs="Times New Roman" w:eastAsia="Times New Roman" w:hAnsi="Times New Roman"/>
          <w:sz w:val="19"/>
          <w:szCs w:val="19"/>
        </w:rPr>
        <w:t xml:space="preserve">	26</w:t>
      </w:r>
    </w:p>
    <w:p>
      <w:pPr>
        <w:tabs>
          <w:tab w:val="right" w:pos="9060" w:leader="dot"/>
        </w:tabs>
        <w:spacing w:after="40" w:before="80"/>
        <w:ind w:left="0"/>
      </w:pPr>
      <w:hyperlink w:history="1" w:anchor="_h61">
        <w:r>
          <w:rPr>
            <w:rFonts w:ascii="Times New Roman" w:cs="Times New Roman" w:eastAsia="Times New Roman" w:hAnsi="Times New Roman"/>
            <w:b/>
            <w:bCs/>
            <w:sz w:val="21"/>
            <w:szCs w:val="21"/>
          </w:rPr>
          <w:t xml:space="preserve">15. Sécurité, confidentialité et fiabilité *</w:t>
        </w:r>
      </w:hyperlink>
      <w:r>
        <w:rPr>
          <w:rFonts w:ascii="Times New Roman" w:cs="Times New Roman" w:eastAsia="Times New Roman" w:hAnsi="Times New Roman"/>
          <w:sz w:val="21"/>
          <w:szCs w:val="21"/>
        </w:rPr>
        <w:t xml:space="preserve">	26</w:t>
      </w:r>
    </w:p>
    <w:p>
      <w:pPr>
        <w:tabs>
          <w:tab w:val="right" w:pos="9060" w:leader="dot"/>
        </w:tabs>
        <w:spacing w:after="0" w:before="0"/>
        <w:ind w:left="400"/>
      </w:pPr>
      <w:hyperlink w:history="1" w:anchor="_h62">
        <w:r>
          <w:rPr>
            <w:rFonts w:ascii="Times New Roman" w:cs="Times New Roman" w:eastAsia="Times New Roman" w:hAnsi="Times New Roman"/>
            <w:b w:val="false"/>
            <w:bCs w:val="false"/>
            <w:sz w:val="19"/>
            <w:szCs w:val="19"/>
          </w:rPr>
          <w:t xml:space="preserve">15.1. Authentification et autorisations</w:t>
        </w:r>
      </w:hyperlink>
      <w:r>
        <w:rPr>
          <w:rFonts w:ascii="Times New Roman" w:cs="Times New Roman" w:eastAsia="Times New Roman" w:hAnsi="Times New Roman"/>
          <w:sz w:val="19"/>
          <w:szCs w:val="19"/>
        </w:rPr>
        <w:t xml:space="preserve">	26</w:t>
      </w:r>
    </w:p>
    <w:p>
      <w:pPr>
        <w:tabs>
          <w:tab w:val="right" w:pos="9060" w:leader="dot"/>
        </w:tabs>
        <w:spacing w:after="0" w:before="0"/>
        <w:ind w:left="400"/>
      </w:pPr>
      <w:hyperlink w:history="1" w:anchor="_h63">
        <w:r>
          <w:rPr>
            <w:rFonts w:ascii="Times New Roman" w:cs="Times New Roman" w:eastAsia="Times New Roman" w:hAnsi="Times New Roman"/>
            <w:b w:val="false"/>
            <w:bCs w:val="false"/>
            <w:sz w:val="19"/>
            <w:szCs w:val="19"/>
          </w:rPr>
          <w:t xml:space="preserve">15.2. Sécurité applicative</w:t>
        </w:r>
      </w:hyperlink>
      <w:r>
        <w:rPr>
          <w:rFonts w:ascii="Times New Roman" w:cs="Times New Roman" w:eastAsia="Times New Roman" w:hAnsi="Times New Roman"/>
          <w:sz w:val="19"/>
          <w:szCs w:val="19"/>
        </w:rPr>
        <w:t xml:space="preserve">	26</w:t>
      </w:r>
    </w:p>
    <w:p>
      <w:pPr>
        <w:tabs>
          <w:tab w:val="right" w:pos="9060" w:leader="dot"/>
        </w:tabs>
        <w:spacing w:after="0" w:before="0"/>
        <w:ind w:left="400"/>
      </w:pPr>
      <w:hyperlink w:history="1" w:anchor="_h64">
        <w:r>
          <w:rPr>
            <w:rFonts w:ascii="Times New Roman" w:cs="Times New Roman" w:eastAsia="Times New Roman" w:hAnsi="Times New Roman"/>
            <w:b w:val="false"/>
            <w:bCs w:val="false"/>
            <w:sz w:val="19"/>
            <w:szCs w:val="19"/>
          </w:rPr>
          <w:t xml:space="preserve">15.3. Protection des résultats</w:t>
        </w:r>
      </w:hyperlink>
      <w:r>
        <w:rPr>
          <w:rFonts w:ascii="Times New Roman" w:cs="Times New Roman" w:eastAsia="Times New Roman" w:hAnsi="Times New Roman"/>
          <w:sz w:val="19"/>
          <w:szCs w:val="19"/>
        </w:rPr>
        <w:t xml:space="preserve">	27</w:t>
      </w:r>
    </w:p>
    <w:p>
      <w:pPr>
        <w:tabs>
          <w:tab w:val="right" w:pos="9060" w:leader="dot"/>
        </w:tabs>
        <w:spacing w:after="0" w:before="0"/>
        <w:ind w:left="400"/>
      </w:pPr>
      <w:hyperlink w:history="1" w:anchor="_h65">
        <w:r>
          <w:rPr>
            <w:rFonts w:ascii="Times New Roman" w:cs="Times New Roman" w:eastAsia="Times New Roman" w:hAnsi="Times New Roman"/>
            <w:b w:val="false"/>
            <w:bCs w:val="false"/>
            <w:sz w:val="19"/>
            <w:szCs w:val="19"/>
          </w:rPr>
          <w:t xml:space="preserve">15.4. Protection du tirage au sort</w:t>
        </w:r>
      </w:hyperlink>
      <w:r>
        <w:rPr>
          <w:rFonts w:ascii="Times New Roman" w:cs="Times New Roman" w:eastAsia="Times New Roman" w:hAnsi="Times New Roman"/>
          <w:sz w:val="19"/>
          <w:szCs w:val="19"/>
        </w:rPr>
        <w:t xml:space="preserve">	28</w:t>
      </w:r>
    </w:p>
    <w:p>
      <w:pPr>
        <w:tabs>
          <w:tab w:val="right" w:pos="9060" w:leader="dot"/>
        </w:tabs>
        <w:spacing w:after="0" w:before="0"/>
        <w:ind w:left="400"/>
      </w:pPr>
      <w:hyperlink w:history="1" w:anchor="_h66">
        <w:r>
          <w:rPr>
            <w:rFonts w:ascii="Times New Roman" w:cs="Times New Roman" w:eastAsia="Times New Roman" w:hAnsi="Times New Roman"/>
            <w:b w:val="false"/>
            <w:bCs w:val="false"/>
            <w:sz w:val="19"/>
            <w:szCs w:val="19"/>
          </w:rPr>
          <w:t xml:space="preserve">15.5. Sauvegardes et continuité</w:t>
        </w:r>
      </w:hyperlink>
      <w:r>
        <w:rPr>
          <w:rFonts w:ascii="Times New Roman" w:cs="Times New Roman" w:eastAsia="Times New Roman" w:hAnsi="Times New Roman"/>
          <w:sz w:val="19"/>
          <w:szCs w:val="19"/>
        </w:rPr>
        <w:t xml:space="preserve">	28</w:t>
      </w:r>
    </w:p>
    <w:p>
      <w:pPr>
        <w:tabs>
          <w:tab w:val="right" w:pos="9060" w:leader="dot"/>
        </w:tabs>
        <w:spacing w:after="40" w:before="80"/>
        <w:ind w:left="0"/>
      </w:pPr>
      <w:hyperlink w:history="1" w:anchor="_h67">
        <w:r>
          <w:rPr>
            <w:rFonts w:ascii="Times New Roman" w:cs="Times New Roman" w:eastAsia="Times New Roman" w:hAnsi="Times New Roman"/>
            <w:b/>
            <w:bCs/>
            <w:sz w:val="21"/>
            <w:szCs w:val="21"/>
          </w:rPr>
          <w:t xml:space="preserve">16. Protection des données personnelles *</w:t>
        </w:r>
      </w:hyperlink>
      <w:r>
        <w:rPr>
          <w:rFonts w:ascii="Times New Roman" w:cs="Times New Roman" w:eastAsia="Times New Roman" w:hAnsi="Times New Roman"/>
          <w:sz w:val="21"/>
          <w:szCs w:val="21"/>
        </w:rPr>
        <w:t xml:space="preserve">	28</w:t>
      </w:r>
    </w:p>
    <w:p>
      <w:pPr>
        <w:tabs>
          <w:tab w:val="right" w:pos="9060" w:leader="dot"/>
        </w:tabs>
        <w:spacing w:after="0" w:before="0"/>
        <w:ind w:left="400"/>
      </w:pPr>
      <w:hyperlink w:history="1" w:anchor="_h68">
        <w:r>
          <w:rPr>
            <w:rFonts w:ascii="Times New Roman" w:cs="Times New Roman" w:eastAsia="Times New Roman" w:hAnsi="Times New Roman"/>
            <w:b w:val="false"/>
            <w:bCs w:val="false"/>
            <w:sz w:val="19"/>
            <w:szCs w:val="19"/>
          </w:rPr>
          <w:t xml:space="preserve">16.1. Rôles et base légale du traitement</w:t>
        </w:r>
      </w:hyperlink>
      <w:r>
        <w:rPr>
          <w:rFonts w:ascii="Times New Roman" w:cs="Times New Roman" w:eastAsia="Times New Roman" w:hAnsi="Times New Roman"/>
          <w:sz w:val="19"/>
          <w:szCs w:val="19"/>
        </w:rPr>
        <w:t xml:space="preserve">	28</w:t>
      </w:r>
    </w:p>
    <w:p>
      <w:pPr>
        <w:tabs>
          <w:tab w:val="right" w:pos="9060" w:leader="dot"/>
        </w:tabs>
        <w:spacing w:after="0" w:before="0"/>
        <w:ind w:left="400"/>
      </w:pPr>
      <w:hyperlink w:history="1" w:anchor="_h69">
        <w:r>
          <w:rPr>
            <w:rFonts w:ascii="Times New Roman" w:cs="Times New Roman" w:eastAsia="Times New Roman" w:hAnsi="Times New Roman"/>
            <w:b w:val="false"/>
            <w:bCs w:val="false"/>
            <w:sz w:val="19"/>
            <w:szCs w:val="19"/>
          </w:rPr>
          <w:t xml:space="preserve">16.2. Mineurs et consentement parental obligatoire</w:t>
        </w:r>
      </w:hyperlink>
      <w:r>
        <w:rPr>
          <w:rFonts w:ascii="Times New Roman" w:cs="Times New Roman" w:eastAsia="Times New Roman" w:hAnsi="Times New Roman"/>
          <w:sz w:val="19"/>
          <w:szCs w:val="19"/>
        </w:rPr>
        <w:t xml:space="preserve">	28</w:t>
      </w:r>
    </w:p>
    <w:p>
      <w:pPr>
        <w:tabs>
          <w:tab w:val="right" w:pos="9060" w:leader="dot"/>
        </w:tabs>
        <w:spacing w:after="0" w:before="0"/>
        <w:ind w:left="400"/>
      </w:pPr>
      <w:hyperlink w:history="1" w:anchor="_h70">
        <w:r>
          <w:rPr>
            <w:rFonts w:ascii="Times New Roman" w:cs="Times New Roman" w:eastAsia="Times New Roman" w:hAnsi="Times New Roman"/>
            <w:b w:val="false"/>
            <w:bCs w:val="false"/>
            <w:sz w:val="19"/>
            <w:szCs w:val="19"/>
          </w:rPr>
          <w:t xml:space="preserve">16.3. Durées de conservation par le prestataire</w:t>
        </w:r>
      </w:hyperlink>
      <w:r>
        <w:rPr>
          <w:rFonts w:ascii="Times New Roman" w:cs="Times New Roman" w:eastAsia="Times New Roman" w:hAnsi="Times New Roman"/>
          <w:sz w:val="19"/>
          <w:szCs w:val="19"/>
        </w:rPr>
        <w:t xml:space="preserve">	29</w:t>
      </w:r>
    </w:p>
    <w:p>
      <w:pPr>
        <w:tabs>
          <w:tab w:val="right" w:pos="9060" w:leader="dot"/>
        </w:tabs>
        <w:spacing w:after="0" w:before="0"/>
        <w:ind w:left="400"/>
      </w:pPr>
      <w:hyperlink w:history="1" w:anchor="_h71">
        <w:r>
          <w:rPr>
            <w:rFonts w:ascii="Times New Roman" w:cs="Times New Roman" w:eastAsia="Times New Roman" w:hAnsi="Times New Roman"/>
            <w:b w:val="false"/>
            <w:bCs w:val="false"/>
            <w:sz w:val="19"/>
            <w:szCs w:val="19"/>
          </w:rPr>
          <w:t xml:space="preserve">16.4. Droits des personnes concernées</w:t>
        </w:r>
      </w:hyperlink>
      <w:r>
        <w:rPr>
          <w:rFonts w:ascii="Times New Roman" w:cs="Times New Roman" w:eastAsia="Times New Roman" w:hAnsi="Times New Roman"/>
          <w:sz w:val="19"/>
          <w:szCs w:val="19"/>
        </w:rPr>
        <w:t xml:space="preserve">	29</w:t>
      </w:r>
    </w:p>
    <w:p>
      <w:pPr>
        <w:tabs>
          <w:tab w:val="right" w:pos="9060" w:leader="dot"/>
        </w:tabs>
        <w:spacing w:after="0" w:before="0"/>
        <w:ind w:left="400"/>
      </w:pPr>
      <w:hyperlink w:history="1" w:anchor="_h72">
        <w:r>
          <w:rPr>
            <w:rFonts w:ascii="Times New Roman" w:cs="Times New Roman" w:eastAsia="Times New Roman" w:hAnsi="Times New Roman"/>
            <w:b w:val="false"/>
            <w:bCs w:val="false"/>
            <w:sz w:val="19"/>
            <w:szCs w:val="19"/>
          </w:rPr>
          <w:t xml:space="preserve">16.5. Formalités auprès de l’ARTCI</w:t>
        </w:r>
      </w:hyperlink>
      <w:r>
        <w:rPr>
          <w:rFonts w:ascii="Times New Roman" w:cs="Times New Roman" w:eastAsia="Times New Roman" w:hAnsi="Times New Roman"/>
          <w:sz w:val="19"/>
          <w:szCs w:val="19"/>
        </w:rPr>
        <w:t xml:space="preserve">	29</w:t>
      </w:r>
    </w:p>
    <w:p>
      <w:pPr>
        <w:tabs>
          <w:tab w:val="right" w:pos="9060" w:leader="dot"/>
        </w:tabs>
        <w:spacing w:after="0" w:before="0"/>
        <w:ind w:left="400"/>
      </w:pPr>
      <w:hyperlink w:history="1" w:anchor="_h73">
        <w:r>
          <w:rPr>
            <w:rFonts w:ascii="Times New Roman" w:cs="Times New Roman" w:eastAsia="Times New Roman" w:hAnsi="Times New Roman"/>
            <w:b w:val="false"/>
            <w:bCs w:val="false"/>
            <w:sz w:val="19"/>
            <w:szCs w:val="19"/>
          </w:rPr>
          <w:t xml:space="preserve">16.6. Registre des traitements</w:t>
        </w:r>
      </w:hyperlink>
      <w:r>
        <w:rPr>
          <w:rFonts w:ascii="Times New Roman" w:cs="Times New Roman" w:eastAsia="Times New Roman" w:hAnsi="Times New Roman"/>
          <w:sz w:val="19"/>
          <w:szCs w:val="19"/>
        </w:rPr>
        <w:t xml:space="preserve">	30</w:t>
      </w:r>
    </w:p>
    <w:p>
      <w:pPr>
        <w:tabs>
          <w:tab w:val="right" w:pos="9060" w:leader="dot"/>
        </w:tabs>
        <w:spacing w:after="40" w:before="80"/>
        <w:ind w:left="0"/>
      </w:pPr>
      <w:hyperlink w:history="1" w:anchor="_h74">
        <w:r>
          <w:rPr>
            <w:rFonts w:ascii="Times New Roman" w:cs="Times New Roman" w:eastAsia="Times New Roman" w:hAnsi="Times New Roman"/>
            <w:b/>
            <w:bCs/>
            <w:sz w:val="21"/>
            <w:szCs w:val="21"/>
          </w:rPr>
          <w:t xml:space="preserve">17. Restitution et portabilité des données *</w:t>
        </w:r>
      </w:hyperlink>
      <w:r>
        <w:rPr>
          <w:rFonts w:ascii="Times New Roman" w:cs="Times New Roman" w:eastAsia="Times New Roman" w:hAnsi="Times New Roman"/>
          <w:sz w:val="21"/>
          <w:szCs w:val="21"/>
        </w:rPr>
        <w:t xml:space="preserve">	30</w:t>
      </w:r>
    </w:p>
    <w:p>
      <w:pPr>
        <w:tabs>
          <w:tab w:val="right" w:pos="9060" w:leader="dot"/>
        </w:tabs>
        <w:spacing w:after="0" w:before="0"/>
        <w:ind w:left="400"/>
      </w:pPr>
      <w:hyperlink w:history="1" w:anchor="_h75">
        <w:r>
          <w:rPr>
            <w:rFonts w:ascii="Times New Roman" w:cs="Times New Roman" w:eastAsia="Times New Roman" w:hAnsi="Times New Roman"/>
            <w:b w:val="false"/>
            <w:bCs w:val="false"/>
            <w:sz w:val="19"/>
            <w:szCs w:val="19"/>
          </w:rPr>
          <w:t xml:space="preserve">17.1. Restitution à la fin de chaque mission</w:t>
        </w:r>
      </w:hyperlink>
      <w:r>
        <w:rPr>
          <w:rFonts w:ascii="Times New Roman" w:cs="Times New Roman" w:eastAsia="Times New Roman" w:hAnsi="Times New Roman"/>
          <w:sz w:val="19"/>
          <w:szCs w:val="19"/>
        </w:rPr>
        <w:t xml:space="preserve">	30</w:t>
      </w:r>
    </w:p>
    <w:p>
      <w:pPr>
        <w:tabs>
          <w:tab w:val="right" w:pos="9060" w:leader="dot"/>
        </w:tabs>
        <w:spacing w:after="0" w:before="0"/>
        <w:ind w:left="400"/>
      </w:pPr>
      <w:hyperlink w:history="1" w:anchor="_h76">
        <w:r>
          <w:rPr>
            <w:rFonts w:ascii="Times New Roman" w:cs="Times New Roman" w:eastAsia="Times New Roman" w:hAnsi="Times New Roman"/>
            <w:b w:val="false"/>
            <w:bCs w:val="false"/>
            <w:sz w:val="19"/>
            <w:szCs w:val="19"/>
          </w:rPr>
          <w:t xml:space="preserve">17.2. Suppression à la demande du client</w:t>
        </w:r>
      </w:hyperlink>
      <w:r>
        <w:rPr>
          <w:rFonts w:ascii="Times New Roman" w:cs="Times New Roman" w:eastAsia="Times New Roman" w:hAnsi="Times New Roman"/>
          <w:sz w:val="19"/>
          <w:szCs w:val="19"/>
        </w:rPr>
        <w:t xml:space="preserve">	30</w:t>
      </w:r>
    </w:p>
    <w:p>
      <w:pPr>
        <w:tabs>
          <w:tab w:val="right" w:pos="9060" w:leader="dot"/>
        </w:tabs>
        <w:spacing w:after="0" w:before="0"/>
        <w:ind w:left="400"/>
      </w:pPr>
      <w:hyperlink w:history="1" w:anchor="_h77">
        <w:r>
          <w:rPr>
            <w:rFonts w:ascii="Times New Roman" w:cs="Times New Roman" w:eastAsia="Times New Roman" w:hAnsi="Times New Roman"/>
            <w:b w:val="false"/>
            <w:bCs w:val="false"/>
            <w:sz w:val="19"/>
            <w:szCs w:val="19"/>
          </w:rPr>
          <w:t xml:space="preserve">17.3. Fin de la relation commerciale</w:t>
        </w:r>
      </w:hyperlink>
      <w:r>
        <w:rPr>
          <w:rFonts w:ascii="Times New Roman" w:cs="Times New Roman" w:eastAsia="Times New Roman" w:hAnsi="Times New Roman"/>
          <w:sz w:val="19"/>
          <w:szCs w:val="19"/>
        </w:rPr>
        <w:t xml:space="preserve">	30</w:t>
      </w:r>
    </w:p>
    <w:p>
      <w:pPr>
        <w:tabs>
          <w:tab w:val="right" w:pos="9060" w:leader="dot"/>
        </w:tabs>
        <w:spacing w:after="40" w:before="80"/>
        <w:ind w:left="0"/>
      </w:pPr>
      <w:hyperlink w:history="1" w:anchor="_h78">
        <w:r>
          <w:rPr>
            <w:rFonts w:ascii="Times New Roman" w:cs="Times New Roman" w:eastAsia="Times New Roman" w:hAnsi="Times New Roman"/>
            <w:b/>
            <w:bCs/>
            <w:sz w:val="21"/>
            <w:szCs w:val="21"/>
          </w:rPr>
          <w:t xml:space="preserve">18. Exigences non fonctionnelles</w:t>
        </w:r>
      </w:hyperlink>
      <w:r>
        <w:rPr>
          <w:rFonts w:ascii="Times New Roman" w:cs="Times New Roman" w:eastAsia="Times New Roman" w:hAnsi="Times New Roman"/>
          <w:sz w:val="21"/>
          <w:szCs w:val="21"/>
        </w:rPr>
        <w:t xml:space="preserve">	30</w:t>
      </w:r>
    </w:p>
    <w:p>
      <w:pPr>
        <w:tabs>
          <w:tab w:val="right" w:pos="9060" w:leader="dot"/>
        </w:tabs>
        <w:spacing w:after="0" w:before="0"/>
        <w:ind w:left="400"/>
      </w:pPr>
      <w:hyperlink w:history="1" w:anchor="_h79">
        <w:r>
          <w:rPr>
            <w:rFonts w:ascii="Times New Roman" w:cs="Times New Roman" w:eastAsia="Times New Roman" w:hAnsi="Times New Roman"/>
            <w:b w:val="false"/>
            <w:bCs w:val="false"/>
            <w:sz w:val="19"/>
            <w:szCs w:val="19"/>
          </w:rPr>
          <w:t xml:space="preserve">18.1. Objectifs chiffrés *</w:t>
        </w:r>
      </w:hyperlink>
      <w:r>
        <w:rPr>
          <w:rFonts w:ascii="Times New Roman" w:cs="Times New Roman" w:eastAsia="Times New Roman" w:hAnsi="Times New Roman"/>
          <w:sz w:val="19"/>
          <w:szCs w:val="19"/>
        </w:rPr>
        <w:t xml:space="preserve">	30</w:t>
      </w:r>
    </w:p>
    <w:p>
      <w:pPr>
        <w:tabs>
          <w:tab w:val="right" w:pos="9060" w:leader="dot"/>
        </w:tabs>
        <w:spacing w:after="0" w:before="0"/>
        <w:ind w:left="400"/>
      </w:pPr>
      <w:hyperlink w:history="1" w:anchor="_h80">
        <w:r>
          <w:rPr>
            <w:rFonts w:ascii="Times New Roman" w:cs="Times New Roman" w:eastAsia="Times New Roman" w:hAnsi="Times New Roman"/>
            <w:b w:val="false"/>
            <w:bCs w:val="false"/>
            <w:sz w:val="19"/>
            <w:szCs w:val="19"/>
          </w:rPr>
          <w:t xml:space="preserve">18.2. Accessibilité</w:t>
        </w:r>
      </w:hyperlink>
      <w:r>
        <w:rPr>
          <w:rFonts w:ascii="Times New Roman" w:cs="Times New Roman" w:eastAsia="Times New Roman" w:hAnsi="Times New Roman"/>
          <w:sz w:val="19"/>
          <w:szCs w:val="19"/>
        </w:rPr>
        <w:t xml:space="preserve">	31</w:t>
      </w:r>
    </w:p>
    <w:p>
      <w:pPr>
        <w:tabs>
          <w:tab w:val="right" w:pos="9060" w:leader="dot"/>
        </w:tabs>
        <w:spacing w:after="40" w:before="80"/>
        <w:ind w:left="0"/>
      </w:pPr>
      <w:hyperlink w:history="1" w:anchor="_h81">
        <w:r>
          <w:rPr>
            <w:rFonts w:ascii="Times New Roman" w:cs="Times New Roman" w:eastAsia="Times New Roman" w:hAnsi="Times New Roman"/>
            <w:b/>
            <w:bCs/>
            <w:sz w:val="21"/>
            <w:szCs w:val="21"/>
          </w:rPr>
          <w:t xml:space="preserve">19. Règles métier détaillées</w:t>
        </w:r>
      </w:hyperlink>
      <w:r>
        <w:rPr>
          <w:rFonts w:ascii="Times New Roman" w:cs="Times New Roman" w:eastAsia="Times New Roman" w:hAnsi="Times New Roman"/>
          <w:sz w:val="21"/>
          <w:szCs w:val="21"/>
        </w:rPr>
        <w:t xml:space="preserve">	32</w:t>
      </w:r>
    </w:p>
    <w:p>
      <w:pPr>
        <w:tabs>
          <w:tab w:val="right" w:pos="9060" w:leader="dot"/>
        </w:tabs>
        <w:spacing w:after="40" w:before="80"/>
        <w:ind w:left="0"/>
      </w:pPr>
      <w:hyperlink w:history="1" w:anchor="_h82">
        <w:r>
          <w:rPr>
            <w:rFonts w:ascii="Times New Roman" w:cs="Times New Roman" w:eastAsia="Times New Roman" w:hAnsi="Times New Roman"/>
            <w:b/>
            <w:bCs/>
            <w:sz w:val="21"/>
            <w:szCs w:val="21"/>
          </w:rPr>
          <w:t xml:space="preserve">20. Scénarios d’utilisation à couvrir</w:t>
        </w:r>
      </w:hyperlink>
      <w:r>
        <w:rPr>
          <w:rFonts w:ascii="Times New Roman" w:cs="Times New Roman" w:eastAsia="Times New Roman" w:hAnsi="Times New Roman"/>
          <w:sz w:val="21"/>
          <w:szCs w:val="21"/>
        </w:rPr>
        <w:t xml:space="preserve">	33</w:t>
      </w:r>
    </w:p>
    <w:p>
      <w:pPr>
        <w:tabs>
          <w:tab w:val="right" w:pos="9060" w:leader="dot"/>
        </w:tabs>
        <w:spacing w:after="0" w:before="0"/>
        <w:ind w:left="400"/>
      </w:pPr>
      <w:hyperlink w:history="1" w:anchor="_h83">
        <w:r>
          <w:rPr>
            <w:rFonts w:ascii="Times New Roman" w:cs="Times New Roman" w:eastAsia="Times New Roman" w:hAnsi="Times New Roman"/>
            <w:b w:val="false"/>
            <w:bCs w:val="false"/>
            <w:sz w:val="19"/>
            <w:szCs w:val="19"/>
          </w:rPr>
          <w:t xml:space="preserve">Scénario A — Préparer une mission</w:t>
        </w:r>
      </w:hyperlink>
      <w:r>
        <w:rPr>
          <w:rFonts w:ascii="Times New Roman" w:cs="Times New Roman" w:eastAsia="Times New Roman" w:hAnsi="Times New Roman"/>
          <w:sz w:val="19"/>
          <w:szCs w:val="19"/>
        </w:rPr>
        <w:t xml:space="preserve">	33</w:t>
      </w:r>
    </w:p>
    <w:p>
      <w:pPr>
        <w:tabs>
          <w:tab w:val="right" w:pos="9060" w:leader="dot"/>
        </w:tabs>
        <w:spacing w:after="0" w:before="0"/>
        <w:ind w:left="400"/>
      </w:pPr>
      <w:hyperlink w:history="1" w:anchor="_h84">
        <w:r>
          <w:rPr>
            <w:rFonts w:ascii="Times New Roman" w:cs="Times New Roman" w:eastAsia="Times New Roman" w:hAnsi="Times New Roman"/>
            <w:b w:val="false"/>
            <w:bCs w:val="false"/>
            <w:sz w:val="19"/>
            <w:szCs w:val="19"/>
          </w:rPr>
          <w:t xml:space="preserve">Scénario B — Conduire une prestation</w:t>
        </w:r>
      </w:hyperlink>
      <w:r>
        <w:rPr>
          <w:rFonts w:ascii="Times New Roman" w:cs="Times New Roman" w:eastAsia="Times New Roman" w:hAnsi="Times New Roman"/>
          <w:sz w:val="19"/>
          <w:szCs w:val="19"/>
        </w:rPr>
        <w:t xml:space="preserve">	33</w:t>
      </w:r>
    </w:p>
    <w:p>
      <w:pPr>
        <w:tabs>
          <w:tab w:val="right" w:pos="9060" w:leader="dot"/>
        </w:tabs>
        <w:spacing w:after="0" w:before="0"/>
        <w:ind w:left="400"/>
      </w:pPr>
      <w:hyperlink w:history="1" w:anchor="_h85">
        <w:r>
          <w:rPr>
            <w:rFonts w:ascii="Times New Roman" w:cs="Times New Roman" w:eastAsia="Times New Roman" w:hAnsi="Times New Roman"/>
            <w:b w:val="false"/>
            <w:bCs w:val="false"/>
            <w:sz w:val="19"/>
            <w:szCs w:val="19"/>
          </w:rPr>
          <w:t xml:space="preserve">Scénario C — Valider et remettre les résultats</w:t>
        </w:r>
      </w:hyperlink>
      <w:r>
        <w:rPr>
          <w:rFonts w:ascii="Times New Roman" w:cs="Times New Roman" w:eastAsia="Times New Roman" w:hAnsi="Times New Roman"/>
          <w:sz w:val="19"/>
          <w:szCs w:val="19"/>
        </w:rPr>
        <w:t xml:space="preserve">	33</w:t>
      </w:r>
    </w:p>
    <w:p>
      <w:pPr>
        <w:tabs>
          <w:tab w:val="right" w:pos="9060" w:leader="dot"/>
        </w:tabs>
        <w:spacing w:after="0" w:before="0"/>
        <w:ind w:left="400"/>
      </w:pPr>
      <w:hyperlink w:history="1" w:anchor="_h86">
        <w:r>
          <w:rPr>
            <w:rFonts w:ascii="Times New Roman" w:cs="Times New Roman" w:eastAsia="Times New Roman" w:hAnsi="Times New Roman"/>
            <w:b w:val="false"/>
            <w:bCs w:val="false"/>
            <w:sz w:val="19"/>
            <w:szCs w:val="19"/>
          </w:rPr>
          <w:t xml:space="preserve">Scénario D — Plusieurs clients</w:t>
        </w:r>
      </w:hyperlink>
      <w:r>
        <w:rPr>
          <w:rFonts w:ascii="Times New Roman" w:cs="Times New Roman" w:eastAsia="Times New Roman" w:hAnsi="Times New Roman"/>
          <w:sz w:val="19"/>
          <w:szCs w:val="19"/>
        </w:rPr>
        <w:t xml:space="preserve">	34</w:t>
      </w:r>
    </w:p>
    <w:p>
      <w:pPr>
        <w:tabs>
          <w:tab w:val="right" w:pos="9060" w:leader="dot"/>
        </w:tabs>
        <w:spacing w:after="0" w:before="0"/>
        <w:ind w:left="400"/>
      </w:pPr>
      <w:hyperlink w:history="1" w:anchor="_h87">
        <w:r>
          <w:rPr>
            <w:rFonts w:ascii="Times New Roman" w:cs="Times New Roman" w:eastAsia="Times New Roman" w:hAnsi="Times New Roman"/>
            <w:b w:val="false"/>
            <w:bCs w:val="false"/>
            <w:sz w:val="19"/>
            <w:szCs w:val="19"/>
          </w:rPr>
          <w:t xml:space="preserve">Scénario E — Panne du serveur de salle</w:t>
        </w:r>
      </w:hyperlink>
      <w:r>
        <w:rPr>
          <w:rFonts w:ascii="Times New Roman" w:cs="Times New Roman" w:eastAsia="Times New Roman" w:hAnsi="Times New Roman"/>
          <w:sz w:val="19"/>
          <w:szCs w:val="19"/>
        </w:rPr>
        <w:t xml:space="preserve">	34</w:t>
      </w:r>
    </w:p>
    <w:p>
      <w:pPr>
        <w:tabs>
          <w:tab w:val="right" w:pos="9060" w:leader="dot"/>
        </w:tabs>
        <w:spacing w:after="40" w:before="80"/>
        <w:ind w:left="0"/>
      </w:pPr>
      <w:hyperlink w:history="1" w:anchor="_h88">
        <w:r>
          <w:rPr>
            <w:rFonts w:ascii="Times New Roman" w:cs="Times New Roman" w:eastAsia="Times New Roman" w:hAnsi="Times New Roman"/>
            <w:b/>
            <w:bCs/>
            <w:sz w:val="21"/>
            <w:szCs w:val="21"/>
          </w:rPr>
          <w:t xml:space="preserve">21. Critères de recette et d’acceptation *</w:t>
        </w:r>
      </w:hyperlink>
      <w:r>
        <w:rPr>
          <w:rFonts w:ascii="Times New Roman" w:cs="Times New Roman" w:eastAsia="Times New Roman" w:hAnsi="Times New Roman"/>
          <w:sz w:val="21"/>
          <w:szCs w:val="21"/>
        </w:rPr>
        <w:t xml:space="preserve">	34</w:t>
      </w:r>
    </w:p>
    <w:p>
      <w:pPr>
        <w:tabs>
          <w:tab w:val="right" w:pos="9060" w:leader="dot"/>
        </w:tabs>
        <w:spacing w:after="40" w:before="80"/>
        <w:ind w:left="0"/>
      </w:pPr>
      <w:hyperlink w:history="1" w:anchor="_h89">
        <w:r>
          <w:rPr>
            <w:rFonts w:ascii="Times New Roman" w:cs="Times New Roman" w:eastAsia="Times New Roman" w:hAnsi="Times New Roman"/>
            <w:b/>
            <w:bCs/>
            <w:sz w:val="21"/>
            <w:szCs w:val="21"/>
          </w:rPr>
          <w:t xml:space="preserve">22. Exploitation des missions *</w:t>
        </w:r>
      </w:hyperlink>
      <w:r>
        <w:rPr>
          <w:rFonts w:ascii="Times New Roman" w:cs="Times New Roman" w:eastAsia="Times New Roman" w:hAnsi="Times New Roman"/>
          <w:sz w:val="21"/>
          <w:szCs w:val="21"/>
        </w:rPr>
        <w:t xml:space="preserve">	36</w:t>
      </w:r>
    </w:p>
    <w:p>
      <w:pPr>
        <w:tabs>
          <w:tab w:val="right" w:pos="9060" w:leader="dot"/>
        </w:tabs>
        <w:spacing w:after="0" w:before="0"/>
        <w:ind w:left="400"/>
      </w:pPr>
      <w:hyperlink w:history="1" w:anchor="_h90">
        <w:r>
          <w:rPr>
            <w:rFonts w:ascii="Times New Roman" w:cs="Times New Roman" w:eastAsia="Times New Roman" w:hAnsi="Times New Roman"/>
            <w:b w:val="false"/>
            <w:bCs w:val="false"/>
            <w:sz w:val="19"/>
            <w:szCs w:val="19"/>
          </w:rPr>
          <w:t xml:space="preserve">22.1. Déroulé type d’une mission</w:t>
        </w:r>
      </w:hyperlink>
      <w:r>
        <w:rPr>
          <w:rFonts w:ascii="Times New Roman" w:cs="Times New Roman" w:eastAsia="Times New Roman" w:hAnsi="Times New Roman"/>
          <w:sz w:val="19"/>
          <w:szCs w:val="19"/>
        </w:rPr>
        <w:t xml:space="preserve">	36</w:t>
      </w:r>
    </w:p>
    <w:p>
      <w:pPr>
        <w:tabs>
          <w:tab w:val="right" w:pos="9060" w:leader="dot"/>
        </w:tabs>
        <w:spacing w:after="0" w:before="0"/>
        <w:ind w:left="400"/>
      </w:pPr>
      <w:hyperlink w:history="1" w:anchor="_h91">
        <w:r>
          <w:rPr>
            <w:rFonts w:ascii="Times New Roman" w:cs="Times New Roman" w:eastAsia="Times New Roman" w:hAnsi="Times New Roman"/>
            <w:b w:val="false"/>
            <w:bCs w:val="false"/>
            <w:sz w:val="19"/>
            <w:szCs w:val="19"/>
          </w:rPr>
          <w:t xml:space="preserve">22.2. Kit matériel de salle</w:t>
        </w:r>
      </w:hyperlink>
      <w:r>
        <w:rPr>
          <w:rFonts w:ascii="Times New Roman" w:cs="Times New Roman" w:eastAsia="Times New Roman" w:hAnsi="Times New Roman"/>
          <w:sz w:val="19"/>
          <w:szCs w:val="19"/>
        </w:rPr>
        <w:t xml:space="preserve">	37</w:t>
      </w:r>
    </w:p>
    <w:p>
      <w:pPr>
        <w:tabs>
          <w:tab w:val="right" w:pos="9060" w:leader="dot"/>
        </w:tabs>
        <w:spacing w:after="0" w:before="0"/>
        <w:ind w:left="400"/>
      </w:pPr>
      <w:hyperlink w:history="1" w:anchor="_h92">
        <w:r>
          <w:rPr>
            <w:rFonts w:ascii="Times New Roman" w:cs="Times New Roman" w:eastAsia="Times New Roman" w:hAnsi="Times New Roman"/>
            <w:b w:val="false"/>
            <w:bCs w:val="false"/>
            <w:sz w:val="19"/>
            <w:szCs w:val="19"/>
          </w:rPr>
          <w:t xml:space="preserve">22.3. Équipe d’opérateurs</w:t>
        </w:r>
      </w:hyperlink>
      <w:r>
        <w:rPr>
          <w:rFonts w:ascii="Times New Roman" w:cs="Times New Roman" w:eastAsia="Times New Roman" w:hAnsi="Times New Roman"/>
          <w:sz w:val="19"/>
          <w:szCs w:val="19"/>
        </w:rPr>
        <w:t xml:space="preserve">	37</w:t>
      </w:r>
    </w:p>
    <w:p>
      <w:pPr>
        <w:tabs>
          <w:tab w:val="right" w:pos="9060" w:leader="dot"/>
        </w:tabs>
        <w:spacing w:after="40" w:before="80"/>
        <w:ind w:left="0"/>
      </w:pPr>
      <w:hyperlink w:history="1" w:anchor="_h93">
        <w:r>
          <w:rPr>
            <w:rFonts w:ascii="Times New Roman" w:cs="Times New Roman" w:eastAsia="Times New Roman" w:hAnsi="Times New Roman"/>
            <w:b/>
            <w:bCs/>
            <w:sz w:val="21"/>
            <w:szCs w:val="21"/>
          </w:rPr>
          <w:t xml:space="preserve">23. Livrables *</w:t>
        </w:r>
      </w:hyperlink>
      <w:r>
        <w:rPr>
          <w:rFonts w:ascii="Times New Roman" w:cs="Times New Roman" w:eastAsia="Times New Roman" w:hAnsi="Times New Roman"/>
          <w:sz w:val="21"/>
          <w:szCs w:val="21"/>
        </w:rPr>
        <w:t xml:space="preserve">	38</w:t>
      </w:r>
    </w:p>
    <w:p>
      <w:pPr>
        <w:tabs>
          <w:tab w:val="right" w:pos="9060" w:leader="dot"/>
        </w:tabs>
        <w:spacing w:after="40" w:before="80"/>
        <w:ind w:left="0"/>
      </w:pPr>
      <w:hyperlink w:history="1" w:anchor="_h94">
        <w:r>
          <w:rPr>
            <w:rFonts w:ascii="Times New Roman" w:cs="Times New Roman" w:eastAsia="Times New Roman" w:hAnsi="Times New Roman"/>
            <w:b/>
            <w:bCs/>
            <w:sz w:val="21"/>
            <w:szCs w:val="21"/>
          </w:rPr>
          <w:t xml:space="preserve">24. Planning et phasage *</w:t>
        </w:r>
      </w:hyperlink>
      <w:r>
        <w:rPr>
          <w:rFonts w:ascii="Times New Roman" w:cs="Times New Roman" w:eastAsia="Times New Roman" w:hAnsi="Times New Roman"/>
          <w:sz w:val="21"/>
          <w:szCs w:val="21"/>
        </w:rPr>
        <w:t xml:space="preserve">	38</w:t>
      </w:r>
    </w:p>
    <w:p>
      <w:pPr>
        <w:tabs>
          <w:tab w:val="right" w:pos="9060" w:leader="dot"/>
        </w:tabs>
        <w:spacing w:after="40" w:before="80"/>
        <w:ind w:left="0"/>
      </w:pPr>
      <w:hyperlink w:history="1" w:anchor="_h95">
        <w:r>
          <w:rPr>
            <w:rFonts w:ascii="Times New Roman" w:cs="Times New Roman" w:eastAsia="Times New Roman" w:hAnsi="Times New Roman"/>
            <w:b/>
            <w:bCs/>
            <w:sz w:val="21"/>
            <w:szCs w:val="21"/>
          </w:rPr>
          <w:t xml:space="preserve">25. Modèle économique et budget *</w:t>
        </w:r>
      </w:hyperlink>
      <w:r>
        <w:rPr>
          <w:rFonts w:ascii="Times New Roman" w:cs="Times New Roman" w:eastAsia="Times New Roman" w:hAnsi="Times New Roman"/>
          <w:sz w:val="21"/>
          <w:szCs w:val="21"/>
        </w:rPr>
        <w:t xml:space="preserve">	39</w:t>
      </w:r>
    </w:p>
    <w:p>
      <w:pPr>
        <w:tabs>
          <w:tab w:val="right" w:pos="9060" w:leader="dot"/>
        </w:tabs>
        <w:spacing w:after="0" w:before="0"/>
        <w:ind w:left="400"/>
      </w:pPr>
      <w:hyperlink w:history="1" w:anchor="_h96">
        <w:r>
          <w:rPr>
            <w:rFonts w:ascii="Times New Roman" w:cs="Times New Roman" w:eastAsia="Times New Roman" w:hAnsi="Times New Roman"/>
            <w:b w:val="false"/>
            <w:bCs w:val="false"/>
            <w:sz w:val="19"/>
            <w:szCs w:val="19"/>
          </w:rPr>
          <w:t xml:space="preserve">25.1. Offre commerciale</w:t>
        </w:r>
      </w:hyperlink>
      <w:r>
        <w:rPr>
          <w:rFonts w:ascii="Times New Roman" w:cs="Times New Roman" w:eastAsia="Times New Roman" w:hAnsi="Times New Roman"/>
          <w:sz w:val="19"/>
          <w:szCs w:val="19"/>
        </w:rPr>
        <w:t xml:space="preserve">	40</w:t>
      </w:r>
    </w:p>
    <w:p>
      <w:pPr>
        <w:tabs>
          <w:tab w:val="right" w:pos="9060" w:leader="dot"/>
        </w:tabs>
        <w:spacing w:after="0" w:before="0"/>
        <w:ind w:left="400"/>
      </w:pPr>
      <w:hyperlink w:history="1" w:anchor="_h97">
        <w:r>
          <w:rPr>
            <w:rFonts w:ascii="Times New Roman" w:cs="Times New Roman" w:eastAsia="Times New Roman" w:hAnsi="Times New Roman"/>
            <w:b w:val="false"/>
            <w:bCs w:val="false"/>
            <w:sz w:val="19"/>
            <w:szCs w:val="19"/>
          </w:rPr>
          <w:t xml:space="preserve">25.2. Investissement initial</w:t>
        </w:r>
      </w:hyperlink>
      <w:r>
        <w:rPr>
          <w:rFonts w:ascii="Times New Roman" w:cs="Times New Roman" w:eastAsia="Times New Roman" w:hAnsi="Times New Roman"/>
          <w:sz w:val="19"/>
          <w:szCs w:val="19"/>
        </w:rPr>
        <w:t xml:space="preserve">	40</w:t>
      </w:r>
    </w:p>
    <w:p>
      <w:pPr>
        <w:tabs>
          <w:tab w:val="right" w:pos="9060" w:leader="dot"/>
        </w:tabs>
        <w:spacing w:after="0" w:before="0"/>
        <w:ind w:left="400"/>
      </w:pPr>
      <w:hyperlink w:history="1" w:anchor="_h98">
        <w:r>
          <w:rPr>
            <w:rFonts w:ascii="Times New Roman" w:cs="Times New Roman" w:eastAsia="Times New Roman" w:hAnsi="Times New Roman"/>
            <w:b w:val="false"/>
            <w:bCs w:val="false"/>
            <w:sz w:val="19"/>
            <w:szCs w:val="19"/>
          </w:rPr>
          <w:t xml:space="preserve">25.3. Coûts récurrents</w:t>
        </w:r>
      </w:hyperlink>
      <w:r>
        <w:rPr>
          <w:rFonts w:ascii="Times New Roman" w:cs="Times New Roman" w:eastAsia="Times New Roman" w:hAnsi="Times New Roman"/>
          <w:sz w:val="19"/>
          <w:szCs w:val="19"/>
        </w:rPr>
        <w:t xml:space="preserve">	40</w:t>
      </w:r>
    </w:p>
    <w:p>
      <w:pPr>
        <w:tabs>
          <w:tab w:val="right" w:pos="9060" w:leader="dot"/>
        </w:tabs>
        <w:spacing w:after="0" w:before="0"/>
        <w:ind w:left="400"/>
      </w:pPr>
      <w:hyperlink w:history="1" w:anchor="_h99">
        <w:r>
          <w:rPr>
            <w:rFonts w:ascii="Times New Roman" w:cs="Times New Roman" w:eastAsia="Times New Roman" w:hAnsi="Times New Roman"/>
            <w:b w:val="false"/>
            <w:bCs w:val="false"/>
            <w:sz w:val="19"/>
            <w:szCs w:val="19"/>
          </w:rPr>
          <w:t xml:space="preserve">25.4. Seuil de rentabilité</w:t>
        </w:r>
      </w:hyperlink>
      <w:r>
        <w:rPr>
          <w:rFonts w:ascii="Times New Roman" w:cs="Times New Roman" w:eastAsia="Times New Roman" w:hAnsi="Times New Roman"/>
          <w:sz w:val="19"/>
          <w:szCs w:val="19"/>
        </w:rPr>
        <w:t xml:space="preserve">	40</w:t>
      </w:r>
    </w:p>
    <w:p>
      <w:pPr>
        <w:tabs>
          <w:tab w:val="right" w:pos="9060" w:leader="dot"/>
        </w:tabs>
        <w:spacing w:after="0" w:before="0"/>
        <w:ind w:left="400"/>
      </w:pPr>
      <w:hyperlink w:history="1" w:anchor="_h100">
        <w:r>
          <w:rPr>
            <w:rFonts w:ascii="Times New Roman" w:cs="Times New Roman" w:eastAsia="Times New Roman" w:hAnsi="Times New Roman"/>
            <w:b w:val="false"/>
            <w:bCs w:val="false"/>
            <w:sz w:val="19"/>
            <w:szCs w:val="19"/>
          </w:rPr>
          <w:t xml:space="preserve">25.5. Hypothèses à valider</w:t>
        </w:r>
      </w:hyperlink>
      <w:r>
        <w:rPr>
          <w:rFonts w:ascii="Times New Roman" w:cs="Times New Roman" w:eastAsia="Times New Roman" w:hAnsi="Times New Roman"/>
          <w:sz w:val="19"/>
          <w:szCs w:val="19"/>
        </w:rPr>
        <w:t xml:space="preserve">	41</w:t>
      </w:r>
    </w:p>
    <w:p>
      <w:pPr>
        <w:tabs>
          <w:tab w:val="right" w:pos="9060" w:leader="dot"/>
        </w:tabs>
        <w:spacing w:after="40" w:before="80"/>
        <w:ind w:left="0"/>
      </w:pPr>
      <w:hyperlink w:history="1" w:anchor="_h101">
        <w:r>
          <w:rPr>
            <w:rFonts w:ascii="Times New Roman" w:cs="Times New Roman" w:eastAsia="Times New Roman" w:hAnsi="Times New Roman"/>
            <w:b/>
            <w:bCs/>
            <w:sz w:val="21"/>
            <w:szCs w:val="21"/>
          </w:rPr>
          <w:t xml:space="preserve">26. Décisions techniques structurantes *</w:t>
        </w:r>
      </w:hyperlink>
      <w:r>
        <w:rPr>
          <w:rFonts w:ascii="Times New Roman" w:cs="Times New Roman" w:eastAsia="Times New Roman" w:hAnsi="Times New Roman"/>
          <w:sz w:val="21"/>
          <w:szCs w:val="21"/>
        </w:rPr>
        <w:t xml:space="preserve">	41</w:t>
      </w:r>
    </w:p>
    <w:p>
      <w:pPr>
        <w:tabs>
          <w:tab w:val="right" w:pos="9060" w:leader="dot"/>
        </w:tabs>
        <w:spacing w:after="40" w:before="80"/>
        <w:ind w:left="0"/>
      </w:pPr>
      <w:hyperlink w:history="1" w:anchor="_h102">
        <w:r>
          <w:rPr>
            <w:rFonts w:ascii="Times New Roman" w:cs="Times New Roman" w:eastAsia="Times New Roman" w:hAnsi="Times New Roman"/>
            <w:b/>
            <w:bCs/>
            <w:sz w:val="21"/>
            <w:szCs w:val="21"/>
          </w:rPr>
          <w:t xml:space="preserve">27. Conclusion et prochaine étape</w:t>
        </w:r>
      </w:hyperlink>
      <w:r>
        <w:rPr>
          <w:rFonts w:ascii="Times New Roman" w:cs="Times New Roman" w:eastAsia="Times New Roman" w:hAnsi="Times New Roman"/>
          <w:sz w:val="21"/>
          <w:szCs w:val="21"/>
        </w:rPr>
        <w:t xml:space="preserve">	42</w:t>
      </w:r>
    </w:p>
    <w:p>
      <w:pPr>
        <w:tabs>
          <w:tab w:val="right" w:pos="9060" w:leader="dot"/>
        </w:tabs>
        <w:spacing w:after="40" w:before="80"/>
        <w:ind w:left="0"/>
      </w:pPr>
      <w:hyperlink w:history="1" w:anchor="_h103">
        <w:r>
          <w:rPr>
            <w:rFonts w:ascii="Times New Roman" w:cs="Times New Roman" w:eastAsia="Times New Roman" w:hAnsi="Times New Roman"/>
            <w:b/>
            <w:bCs/>
            <w:sz w:val="21"/>
            <w:szCs w:val="21"/>
          </w:rPr>
          <w:t xml:space="preserve">Journal des modifications *</w:t>
        </w:r>
      </w:hyperlink>
      <w:r>
        <w:rPr>
          <w:rFonts w:ascii="Times New Roman" w:cs="Times New Roman" w:eastAsia="Times New Roman" w:hAnsi="Times New Roman"/>
          <w:sz w:val="21"/>
          <w:szCs w:val="21"/>
        </w:rPr>
        <w:t xml:space="preserve">	42</w:t>
      </w:r>
      <w:r>
        <w:fldChar w:fldCharType="end"/>
      </w:r>
    </w:p>
    <w:p>
      <w:pPr>
        <w:pBdr>
          <w:left w:val="single" w:color="404040" w:sz="24" w:space="8"/>
        </w:pBdr>
        <w:shd w:fill="F2F2F2" w:color="auto" w:val="clear"/>
        <w:spacing w:after="160" w:before="120"/>
        <w:ind w:left="200"/>
        <w:jc w:val="both"/>
      </w:pPr>
      <w:r>
        <w:rPr>
          <w:rFonts w:ascii="Times New Roman" w:cs="Times New Roman" w:eastAsia="Times New Roman" w:hAnsi="Times New Roman"/>
          <w:b/>
          <w:bCs/>
        </w:rPr>
        <w:t xml:space="preserve">Convention de lecture :</w:t>
      </w:r>
      <w:r>
        <w:rPr>
          <w:rFonts w:ascii="Times New Roman" w:cs="Times New Roman" w:eastAsia="Times New Roman" w:hAnsi="Times New Roman"/>
        </w:rPr>
        <w:t xml:space="preserve"> l’astérisque (*) placé à la fin d’un titre signale une modification structurelle majeure par rapport à la version 1.1 (section ajoutée, restructurée ou décision modifiée). Le détail de toutes les modifications figure dans le « Journal des modifications » en fin de document.</w:t>
      </w:r>
    </w:p>
    <w:p>
      <w:r>
        <w:br w:type="page"/>
      </w:r>
    </w:p>
    <w:p>
      <w:pPr>
        <w:pStyle w:val="Heading1"/>
      </w:pPr>
      <w:bookmarkStart w:name="_h1" w:id="101"/>
      <w:r>
        <w:t xml:space="preserve">1. Résumé exécutif *</w:t>
      </w:r>
      <w:bookmarkEnd w:id="101"/>
    </w:p>
    <w:p>
      <w:pPr>
        <w:spacing w:after="120"/>
        <w:jc w:val="both"/>
      </w:pPr>
      <w:r>
        <w:rPr>
          <w:rFonts w:ascii="Times New Roman" w:cs="Times New Roman" w:eastAsia="Times New Roman" w:hAnsi="Times New Roman"/>
        </w:rPr>
        <w:t xml:space="preserve">QURANOVA est un outil web destiné à organiser, piloter et diffuser les concours de mémorisation et de récitation du Saint Coran, ainsi que les épreuves de tajwid, de tilawa et de questions coraniques.</w:t>
      </w:r>
    </w:p>
    <w:p>
      <w:pPr>
        <w:spacing w:after="120"/>
        <w:jc w:val="both"/>
      </w:pPr>
      <w:r>
        <w:rPr>
          <w:rFonts w:ascii="Times New Roman" w:cs="Times New Roman" w:eastAsia="Times New Roman" w:hAnsi="Times New Roman"/>
        </w:rPr>
        <w:t xml:space="preserve">QURANOVA est conçu, développé et exploité par un </w:t>
      </w:r>
      <w:r>
        <w:rPr>
          <w:rFonts w:ascii="Times New Roman" w:cs="Times New Roman" w:eastAsia="Times New Roman" w:hAnsi="Times New Roman"/>
          <w:b/>
          <w:bCs/>
        </w:rPr>
        <w:t xml:space="preserve">prestataire unique</w:t>
      </w:r>
      <w:r>
        <w:rPr>
          <w:rFonts w:ascii="Times New Roman" w:cs="Times New Roman" w:eastAsia="Times New Roman" w:hAnsi="Times New Roman"/>
        </w:rPr>
        <w:t xml:space="preserve"> (ci-après « le prestataire »), qui l’utilise comme outil de travail dans le cadre de </w:t>
      </w:r>
      <w:r>
        <w:rPr>
          <w:rFonts w:ascii="Times New Roman" w:cs="Times New Roman" w:eastAsia="Times New Roman" w:hAnsi="Times New Roman"/>
          <w:b/>
          <w:bCs/>
        </w:rPr>
        <w:t xml:space="preserve">missions de gestion technique de concours</w:t>
      </w:r>
      <w:r>
        <w:rPr>
          <w:rFonts w:ascii="Times New Roman" w:cs="Times New Roman" w:eastAsia="Times New Roman" w:hAnsi="Times New Roman"/>
        </w:rPr>
        <w:t xml:space="preserve"> réalisées pour le compte d’organisations clientes (associations, écoles coraniques, mosquées, institutions). Les clients n’achètent pas un logiciel : ils achètent une mission, au cours de laquelle le prestataire et ses opérateurs préparent et conduisent le concours avec QURANOVA.</w:t>
      </w:r>
    </w:p>
    <w:p>
      <w:pPr>
        <w:spacing w:after="120"/>
        <w:jc w:val="both"/>
      </w:pPr>
      <w:r>
        <w:rPr>
          <w:rFonts w:ascii="Times New Roman" w:cs="Times New Roman" w:eastAsia="Times New Roman" w:hAnsi="Times New Roman"/>
        </w:rPr>
        <w:t xml:space="preserve">L’outil fonctionne </w:t>
      </w:r>
      <w:r>
        <w:rPr>
          <w:rFonts w:ascii="Times New Roman" w:cs="Times New Roman" w:eastAsia="Times New Roman" w:hAnsi="Times New Roman"/>
          <w:b/>
          <w:bCs/>
        </w:rPr>
        <w:t xml:space="preserve">en priorité en local</w:t>
      </w:r>
      <w:r>
        <w:rPr>
          <w:rFonts w:ascii="Times New Roman" w:cs="Times New Roman" w:eastAsia="Times New Roman" w:hAnsi="Times New Roman"/>
        </w:rPr>
        <w:t xml:space="preserve"> : le jour du concours, un ordinateur du prestataire (le serveur de salle) héberge l’application et tous les écrans de la salle s’y connectent par un réseau Wi-Fi dédié. Internet n’est pas nécessaire au déroulement des épreuves ; il sert à la préparation à distance, à l’archivage et à la publication des résultats.</w:t>
      </w:r>
    </w:p>
    <w:p>
      <w:pPr>
        <w:spacing w:after="120"/>
        <w:jc w:val="both"/>
      </w:pPr>
      <w:r>
        <w:rPr>
          <w:rFonts w:ascii="Times New Roman" w:cs="Times New Roman" w:eastAsia="Times New Roman" w:hAnsi="Times New Roman"/>
        </w:rPr>
        <w:t xml:space="preserve">Sa particularité principale est un système interactif de tirage au sort et de défilement contrôlé des versets coraniques. Le candidat déclenche son tirage au sort en cliquant sur l’écran prévu à cet effet ; le serveur sélectionne alors aléatoirement une série de questions parmi celles du lot préparé (cf. §8.1). Une fois le tirage validé, les écrans de l’opérateur, des jurés et de la scène affichent les versets concernés sous forme de diapositives animées. L’opérateur contrôle manuellement l’avancement d’une diapositive à la suivante.</w:t>
      </w:r>
    </w:p>
    <w:p>
      <w:pPr>
        <w:spacing w:after="120"/>
        <w:jc w:val="both"/>
      </w:pPr>
      <w:r>
        <w:rPr>
          <w:rFonts w:ascii="Times New Roman" w:cs="Times New Roman" w:eastAsia="Times New Roman" w:hAnsi="Times New Roman"/>
        </w:rPr>
        <w:t xml:space="preserve">Pendant ce temps, les jurés disposent d’un écran de notation dédié, leur permettant d’évaluer individuellement le candidat sans interrompre l’affichage des versets.</w:t>
      </w:r>
    </w:p>
    <w:p>
      <w:pPr>
        <w:spacing w:after="120"/>
        <w:jc w:val="both"/>
      </w:pPr>
      <w:r>
        <w:rPr>
          <w:rFonts w:ascii="Times New Roman" w:cs="Times New Roman" w:eastAsia="Times New Roman" w:hAnsi="Times New Roman"/>
        </w:rPr>
        <w:t xml:space="preserve">L’objectif est double : offrir aux clients un concours plus transparent, mieux organisé et sans erreur de calcul ; et permettre au prestataire de réaliser ces missions de manière fiable, reproductible et rentable, y compris plusieurs le même jour grâce à des opérateurs formés.</w:t>
      </w:r>
    </w:p>
    <w:p>
      <w:pPr>
        <w:pBdr>
          <w:left w:val="single" w:color="404040" w:sz="24" w:space="8"/>
        </w:pBdr>
        <w:shd w:fill="F2F2F2" w:color="auto" w:val="clear"/>
        <w:spacing w:after="160" w:before="120"/>
        <w:ind w:left="200"/>
        <w:jc w:val="both"/>
      </w:pPr>
      <w:r>
        <w:rPr>
          <w:rFonts w:ascii="Times New Roman" w:cs="Times New Roman" w:eastAsia="Times New Roman" w:hAnsi="Times New Roman"/>
          <w:b/>
          <w:bCs/>
        </w:rPr>
        <w:t xml:space="preserve">Nature du document :</w:t>
      </w:r>
      <w:r>
        <w:rPr>
          <w:rFonts w:ascii="Times New Roman" w:cs="Times New Roman" w:eastAsia="Times New Roman" w:hAnsi="Times New Roman"/>
        </w:rPr>
        <w:t xml:space="preserve"> le présent cahier des charges est un document de référence interne. Le maître d’ouvrage et le réalisateur sont la même personne ; le document sert de feuille de route de développement, de référentiel de qualité et de base pour les engagements pris envers les clients (contrat de mission, protection des données).</w:t>
      </w:r>
    </w:p>
    <w:p>
      <w:pPr>
        <w:pStyle w:val="Heading1"/>
      </w:pPr>
      <w:bookmarkStart w:name="_h2" w:id="102"/>
      <w:r>
        <w:t xml:space="preserve">2. Glossaire</w:t>
      </w:r>
      <w:bookmarkEnd w:id="102"/>
    </w:p>
    <w:p>
      <w:pPr>
        <w:spacing w:after="120"/>
        <w:jc w:val="both"/>
      </w:pPr>
      <w:r>
        <w:rPr>
          <w:rFonts w:ascii="Times New Roman" w:cs="Times New Roman" w:eastAsia="Times New Roman" w:hAnsi="Times New Roman"/>
        </w:rPr>
        <w:t xml:space="preserve">Le présent glossaire fixe le vocabulaire du document. Chaque notion est désignée par un terme unique ; l’emploi d’un synonyme pour désigner une notion définie ci-dessous est proscrit dans le présent document, dans la documentation et dans les libellés de l’application.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700"/>
        <w:gridCol w:w="4100"/>
        <w:gridCol w:w="3272"/>
      </w:tblGrid>
      <w:tr>
        <w:trPr>
          <w:cantSplit/>
          <w:tblHeader/>
        </w:trPr>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Terme</w:t>
            </w:r>
          </w:p>
        </w:tc>
        <w:tc>
          <w:tcPr>
            <w:tcW w:type="dxa" w:w="4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Définition</w:t>
            </w:r>
          </w:p>
        </w:tc>
        <w:tc>
          <w:tcPr>
            <w:tcW w:type="dxa" w:w="327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Règle d’usage</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Prestataire</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Structure qui développe et exploite QURANOVA et réalise les missions (le porteur du projet).</w:t>
            </w:r>
          </w:p>
        </w:tc>
        <w:tc>
          <w:tcPr>
            <w:tcW w:type="dxa" w:w="32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Ne désigne jamais un sous-traitant de développement : le développement est réalisé en interne.</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Mission</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Engagement commercial entre le prestataire et un client pour la gestion technique d’un concours (préparation, conduite le jour J, restitution des résultats).</w:t>
            </w:r>
          </w:p>
        </w:tc>
        <w:tc>
          <w:tcPr>
            <w:tcW w:type="dxa" w:w="32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Ne pas employer « prestation » pour la relation commerciale : ce terme est réservé au passage d’un candidat.</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Organisation (client)</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Structure cliente (association, école coranique, mosquée, institution) pour laquelle le prestataire réalise une ou plusieurs missions. Ses données sont isolées de celles des autres clients.</w:t>
            </w:r>
          </w:p>
        </w:tc>
        <w:tc>
          <w:tcPr>
            <w:tcW w:type="dxa" w:w="32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Les termes « organisation » et « client » sont équivalents dans le document ; « organisateur » désigne une personne.</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Opérateur</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Membre de l’équipe du prestataire, formé à QURANOVA, qui paramètre et conduit un concours lors d’une mission.</w:t>
            </w:r>
          </w:p>
        </w:tc>
        <w:tc>
          <w:tcPr>
            <w:tcW w:type="dxa" w:w="32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Le prestataire lui-même est un opérateur.</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Responsable client</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Personne désignée par l’organisation cliente pour valider la configuration du concours et les résultats.</w:t>
            </w:r>
          </w:p>
        </w:tc>
        <w:tc>
          <w:tcPr>
            <w:tcW w:type="dxa" w:w="32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Seul le responsable client valide le classement définitif.</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Serveur de salle</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Ordinateur du prestataire qui exécute QURANOVA sur le réseau local de la salle pendant un concours.</w:t>
            </w:r>
          </w:p>
        </w:tc>
        <w:tc>
          <w:tcPr>
            <w:tcW w:type="dxa" w:w="32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Mode de fonctionnement par défaut le jour J.</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Instance centrale</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Installation en ligne de QURANOVA servant à la préparation à distance, à l’archivage et à la publication.</w:t>
            </w:r>
          </w:p>
        </w:tc>
        <w:tc>
          <w:tcPr>
            <w:tcW w:type="dxa" w:w="32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Ne conditionne jamais le déroulement des épreuves en salle.</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Concours</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Événement daté organisé par une organisation, regroupant des catégories, des candidats, des jurés et des sessions, et doté d’un état (brouillon, ouvert, en cours, suspendu, terminé, archivé).</w:t>
            </w:r>
          </w:p>
        </w:tc>
        <w:tc>
          <w:tcPr>
            <w:tcW w:type="dxa" w:w="32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Désigne toujours une occurrence datée. Les concours successifs portant le même intitulé sont distingués par leur édition.</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Édition</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Millésime ou numéro d’ordre identifiant un concours parmi les occurrences successives d’un même intitulé.</w:t>
            </w:r>
          </w:p>
        </w:tc>
        <w:tc>
          <w:tcPr>
            <w:tcW w:type="dxa" w:w="32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Attribut du concours uniquement.</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Catégorie</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Subdivision d’un concours regroupant des candidats selon la discipline (mémorisation, tajwid, tilawa, questions) et des conditions d’admission (âge, niveau, volume mémorisé).</w:t>
            </w:r>
          </w:p>
        </w:tc>
        <w:tc>
          <w:tcPr>
            <w:tcW w:type="dxa" w:w="32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Un candidat concourt dans une seule catégorie par participation.</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Épreuve</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Unité d’évaluation définie au sein d’une catégorie : règles, lot de séries, nombre de tirages, barème et jury affecté.</w:t>
            </w:r>
          </w:p>
        </w:tc>
        <w:tc>
          <w:tcPr>
            <w:tcW w:type="dxa" w:w="32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Ne pas employer « épreuve » pour le passage d’un candidat : utiliser « prestation ».</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Session</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Séance de déroulement d’un concours (date, plage horaire, salle) au cours de laquelle les prestations s’enchaînent selon un ordre de passage.</w:t>
            </w:r>
          </w:p>
        </w:tc>
        <w:tc>
          <w:tcPr>
            <w:tcW w:type="dxa" w:w="32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La session d’authentification est appelée « session de connexion ».</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Prestation</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Intervention effective d’un candidat devant le jury pour une épreuve donnée, au cours d’une session : tirage, affichage, notation, clôture.</w:t>
            </w:r>
          </w:p>
        </w:tc>
        <w:tc>
          <w:tcPr>
            <w:tcW w:type="dxa" w:w="32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L’expression figée « ordre de passage » désigne la séquence d’appel ; le mot « passage » employé seul est proscrit.</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Candidat</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Personne physique inscrite à un concours.</w:t>
            </w:r>
          </w:p>
        </w:tc>
        <w:tc>
          <w:tcPr>
            <w:tcW w:type="dxa" w:w="32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Ne pas employer « participant » comme synonyme.</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Participation</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Inscription d’un candidat dans une catégorie d’un concours, portant le numéro de candidat et le statut.</w:t>
            </w:r>
          </w:p>
        </w:tc>
        <w:tc>
          <w:tcPr>
            <w:tcW w:type="dxa" w:w="32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Les tirages, prestations et évaluations sont rattachés à une participation.</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Jury / Juré</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Le jury est l’ensemble des jurés affectés à une épreuve ; le juré est une personne physique qui évalue les prestations qui lui sont attribuées.</w:t>
            </w:r>
          </w:p>
        </w:tc>
        <w:tc>
          <w:tcPr>
            <w:tcW w:type="dxa" w:w="32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 Juré » pour la personne, « jury » pour le collectif.</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Question</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Élément unitaire soumis au candidat : passage coranique pour les épreuves de récitation, énoncé rédigé pour les épreuves de questions.</w:t>
            </w:r>
          </w:p>
        </w:tc>
        <w:tc>
          <w:tcPr>
            <w:tcW w:type="dxa" w:w="32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Ne pas employer « question » pour une série.</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Passage coranique</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Segment continu du Coran défini par une référence de début et une référence de fin (sourate, verset), bornes incluses, dans une version identifiée du corpus.</w:t>
            </w:r>
          </w:p>
        </w:tc>
        <w:tc>
          <w:tcPr>
            <w:tcW w:type="dxa" w:w="32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Toujours écrire « passage coranique ».</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Série</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Ensemble ordonné et prédéfini de P questions, identifié par un libellé (ex. « Série 1 »). La série est l’objet attribué par un tirage.</w:t>
            </w:r>
          </w:p>
        </w:tc>
        <w:tc>
          <w:tcPr>
            <w:tcW w:type="dxa" w:w="32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Remplace « choix » et « lot de questions ».</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Lot</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Ensemble des séries admissibles pour une épreuve, dans lequel le serveur effectue les tirages.</w:t>
            </w:r>
          </w:p>
        </w:tc>
        <w:tc>
          <w:tcPr>
            <w:tcW w:type="dxa" w:w="32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On « tire une série dans le lot ».</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Tirage</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Opération du serveur, déclenchée par le candidat, qui sélectionne aléatoirement une série disponible du lot pour une prestation.</w:t>
            </w:r>
          </w:p>
        </w:tc>
        <w:tc>
          <w:tcPr>
            <w:tcW w:type="dxa" w:w="32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Un tirage n’est jamais remplacé silencieusement (cf. §8.5).</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Diapositive / Verset affiché</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Unité d’affichage du diaporama : un verset entier ou un segment de verset long. Le verset affiché (verset courant) est le verset auquel appartient la diapositive.</w:t>
            </w:r>
          </w:p>
        </w:tc>
        <w:tc>
          <w:tcPr>
            <w:tcW w:type="dxa" w:w="32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 Diapositive » pour l’affichage et les commandes ; « verset courant » pour la référence.</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Classement provisoire / définitif</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Le classement provisoire est calculé automatiquement avant validation. Le classement définitif est validé par le responsable client (et contre-validé par le superviseur si la double validation est activée).</w:t>
            </w:r>
          </w:p>
        </w:tc>
        <w:tc>
          <w:tcPr>
            <w:tcW w:type="dxa" w:w="32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Tout classement provisoire affiché porte la mention « Provisoire ».</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Référent coranique</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Personne qualifiée désignée par le prestataire pour valider le corpus coranique, les traductions et le rendu typographique arabe.</w:t>
            </w:r>
          </w:p>
        </w:tc>
        <w:tc>
          <w:tcPr>
            <w:tcW w:type="dxa" w:w="32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Sa validation est formalisée par écrit.</w:t>
            </w:r>
          </w:p>
        </w:tc>
      </w:tr>
    </w:tbl>
    <w:p>
      <w:pPr>
        <w:spacing w:after="120"/>
      </w:pPr>
    </w:p>
    <w:p>
      <w:pPr>
        <w:pStyle w:val="Heading1"/>
      </w:pPr>
      <w:bookmarkStart w:name="_h3" w:id="103"/>
      <w:r>
        <w:t xml:space="preserve">3. Contexte, modèle d’exploitation et justification *</w:t>
      </w:r>
      <w:bookmarkEnd w:id="103"/>
    </w:p>
    <w:p>
      <w:pPr>
        <w:pStyle w:val="Heading2"/>
      </w:pPr>
      <w:bookmarkStart w:name="_h4" w:id="104"/>
      <w:r>
        <w:t xml:space="preserve">3.1. Contexte</w:t>
      </w:r>
      <w:bookmarkEnd w:id="104"/>
    </w:p>
    <w:p>
      <w:pPr>
        <w:spacing w:after="120"/>
        <w:jc w:val="both"/>
      </w:pPr>
      <w:r>
        <w:rPr>
          <w:rFonts w:ascii="Times New Roman" w:cs="Times New Roman" w:eastAsia="Times New Roman" w:hAnsi="Times New Roman"/>
        </w:rPr>
        <w:t xml:space="preserve">L’organisation d’un concours coranique implique généralement plusieurs opérations :</w:t>
      </w:r>
    </w:p>
    <w:p>
      <w:pPr>
        <w:pStyle w:val="ListParagraph"/>
        <w:numPr>
          <w:ilvl w:val="0"/>
          <w:numId w:val="2"/>
        </w:numPr>
        <w:spacing w:after="60"/>
      </w:pPr>
      <w:r>
        <w:rPr>
          <w:rFonts w:ascii="Times New Roman" w:cs="Times New Roman" w:eastAsia="Times New Roman" w:hAnsi="Times New Roman"/>
        </w:rPr>
        <w:t xml:space="preserve">l’inscription et la vérification des candidats ;</w:t>
      </w:r>
    </w:p>
    <w:p>
      <w:pPr>
        <w:pStyle w:val="ListParagraph"/>
        <w:numPr>
          <w:ilvl w:val="0"/>
          <w:numId w:val="2"/>
        </w:numPr>
        <w:spacing w:after="60"/>
      </w:pPr>
      <w:r>
        <w:rPr>
          <w:rFonts w:ascii="Times New Roman" w:cs="Times New Roman" w:eastAsia="Times New Roman" w:hAnsi="Times New Roman"/>
        </w:rPr>
        <w:t xml:space="preserve">la constitution des catégories et des épreuves ;</w:t>
      </w:r>
    </w:p>
    <w:p>
      <w:pPr>
        <w:pStyle w:val="ListParagraph"/>
        <w:numPr>
          <w:ilvl w:val="0"/>
          <w:numId w:val="2"/>
        </w:numPr>
        <w:spacing w:after="60"/>
      </w:pPr>
      <w:r>
        <w:rPr>
          <w:rFonts w:ascii="Times New Roman" w:cs="Times New Roman" w:eastAsia="Times New Roman" w:hAnsi="Times New Roman"/>
        </w:rPr>
        <w:t xml:space="preserve">la préparation des passages coraniques ;</w:t>
      </w:r>
    </w:p>
    <w:p>
      <w:pPr>
        <w:pStyle w:val="ListParagraph"/>
        <w:numPr>
          <w:ilvl w:val="0"/>
          <w:numId w:val="2"/>
        </w:numPr>
        <w:spacing w:after="60"/>
      </w:pPr>
      <w:r>
        <w:rPr>
          <w:rFonts w:ascii="Times New Roman" w:cs="Times New Roman" w:eastAsia="Times New Roman" w:hAnsi="Times New Roman"/>
        </w:rPr>
        <w:t xml:space="preserve">le tirage au sort des séries de questions ;</w:t>
      </w:r>
    </w:p>
    <w:p>
      <w:pPr>
        <w:pStyle w:val="ListParagraph"/>
        <w:numPr>
          <w:ilvl w:val="0"/>
          <w:numId w:val="2"/>
        </w:numPr>
        <w:spacing w:after="60"/>
      </w:pPr>
      <w:r>
        <w:rPr>
          <w:rFonts w:ascii="Times New Roman" w:cs="Times New Roman" w:eastAsia="Times New Roman" w:hAnsi="Times New Roman"/>
        </w:rPr>
        <w:t xml:space="preserve">la coordination des jurés et de l’ordre de passage ;</w:t>
      </w:r>
    </w:p>
    <w:p>
      <w:pPr>
        <w:pStyle w:val="ListParagraph"/>
        <w:numPr>
          <w:ilvl w:val="0"/>
          <w:numId w:val="2"/>
        </w:numPr>
        <w:spacing w:after="60"/>
      </w:pPr>
      <w:r>
        <w:rPr>
          <w:rFonts w:ascii="Times New Roman" w:cs="Times New Roman" w:eastAsia="Times New Roman" w:hAnsi="Times New Roman"/>
        </w:rPr>
        <w:t xml:space="preserve">la notation individuelle et la consolidation des résultats ;</w:t>
      </w:r>
    </w:p>
    <w:p>
      <w:pPr>
        <w:pStyle w:val="ListParagraph"/>
        <w:numPr>
          <w:ilvl w:val="0"/>
          <w:numId w:val="2"/>
        </w:numPr>
        <w:spacing w:after="60"/>
      </w:pPr>
      <w:r>
        <w:rPr>
          <w:rFonts w:ascii="Times New Roman" w:cs="Times New Roman" w:eastAsia="Times New Roman" w:hAnsi="Times New Roman"/>
        </w:rPr>
        <w:t xml:space="preserve">la projection des versets et la publication des classements.</w:t>
      </w:r>
    </w:p>
    <w:p>
      <w:pPr>
        <w:spacing w:after="120"/>
        <w:jc w:val="both"/>
      </w:pPr>
      <w:r>
        <w:rPr>
          <w:rFonts w:ascii="Times New Roman" w:cs="Times New Roman" w:eastAsia="Times New Roman" w:hAnsi="Times New Roman"/>
        </w:rPr>
        <w:t xml:space="preserve">Lorsque ces opérations sont réalisées avec des documents papier, des tableurs et des présentations séparées, elles nécessitent des manipulations répétitives, compliquent la coordination et exposent à des erreurs de calcul ou à des contestations sur l’équité du tirage. La plupart des organisateurs ne disposent ni des compétences ni du matériel pour mettre en place un dispositif numérique fiable.</w:t>
      </w:r>
    </w:p>
    <w:p>
      <w:pPr>
        <w:pStyle w:val="Heading2"/>
      </w:pPr>
      <w:bookmarkStart w:name="_h5" w:id="105"/>
      <w:r>
        <w:t xml:space="preserve">3.2. Modèle d’exploitation retenu</w:t>
      </w:r>
      <w:bookmarkEnd w:id="105"/>
    </w:p>
    <w:p>
      <w:pPr>
        <w:pStyle w:val="ListParagraph"/>
        <w:numPr>
          <w:ilvl w:val="0"/>
          <w:numId w:val="2"/>
        </w:numPr>
        <w:spacing w:after="60"/>
      </w:pPr>
      <w:r>
        <w:rPr>
          <w:rFonts w:ascii="Times New Roman" w:cs="Times New Roman" w:eastAsia="Times New Roman" w:hAnsi="Times New Roman"/>
        </w:rPr>
        <w:t xml:space="preserve">QURANOVA est un </w:t>
      </w:r>
      <w:r>
        <w:rPr>
          <w:rFonts w:ascii="Times New Roman" w:cs="Times New Roman" w:eastAsia="Times New Roman" w:hAnsi="Times New Roman"/>
          <w:b/>
          <w:bCs/>
        </w:rPr>
        <w:t xml:space="preserve">outil interne</w:t>
      </w:r>
      <w:r>
        <w:rPr>
          <w:rFonts w:ascii="Times New Roman" w:cs="Times New Roman" w:eastAsia="Times New Roman" w:hAnsi="Times New Roman"/>
        </w:rPr>
        <w:t xml:space="preserve"> du prestataire ; il n’est pas commercialisé sous forme de licence ou d’abonnement dans le périmètre de la présente version ;</w:t>
      </w:r>
    </w:p>
    <w:p>
      <w:pPr>
        <w:pStyle w:val="ListParagraph"/>
        <w:numPr>
          <w:ilvl w:val="0"/>
          <w:numId w:val="2"/>
        </w:numPr>
        <w:spacing w:after="60"/>
      </w:pPr>
      <w:r>
        <w:rPr>
          <w:rFonts w:ascii="Times New Roman" w:cs="Times New Roman" w:eastAsia="Times New Roman" w:hAnsi="Times New Roman"/>
        </w:rPr>
        <w:t xml:space="preserve">le prestataire vend des </w:t>
      </w:r>
      <w:r>
        <w:rPr>
          <w:rFonts w:ascii="Times New Roman" w:cs="Times New Roman" w:eastAsia="Times New Roman" w:hAnsi="Times New Roman"/>
          <w:b/>
          <w:bCs/>
        </w:rPr>
        <w:t xml:space="preserve">missions</w:t>
      </w:r>
      <w:r>
        <w:rPr>
          <w:rFonts w:ascii="Times New Roman" w:cs="Times New Roman" w:eastAsia="Times New Roman" w:hAnsi="Times New Roman"/>
        </w:rPr>
        <w:t xml:space="preserve"> (cf. §25) et intervient avec son équipe d’opérateurs et son kit matériel (cf. §22) ;</w:t>
      </w:r>
    </w:p>
    <w:p>
      <w:pPr>
        <w:pStyle w:val="ListParagraph"/>
        <w:numPr>
          <w:ilvl w:val="0"/>
          <w:numId w:val="2"/>
        </w:numPr>
        <w:spacing w:after="60"/>
      </w:pPr>
      <w:r>
        <w:rPr>
          <w:rFonts w:ascii="Times New Roman" w:cs="Times New Roman" w:eastAsia="Times New Roman" w:hAnsi="Times New Roman"/>
        </w:rPr>
        <w:t xml:space="preserve">le client fournit la liste des candidats, le règlement, le barème et les jurés ; il désigne un responsable client qui valide la configuration et les résultats ;</w:t>
      </w:r>
    </w:p>
    <w:p>
      <w:pPr>
        <w:pStyle w:val="ListParagraph"/>
        <w:numPr>
          <w:ilvl w:val="0"/>
          <w:numId w:val="2"/>
        </w:numPr>
        <w:spacing w:after="60"/>
      </w:pPr>
      <w:r>
        <w:rPr>
          <w:rFonts w:ascii="Times New Roman" w:cs="Times New Roman" w:eastAsia="Times New Roman" w:hAnsi="Times New Roman"/>
        </w:rPr>
        <w:t xml:space="preserve">le prestataire peut conduire plusieurs missions simultanément grâce à plusieurs opérateurs équipés chacun d’un serveur de salle ;</w:t>
      </w:r>
    </w:p>
    <w:p>
      <w:pPr>
        <w:pStyle w:val="ListParagraph"/>
        <w:numPr>
          <w:ilvl w:val="0"/>
          <w:numId w:val="2"/>
        </w:numPr>
        <w:spacing w:after="60"/>
      </w:pPr>
      <w:r>
        <w:rPr>
          <w:rFonts w:ascii="Times New Roman" w:cs="Times New Roman" w:eastAsia="Times New Roman" w:hAnsi="Times New Roman"/>
        </w:rPr>
        <w:t xml:space="preserve">l’ouverture de QURANOVA en libre-service à des organisations extérieures est une évolution possible (V3, cf. §5.3) que l’architecture ne doit pas empêcher, sans qu’elle soit développée dans l’immédiat.</w:t>
      </w:r>
    </w:p>
    <w:p>
      <w:pPr>
        <w:pStyle w:val="Heading2"/>
      </w:pPr>
      <w:bookmarkStart w:name="_h6" w:id="106"/>
      <w:r>
        <w:t xml:space="preserve">3.3. Justification</w:t>
      </w:r>
      <w:bookmarkEnd w:id="106"/>
    </w:p>
    <w:p>
      <w:pPr>
        <w:spacing w:after="120"/>
        <w:jc w:val="both"/>
      </w:pPr>
      <w:r>
        <w:rPr>
          <w:rFonts w:ascii="Times New Roman" w:cs="Times New Roman" w:eastAsia="Times New Roman" w:hAnsi="Times New Roman"/>
        </w:rPr>
        <w:t xml:space="preserve">Ce modèle réduit drastiquement l’investissement : pas de coût de développement externe, pas d’exigence de montée en charge massive, pas de support à des utilisateurs autonomes. La valeur vendue au client est la fiabilité et la transparence du concours ; QURANOVA est l’avantage concurrentiel qui rend cette valeur possible.</w:t>
      </w:r>
    </w:p>
    <w:p>
      <w:pPr>
        <w:pStyle w:val="Heading1"/>
      </w:pPr>
      <w:bookmarkStart w:name="_h7" w:id="107"/>
      <w:r>
        <w:t xml:space="preserve">4. Objectifs du projet</w:t>
      </w:r>
      <w:bookmarkEnd w:id="107"/>
    </w:p>
    <w:p>
      <w:pPr>
        <w:pStyle w:val="Heading2"/>
      </w:pPr>
      <w:bookmarkStart w:name="_h8" w:id="108"/>
      <w:r>
        <w:t xml:space="preserve">4.1. Objectif général</w:t>
      </w:r>
      <w:bookmarkEnd w:id="108"/>
    </w:p>
    <w:p>
      <w:pPr>
        <w:spacing w:after="120"/>
        <w:jc w:val="both"/>
      </w:pPr>
      <w:r>
        <w:rPr>
          <w:rFonts w:ascii="Times New Roman" w:cs="Times New Roman" w:eastAsia="Times New Roman" w:hAnsi="Times New Roman"/>
        </w:rPr>
        <w:t xml:space="preserve">Concevoir et développer, en interne, un outil web permettant au prestataire de gérer l’ensemble du cycle d’un concours coranique pour le compte de ses clients, depuis sa préparation jusqu’à la validation et la remise des résultats.</w:t>
      </w:r>
    </w:p>
    <w:p>
      <w:pPr>
        <w:pStyle w:val="Heading2"/>
      </w:pPr>
      <w:bookmarkStart w:name="_h9" w:id="109"/>
      <w:r>
        <w:t xml:space="preserve">4.2. Objectifs spécifiques</w:t>
      </w:r>
      <w:bookmarkEnd w:id="109"/>
    </w:p>
    <w:p>
      <w:pPr>
        <w:pStyle w:val="ListParagraph"/>
        <w:numPr>
          <w:ilvl w:val="0"/>
          <w:numId w:val="3"/>
        </w:numPr>
        <w:spacing w:after="60"/>
      </w:pPr>
      <w:r>
        <w:rPr>
          <w:rFonts w:ascii="Times New Roman" w:cs="Times New Roman" w:eastAsia="Times New Roman" w:hAnsi="Times New Roman"/>
        </w:rPr>
        <w:t xml:space="preserve">Centraliser, pour chaque client, les catégories, les candidats et les jurys.</w:t>
      </w:r>
    </w:p>
    <w:p>
      <w:pPr>
        <w:pStyle w:val="ListParagraph"/>
        <w:numPr>
          <w:ilvl w:val="0"/>
          <w:numId w:val="3"/>
        </w:numPr>
        <w:spacing w:after="60"/>
      </w:pPr>
      <w:r>
        <w:rPr>
          <w:rFonts w:ascii="Times New Roman" w:cs="Times New Roman" w:eastAsia="Times New Roman" w:hAnsi="Times New Roman"/>
        </w:rPr>
        <w:t xml:space="preserve">Permettre à l’opérateur de paramétrer rapidement un concours, notamment par import de la liste des candidats.</w:t>
      </w:r>
    </w:p>
    <w:p>
      <w:pPr>
        <w:pStyle w:val="ListParagraph"/>
        <w:numPr>
          <w:ilvl w:val="0"/>
          <w:numId w:val="3"/>
        </w:numPr>
        <w:spacing w:after="60"/>
      </w:pPr>
      <w:r>
        <w:rPr>
          <w:rFonts w:ascii="Times New Roman" w:cs="Times New Roman" w:eastAsia="Times New Roman" w:hAnsi="Times New Roman"/>
        </w:rPr>
        <w:t xml:space="preserve">Mettre en place un mécanisme de tirage au sort simple, contrôlé et effectué côté serveur.</w:t>
      </w:r>
    </w:p>
    <w:p>
      <w:pPr>
        <w:pStyle w:val="ListParagraph"/>
        <w:numPr>
          <w:ilvl w:val="0"/>
          <w:numId w:val="3"/>
        </w:numPr>
        <w:spacing w:after="60"/>
      </w:pPr>
      <w:r>
        <w:rPr>
          <w:rFonts w:ascii="Times New Roman" w:cs="Times New Roman" w:eastAsia="Times New Roman" w:hAnsi="Times New Roman"/>
        </w:rPr>
        <w:t xml:space="preserve">Afficher les versets en mode diaporama avec une animation de balayage de droite à gauche.</w:t>
      </w:r>
    </w:p>
    <w:p>
      <w:pPr>
        <w:pStyle w:val="ListParagraph"/>
        <w:numPr>
          <w:ilvl w:val="0"/>
          <w:numId w:val="3"/>
        </w:numPr>
        <w:spacing w:after="60"/>
      </w:pPr>
      <w:r>
        <w:rPr>
          <w:rFonts w:ascii="Times New Roman" w:cs="Times New Roman" w:eastAsia="Times New Roman" w:hAnsi="Times New Roman"/>
        </w:rPr>
        <w:t xml:space="preserve">Permettre à l’opérateur de contrôler le rythme d’affichage, diapositive par diapositive.</w:t>
      </w:r>
    </w:p>
    <w:p>
      <w:pPr>
        <w:pStyle w:val="ListParagraph"/>
        <w:numPr>
          <w:ilvl w:val="0"/>
          <w:numId w:val="3"/>
        </w:numPr>
        <w:spacing w:after="60"/>
      </w:pPr>
      <w:r>
        <w:rPr>
          <w:rFonts w:ascii="Times New Roman" w:cs="Times New Roman" w:eastAsia="Times New Roman" w:hAnsi="Times New Roman"/>
        </w:rPr>
        <w:t xml:space="preserve">Fournir aux jurés des interfaces de notation individuelles sur tablette.</w:t>
      </w:r>
    </w:p>
    <w:p>
      <w:pPr>
        <w:pStyle w:val="ListParagraph"/>
        <w:numPr>
          <w:ilvl w:val="0"/>
          <w:numId w:val="3"/>
        </w:numPr>
        <w:spacing w:after="60"/>
      </w:pPr>
      <w:r>
        <w:rPr>
          <w:rFonts w:ascii="Times New Roman" w:cs="Times New Roman" w:eastAsia="Times New Roman" w:hAnsi="Times New Roman"/>
        </w:rPr>
        <w:t xml:space="preserve">Calculer automatiquement les notes, les moyennes et les classements selon le règlement.</w:t>
      </w:r>
    </w:p>
    <w:p>
      <w:pPr>
        <w:pStyle w:val="ListParagraph"/>
        <w:numPr>
          <w:ilvl w:val="0"/>
          <w:numId w:val="3"/>
        </w:numPr>
        <w:spacing w:after="60"/>
      </w:pPr>
      <w:r>
        <w:rPr>
          <w:rFonts w:ascii="Times New Roman" w:cs="Times New Roman" w:eastAsia="Times New Roman" w:hAnsi="Times New Roman"/>
        </w:rPr>
        <w:t xml:space="preserve">Fonctionner sans Internet dans la salle, sur le réseau local du prestataire.</w:t>
      </w:r>
    </w:p>
    <w:p>
      <w:pPr>
        <w:pStyle w:val="ListParagraph"/>
        <w:numPr>
          <w:ilvl w:val="0"/>
          <w:numId w:val="3"/>
        </w:numPr>
        <w:spacing w:after="60"/>
      </w:pPr>
      <w:r>
        <w:rPr>
          <w:rFonts w:ascii="Times New Roman" w:cs="Times New Roman" w:eastAsia="Times New Roman" w:hAnsi="Times New Roman"/>
        </w:rPr>
        <w:t xml:space="preserve">Produire automatiquement les documents remis au client (procès-verbal, classements, certificats).</w:t>
      </w:r>
    </w:p>
    <w:p>
      <w:pPr>
        <w:pStyle w:val="ListParagraph"/>
        <w:numPr>
          <w:ilvl w:val="0"/>
          <w:numId w:val="3"/>
        </w:numPr>
        <w:spacing w:after="60"/>
      </w:pPr>
      <w:r>
        <w:rPr>
          <w:rFonts w:ascii="Times New Roman" w:cs="Times New Roman" w:eastAsia="Times New Roman" w:hAnsi="Times New Roman"/>
        </w:rPr>
        <w:t xml:space="preserve">Garantir la traçabilité des opérations, la protection des résultats et la protection des données personnelles.</w:t>
      </w:r>
    </w:p>
    <w:p>
      <w:pPr>
        <w:pStyle w:val="Heading1"/>
      </w:pPr>
      <w:bookmarkStart w:name="_h10" w:id="110"/>
      <w:r>
        <w:t xml:space="preserve">5. Périmètre fonctionnel et versions *</w:t>
      </w:r>
      <w:bookmarkEnd w:id="110"/>
    </w:p>
    <w:p>
      <w:pPr>
        <w:spacing w:after="120"/>
        <w:jc w:val="both"/>
      </w:pPr>
      <w:r>
        <w:rPr>
          <w:rFonts w:ascii="Times New Roman" w:cs="Times New Roman" w:eastAsia="Times New Roman" w:hAnsi="Times New Roman"/>
        </w:rPr>
        <w:t xml:space="preserve">Le développement est découpé en trois versions. Seule la V1 conditionne la première mission payante.</w:t>
      </w:r>
    </w:p>
    <w:p>
      <w:pPr>
        <w:pStyle w:val="Heading2"/>
      </w:pPr>
      <w:bookmarkStart w:name="_h11" w:id="111"/>
      <w:r>
        <w:t xml:space="preserve">5.1. V1 — Version minimale opérationnelle (concours pilote)</w:t>
      </w:r>
      <w:bookmarkEnd w:id="111"/>
    </w:p>
    <w:p>
      <w:pPr>
        <w:pStyle w:val="ListParagraph"/>
        <w:numPr>
          <w:ilvl w:val="0"/>
          <w:numId w:val="2"/>
        </w:numPr>
        <w:spacing w:after="60"/>
      </w:pPr>
      <w:r>
        <w:rPr>
          <w:rFonts w:ascii="Times New Roman" w:cs="Times New Roman" w:eastAsia="Times New Roman" w:hAnsi="Times New Roman"/>
        </w:rPr>
        <w:t xml:space="preserve">gestion des clients, des concours, des catégories, des épreuves et des sessions ;</w:t>
      </w:r>
    </w:p>
    <w:p>
      <w:pPr>
        <w:pStyle w:val="ListParagraph"/>
        <w:numPr>
          <w:ilvl w:val="0"/>
          <w:numId w:val="2"/>
        </w:numPr>
        <w:spacing w:after="60"/>
      </w:pPr>
      <w:r>
        <w:rPr>
          <w:rFonts w:ascii="Times New Roman" w:cs="Times New Roman" w:eastAsia="Times New Roman" w:hAnsi="Times New Roman"/>
        </w:rPr>
        <w:t xml:space="preserve">import des candidats depuis un fichier CSV ou Excel fourni par le client, et saisie manuelle ;</w:t>
      </w:r>
    </w:p>
    <w:p>
      <w:pPr>
        <w:pStyle w:val="ListParagraph"/>
        <w:numPr>
          <w:ilvl w:val="0"/>
          <w:numId w:val="2"/>
        </w:numPr>
        <w:spacing w:after="60"/>
      </w:pPr>
      <w:r>
        <w:rPr>
          <w:rFonts w:ascii="Times New Roman" w:cs="Times New Roman" w:eastAsia="Times New Roman" w:hAnsi="Times New Roman"/>
        </w:rPr>
        <w:t xml:space="preserve">gestion du consentement parental pour les mineurs (enregistrement du formulaire signé) ;</w:t>
      </w:r>
    </w:p>
    <w:p>
      <w:pPr>
        <w:pStyle w:val="ListParagraph"/>
        <w:numPr>
          <w:ilvl w:val="0"/>
          <w:numId w:val="2"/>
        </w:numPr>
        <w:spacing w:after="60"/>
      </w:pPr>
      <w:r>
        <w:rPr>
          <w:rFonts w:ascii="Times New Roman" w:cs="Times New Roman" w:eastAsia="Times New Roman" w:hAnsi="Times New Roman"/>
        </w:rPr>
        <w:t xml:space="preserve">gestion des jurés et de leurs affectations ;</w:t>
      </w:r>
    </w:p>
    <w:p>
      <w:pPr>
        <w:pStyle w:val="ListParagraph"/>
        <w:numPr>
          <w:ilvl w:val="0"/>
          <w:numId w:val="2"/>
        </w:numPr>
        <w:spacing w:after="60"/>
      </w:pPr>
      <w:r>
        <w:rPr>
          <w:rFonts w:ascii="Times New Roman" w:cs="Times New Roman" w:eastAsia="Times New Roman" w:hAnsi="Times New Roman"/>
        </w:rPr>
        <w:t xml:space="preserve">définition des passages coraniques par références et constitution des séries et des lots ;</w:t>
      </w:r>
    </w:p>
    <w:p>
      <w:pPr>
        <w:pStyle w:val="ListParagraph"/>
        <w:numPr>
          <w:ilvl w:val="0"/>
          <w:numId w:val="2"/>
        </w:numPr>
        <w:spacing w:after="60"/>
      </w:pPr>
      <w:r>
        <w:rPr>
          <w:rFonts w:ascii="Times New Roman" w:cs="Times New Roman" w:eastAsia="Times New Roman" w:hAnsi="Times New Roman"/>
        </w:rPr>
        <w:t xml:space="preserve">tirage au sort déclenché par le candidat et exécuté par le serveur ;</w:t>
      </w:r>
    </w:p>
    <w:p>
      <w:pPr>
        <w:pStyle w:val="ListParagraph"/>
        <w:numPr>
          <w:ilvl w:val="0"/>
          <w:numId w:val="2"/>
        </w:numPr>
        <w:spacing w:after="60"/>
      </w:pPr>
      <w:r>
        <w:rPr>
          <w:rFonts w:ascii="Times New Roman" w:cs="Times New Roman" w:eastAsia="Times New Roman" w:hAnsi="Times New Roman"/>
        </w:rPr>
        <w:t xml:space="preserve">diaporama synchronisé avec commande manuelle par l’opérateur ;</w:t>
      </w:r>
    </w:p>
    <w:p>
      <w:pPr>
        <w:pStyle w:val="ListParagraph"/>
        <w:numPr>
          <w:ilvl w:val="0"/>
          <w:numId w:val="2"/>
        </w:numPr>
        <w:spacing w:after="60"/>
      </w:pPr>
      <w:r>
        <w:rPr>
          <w:rFonts w:ascii="Times New Roman" w:cs="Times New Roman" w:eastAsia="Times New Roman" w:hAnsi="Times New Roman"/>
        </w:rPr>
        <w:t xml:space="preserve">écrans de notation des jurés sur tablette ;</w:t>
      </w:r>
    </w:p>
    <w:p>
      <w:pPr>
        <w:pStyle w:val="ListParagraph"/>
        <w:numPr>
          <w:ilvl w:val="0"/>
          <w:numId w:val="2"/>
        </w:numPr>
        <w:spacing w:after="60"/>
      </w:pPr>
      <w:r>
        <w:rPr>
          <w:rFonts w:ascii="Times New Roman" w:cs="Times New Roman" w:eastAsia="Times New Roman" w:hAnsi="Times New Roman"/>
        </w:rPr>
        <w:t xml:space="preserve">calcul des résultats et classements provisoire et définitif ;</w:t>
      </w:r>
    </w:p>
    <w:p>
      <w:pPr>
        <w:pStyle w:val="ListParagraph"/>
        <w:numPr>
          <w:ilvl w:val="0"/>
          <w:numId w:val="2"/>
        </w:numPr>
        <w:spacing w:after="60"/>
      </w:pPr>
      <w:r>
        <w:rPr>
          <w:rFonts w:ascii="Times New Roman" w:cs="Times New Roman" w:eastAsia="Times New Roman" w:hAnsi="Times New Roman"/>
        </w:rPr>
        <w:t xml:space="preserve">génération du procès-verbal de résultats et du classement en PDF ;</w:t>
      </w:r>
    </w:p>
    <w:p>
      <w:pPr>
        <w:pStyle w:val="ListParagraph"/>
        <w:numPr>
          <w:ilvl w:val="0"/>
          <w:numId w:val="2"/>
        </w:numPr>
        <w:spacing w:after="60"/>
      </w:pPr>
      <w:r>
        <w:rPr>
          <w:rFonts w:ascii="Times New Roman" w:cs="Times New Roman" w:eastAsia="Times New Roman" w:hAnsi="Times New Roman"/>
        </w:rPr>
        <w:t xml:space="preserve">fonctionnement complet sur le serveur de salle, sans Internet ;</w:t>
      </w:r>
    </w:p>
    <w:p>
      <w:pPr>
        <w:pStyle w:val="ListParagraph"/>
        <w:numPr>
          <w:ilvl w:val="0"/>
          <w:numId w:val="2"/>
        </w:numPr>
        <w:spacing w:after="60"/>
      </w:pPr>
      <w:r>
        <w:rPr>
          <w:rFonts w:ascii="Times New Roman" w:cs="Times New Roman" w:eastAsia="Times New Roman" w:hAnsi="Times New Roman"/>
        </w:rPr>
        <w:t xml:space="preserve">journal d’audit des opérations sensibles ;</w:t>
      </w:r>
    </w:p>
    <w:p>
      <w:pPr>
        <w:pStyle w:val="ListParagraph"/>
        <w:numPr>
          <w:ilvl w:val="0"/>
          <w:numId w:val="2"/>
        </w:numPr>
        <w:spacing w:after="60"/>
      </w:pPr>
      <w:r>
        <w:rPr>
          <w:rFonts w:ascii="Times New Roman" w:cs="Times New Roman" w:eastAsia="Times New Roman" w:hAnsi="Times New Roman"/>
        </w:rPr>
        <w:t xml:space="preserve">sauvegarde du serveur de salle sur support externe.</w:t>
      </w:r>
    </w:p>
    <w:p>
      <w:pPr>
        <w:pStyle w:val="Heading2"/>
      </w:pPr>
      <w:bookmarkStart w:name="_h12" w:id="112"/>
      <w:r>
        <w:t xml:space="preserve">5.2. V2 — Industrialisation des missions</w:t>
      </w:r>
      <w:bookmarkEnd w:id="112"/>
    </w:p>
    <w:p>
      <w:pPr>
        <w:pStyle w:val="ListParagraph"/>
        <w:numPr>
          <w:ilvl w:val="0"/>
          <w:numId w:val="2"/>
        </w:numPr>
        <w:spacing w:after="60"/>
      </w:pPr>
      <w:r>
        <w:rPr>
          <w:rFonts w:ascii="Times New Roman" w:cs="Times New Roman" w:eastAsia="Times New Roman" w:hAnsi="Times New Roman"/>
        </w:rPr>
        <w:t xml:space="preserve">instance centrale en ligne et synchronisation avec les serveurs de salle (cf. §13.6) ;</w:t>
      </w:r>
    </w:p>
    <w:p>
      <w:pPr>
        <w:pStyle w:val="ListParagraph"/>
        <w:numPr>
          <w:ilvl w:val="0"/>
          <w:numId w:val="2"/>
        </w:numPr>
        <w:spacing w:after="60"/>
      </w:pPr>
      <w:r>
        <w:rPr>
          <w:rFonts w:ascii="Times New Roman" w:cs="Times New Roman" w:eastAsia="Times New Roman" w:hAnsi="Times New Roman"/>
        </w:rPr>
        <w:t xml:space="preserve">publication en ligne des résultats et page publique du concours ;</w:t>
      </w:r>
    </w:p>
    <w:p>
      <w:pPr>
        <w:pStyle w:val="ListParagraph"/>
        <w:numPr>
          <w:ilvl w:val="0"/>
          <w:numId w:val="2"/>
        </w:numPr>
        <w:spacing w:after="60"/>
      </w:pPr>
      <w:r>
        <w:rPr>
          <w:rFonts w:ascii="Times New Roman" w:cs="Times New Roman" w:eastAsia="Times New Roman" w:hAnsi="Times New Roman"/>
        </w:rPr>
        <w:t xml:space="preserve">certificats personnalisés en PDF ;</w:t>
      </w:r>
    </w:p>
    <w:p>
      <w:pPr>
        <w:pStyle w:val="ListParagraph"/>
        <w:numPr>
          <w:ilvl w:val="0"/>
          <w:numId w:val="2"/>
        </w:numPr>
        <w:spacing w:after="60"/>
      </w:pPr>
      <w:r>
        <w:rPr>
          <w:rFonts w:ascii="Times New Roman" w:cs="Times New Roman" w:eastAsia="Times New Roman" w:hAnsi="Times New Roman"/>
        </w:rPr>
        <w:t xml:space="preserve">export complet des données d’un client (CSV, JSON) ;</w:t>
      </w:r>
    </w:p>
    <w:p>
      <w:pPr>
        <w:pStyle w:val="ListParagraph"/>
        <w:numPr>
          <w:ilvl w:val="0"/>
          <w:numId w:val="2"/>
        </w:numPr>
        <w:spacing w:after="60"/>
      </w:pPr>
      <w:r>
        <w:rPr>
          <w:rFonts w:ascii="Times New Roman" w:cs="Times New Roman" w:eastAsia="Times New Roman" w:hAnsi="Times New Roman"/>
        </w:rPr>
        <w:t xml:space="preserve">mode « concours en ligne » pour les candidats à distance ;</w:t>
      </w:r>
    </w:p>
    <w:p>
      <w:pPr>
        <w:pStyle w:val="ListParagraph"/>
        <w:numPr>
          <w:ilvl w:val="0"/>
          <w:numId w:val="2"/>
        </w:numPr>
        <w:spacing w:after="60"/>
      </w:pPr>
      <w:r>
        <w:rPr>
          <w:rFonts w:ascii="Times New Roman" w:cs="Times New Roman" w:eastAsia="Times New Roman" w:hAnsi="Times New Roman"/>
        </w:rPr>
        <w:t xml:space="preserve">gestion de plusieurs opérateurs et de plusieurs missions simultanées ;</w:t>
      </w:r>
    </w:p>
    <w:p>
      <w:pPr>
        <w:pStyle w:val="ListParagraph"/>
        <w:numPr>
          <w:ilvl w:val="0"/>
          <w:numId w:val="2"/>
        </w:numPr>
        <w:spacing w:after="60"/>
      </w:pPr>
      <w:r>
        <w:rPr>
          <w:rFonts w:ascii="Times New Roman" w:cs="Times New Roman" w:eastAsia="Times New Roman" w:hAnsi="Times New Roman"/>
        </w:rPr>
        <w:t xml:space="preserve">superviseur et double validation des résultats.</w:t>
      </w:r>
    </w:p>
    <w:p>
      <w:pPr>
        <w:pStyle w:val="Heading2"/>
      </w:pPr>
      <w:bookmarkStart w:name="_h13" w:id="113"/>
      <w:r>
        <w:t xml:space="preserve">5.3. V3 — Évolutions possibles</w:t>
      </w:r>
      <w:bookmarkEnd w:id="113"/>
    </w:p>
    <w:p>
      <w:pPr>
        <w:pStyle w:val="ListParagraph"/>
        <w:numPr>
          <w:ilvl w:val="0"/>
          <w:numId w:val="2"/>
        </w:numPr>
        <w:spacing w:after="60"/>
      </w:pPr>
      <w:r>
        <w:rPr>
          <w:rFonts w:ascii="Times New Roman" w:cs="Times New Roman" w:eastAsia="Times New Roman" w:hAnsi="Times New Roman"/>
        </w:rPr>
        <w:t xml:space="preserve">ouverture en libre-service à des organisations extérieures (nécessitant alors la Row-Level Security, un audit de sécurité externe et des tests de charge, cf. §13.4) ;</w:t>
      </w:r>
    </w:p>
    <w:p>
      <w:pPr>
        <w:pStyle w:val="ListParagraph"/>
        <w:numPr>
          <w:ilvl w:val="0"/>
          <w:numId w:val="2"/>
        </w:numPr>
        <w:spacing w:after="60"/>
      </w:pPr>
      <w:r>
        <w:rPr>
          <w:rFonts w:ascii="Times New Roman" w:cs="Times New Roman" w:eastAsia="Times New Roman" w:hAnsi="Times New Roman"/>
        </w:rPr>
        <w:t xml:space="preserve">notifications SMS ou WhatsApp ;</w:t>
      </w:r>
    </w:p>
    <w:p>
      <w:pPr>
        <w:pStyle w:val="ListParagraph"/>
        <w:numPr>
          <w:ilvl w:val="0"/>
          <w:numId w:val="2"/>
        </w:numPr>
        <w:spacing w:after="60"/>
      </w:pPr>
      <w:r>
        <w:rPr>
          <w:rFonts w:ascii="Times New Roman" w:cs="Times New Roman" w:eastAsia="Times New Roman" w:hAnsi="Times New Roman"/>
        </w:rPr>
        <w:t xml:space="preserve">diffusion vidéo en direct intégrée ;</w:t>
      </w:r>
    </w:p>
    <w:p>
      <w:pPr>
        <w:pStyle w:val="ListParagraph"/>
        <w:numPr>
          <w:ilvl w:val="0"/>
          <w:numId w:val="2"/>
        </w:numPr>
        <w:spacing w:after="60"/>
      </w:pPr>
      <w:r>
        <w:rPr>
          <w:rFonts w:ascii="Times New Roman" w:cs="Times New Roman" w:eastAsia="Times New Roman" w:hAnsi="Times New Roman"/>
        </w:rPr>
        <w:t xml:space="preserve">suivi pédagogique des candidats tout au long de l’année ;</w:t>
      </w:r>
    </w:p>
    <w:p>
      <w:pPr>
        <w:pStyle w:val="ListParagraph"/>
        <w:numPr>
          <w:ilvl w:val="0"/>
          <w:numId w:val="2"/>
        </w:numPr>
        <w:spacing w:after="60"/>
      </w:pPr>
      <w:r>
        <w:rPr>
          <w:rFonts w:ascii="Times New Roman" w:cs="Times New Roman" w:eastAsia="Times New Roman" w:hAnsi="Times New Roman"/>
        </w:rPr>
        <w:t xml:space="preserve">riwāya autres que Hafs ʿan ʿĀṣim.</w:t>
      </w:r>
    </w:p>
    <w:p>
      <w:pPr>
        <w:pStyle w:val="Heading2"/>
      </w:pPr>
      <w:bookmarkStart w:name="_h14" w:id="114"/>
      <w:r>
        <w:t xml:space="preserve">5.4. Exclus du périmètre</w:t>
      </w:r>
      <w:bookmarkEnd w:id="114"/>
    </w:p>
    <w:p>
      <w:pPr>
        <w:pStyle w:val="ListParagraph"/>
        <w:numPr>
          <w:ilvl w:val="0"/>
          <w:numId w:val="2"/>
        </w:numPr>
        <w:spacing w:after="60"/>
      </w:pPr>
      <w:r>
        <w:rPr>
          <w:rFonts w:ascii="Times New Roman" w:cs="Times New Roman" w:eastAsia="Times New Roman" w:hAnsi="Times New Roman"/>
        </w:rPr>
        <w:t xml:space="preserve">commercialisation de licences ou d’abonnements ;</w:t>
      </w:r>
    </w:p>
    <w:p>
      <w:pPr>
        <w:pStyle w:val="ListParagraph"/>
        <w:numPr>
          <w:ilvl w:val="0"/>
          <w:numId w:val="2"/>
        </w:numPr>
        <w:spacing w:after="60"/>
      </w:pPr>
      <w:r>
        <w:rPr>
          <w:rFonts w:ascii="Times New Roman" w:cs="Times New Roman" w:eastAsia="Times New Roman" w:hAnsi="Times New Roman"/>
        </w:rPr>
        <w:t xml:space="preserve">paiement en ligne des frais d’inscription ;</w:t>
      </w:r>
    </w:p>
    <w:p>
      <w:pPr>
        <w:pStyle w:val="ListParagraph"/>
        <w:numPr>
          <w:ilvl w:val="0"/>
          <w:numId w:val="2"/>
        </w:numPr>
        <w:spacing w:after="60"/>
      </w:pPr>
      <w:r>
        <w:rPr>
          <w:rFonts w:ascii="Times New Roman" w:cs="Times New Roman" w:eastAsia="Times New Roman" w:hAnsi="Times New Roman"/>
        </w:rPr>
        <w:t xml:space="preserve">application mobile native ;</w:t>
      </w:r>
    </w:p>
    <w:p>
      <w:pPr>
        <w:pStyle w:val="ListParagraph"/>
        <w:numPr>
          <w:ilvl w:val="0"/>
          <w:numId w:val="2"/>
        </w:numPr>
        <w:spacing w:after="60"/>
      </w:pPr>
      <w:r>
        <w:rPr>
          <w:rFonts w:ascii="Times New Roman" w:cs="Times New Roman" w:eastAsia="Times New Roman" w:hAnsi="Times New Roman"/>
        </w:rPr>
        <w:t xml:space="preserve">inscription des candidats en libre-service.</w:t>
      </w:r>
    </w:p>
    <w:p>
      <w:pPr>
        <w:pStyle w:val="Heading1"/>
      </w:pPr>
      <w:bookmarkStart w:name="_h15" w:id="115"/>
      <w:r>
        <w:t xml:space="preserve">6. Acteurs et gestion des rôles *</w:t>
      </w:r>
      <w:bookmarkEnd w:id="115"/>
    </w:p>
    <w:p>
      <w:pPr>
        <w:spacing w:after="120"/>
        <w:jc w:val="both"/>
      </w:pPr>
      <w:r>
        <w:rPr>
          <w:rFonts w:ascii="Times New Roman" w:cs="Times New Roman" w:eastAsia="Times New Roman" w:hAnsi="Times New Roman"/>
        </w:rPr>
        <w:t xml:space="preserve">L’application applique un système de permissions fondé sur le rôle de l’utilisateur, l’organisation cliente concernée et le concours auquel il est affecté.</w:t>
      </w:r>
    </w:p>
    <w:p>
      <w:pPr>
        <w:pStyle w:val="Heading2"/>
      </w:pPr>
      <w:bookmarkStart w:name="_h16" w:id="116"/>
      <w:r>
        <w:t xml:space="preserve">6.1. Rôles</w:t>
      </w:r>
      <w:bookmarkEnd w:id="116"/>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272"/>
      </w:tblGrid>
      <w:tr>
        <w:trPr>
          <w:cantSplit/>
          <w:tblHeader/>
        </w:trPr>
        <w:tc>
          <w:tcPr>
            <w:tcW w:type="dxa" w:w="2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Acteur</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Côté</w:t>
            </w:r>
          </w:p>
        </w:tc>
        <w:tc>
          <w:tcPr>
            <w:tcW w:type="dxa" w:w="527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Responsabilités principales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Administrateur QURANOVA</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Prestataire</w:t>
            </w:r>
          </w:p>
        </w:tc>
        <w:tc>
          <w:tcPr>
            <w:tcW w:type="dxa" w:w="52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Gérer l’application, les clients, les opérateurs, les serveurs de salle et les paramètres généraux ; importer le corpus coranique validé.</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Opérateur</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Prestataire</w:t>
            </w:r>
          </w:p>
        </w:tc>
        <w:tc>
          <w:tcPr>
            <w:tcW w:type="dxa" w:w="52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Paramétrer le concours du client (catégories, épreuves, candidats, jurés, lots), conduire les sessions, commander le diaporama, produire les documents de résultats.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Responsable client</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Client</w:t>
            </w:r>
          </w:p>
        </w:tc>
        <w:tc>
          <w:tcPr>
            <w:tcW w:type="dxa" w:w="52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Valider la configuration du concours (barème, séries, règles), consulter le déroulement, valider le classement définitif, recevoir les résultats.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Superviseur du concours (V2)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Client ou tiers désigné</w:t>
            </w:r>
          </w:p>
        </w:tc>
        <w:tc>
          <w:tcPr>
            <w:tcW w:type="dxa" w:w="52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Observer le déroulement, contrôler la régularité des opérations, contre-valider les résultats lorsque la double validation est activée.</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Juré</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Client</w:t>
            </w:r>
          </w:p>
        </w:tc>
        <w:tc>
          <w:tcPr>
            <w:tcW w:type="dxa" w:w="52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Suivre l’affichage des versets de la prestation et noter les prestations qui lui sont attribuées.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Candidat</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Client</w:t>
            </w:r>
          </w:p>
        </w:tc>
        <w:tc>
          <w:tcPr>
            <w:tcW w:type="dxa" w:w="52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Déclencher son tirage au sort lorsqu’il y est autorisé.</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Public</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w:t>
            </w:r>
          </w:p>
        </w:tc>
        <w:tc>
          <w:tcPr>
            <w:tcW w:type="dxa" w:w="52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Consulter les informations et classements rendus publics (V2).</w:t>
            </w:r>
          </w:p>
        </w:tc>
      </w:tr>
    </w:tbl>
    <w:p>
      <w:pPr>
        <w:spacing w:after="120"/>
      </w:pPr>
    </w:p>
    <w:p>
      <w:pPr>
        <w:pStyle w:val="Heading2"/>
      </w:pPr>
      <w:bookmarkStart w:name="_h17" w:id="117"/>
      <w:r>
        <w:t xml:space="preserve">6.2. Séparation entre exécution et validation</w:t>
      </w:r>
      <w:bookmarkEnd w:id="117"/>
    </w:p>
    <w:p>
      <w:pPr>
        <w:spacing w:after="120"/>
        <w:jc w:val="both"/>
      </w:pPr>
      <w:r>
        <w:rPr>
          <w:rFonts w:ascii="Times New Roman" w:cs="Times New Roman" w:eastAsia="Times New Roman" w:hAnsi="Times New Roman"/>
        </w:rPr>
        <w:t xml:space="preserve">Le prestataire </w:t>
      </w:r>
      <w:r>
        <w:rPr>
          <w:rFonts w:ascii="Times New Roman" w:cs="Times New Roman" w:eastAsia="Times New Roman" w:hAnsi="Times New Roman"/>
          <w:b/>
          <w:bCs/>
        </w:rPr>
        <w:t xml:space="preserve">exécute</w:t>
      </w:r>
      <w:r>
        <w:rPr>
          <w:rFonts w:ascii="Times New Roman" w:cs="Times New Roman" w:eastAsia="Times New Roman" w:hAnsi="Times New Roman"/>
        </w:rPr>
        <w:t xml:space="preserve"> le concours ; le client le </w:t>
      </w:r>
      <w:r>
        <w:rPr>
          <w:rFonts w:ascii="Times New Roman" w:cs="Times New Roman" w:eastAsia="Times New Roman" w:hAnsi="Times New Roman"/>
          <w:b/>
          <w:bCs/>
        </w:rPr>
        <w:t xml:space="preserve">valide</w:t>
      </w:r>
      <w:r>
        <w:rPr>
          <w:rFonts w:ascii="Times New Roman" w:cs="Times New Roman" w:eastAsia="Times New Roman" w:hAnsi="Times New Roman"/>
        </w:rPr>
        <w:t xml:space="preserve">. Cette séparation est la garantie de transparence offerte au client : l’opérateur ne peut pas valider seul les résultats d’un concours qu’il a conduit.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172"/>
        <w:gridCol w:w="1800"/>
        <w:gridCol w:w="2200"/>
        <w:gridCol w:w="1900"/>
      </w:tblGrid>
      <w:tr>
        <w:trPr>
          <w:cantSplit/>
          <w:tblHeader/>
        </w:trPr>
        <w:tc>
          <w:tcPr>
            <w:tcW w:type="dxa" w:w="317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Action</w:t>
            </w:r>
          </w:p>
        </w:tc>
        <w:tc>
          <w:tcPr>
            <w:tcW w:type="dxa" w:w="1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Opérateur</w:t>
            </w:r>
          </w:p>
        </w:tc>
        <w:tc>
          <w:tcPr>
            <w:tcW w:type="dxa" w:w="2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Responsable client</w:t>
            </w:r>
          </w:p>
        </w:tc>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Superviseur (V2)</w:t>
            </w:r>
          </w:p>
        </w:tc>
      </w:tr>
      <w:tr>
        <w:trPr>
          <w:cantSplit/>
          <w:tblHeader w:val="false"/>
        </w:trPr>
        <w:tc>
          <w:tcPr>
            <w:tcW w:type="dxa" w:w="3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Paramétrer le concours, les épreuves et les lots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Oui</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Validation de la configuration</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Lecture</w:t>
            </w:r>
          </w:p>
        </w:tc>
      </w:tr>
      <w:tr>
        <w:trPr>
          <w:cantSplit/>
          <w:tblHeader w:val="false"/>
        </w:trPr>
        <w:tc>
          <w:tcPr>
            <w:tcW w:type="dxa" w:w="3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Importer et modifier les candidats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Oui</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Lecture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Lecture</w:t>
            </w:r>
          </w:p>
        </w:tc>
      </w:tr>
      <w:tr>
        <w:trPr>
          <w:cantSplit/>
          <w:tblHeader w:val="false"/>
        </w:trPr>
        <w:tc>
          <w:tcPr>
            <w:tcW w:type="dxa" w:w="3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Commander le diaporama</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Oui</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Non</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Non</w:t>
            </w:r>
          </w:p>
        </w:tc>
      </w:tr>
      <w:tr>
        <w:trPr>
          <w:cantSplit/>
          <w:tblHeader w:val="false"/>
        </w:trPr>
        <w:tc>
          <w:tcPr>
            <w:tcW w:type="dxa" w:w="3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Annuler un tirage</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Oui, avec motif</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Alerté</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Alerté</w:t>
            </w:r>
          </w:p>
        </w:tc>
      </w:tr>
      <w:tr>
        <w:trPr>
          <w:cantSplit/>
          <w:tblHeader w:val="false"/>
        </w:trPr>
        <w:tc>
          <w:tcPr>
            <w:tcW w:type="dxa" w:w="3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Consulter le journal d’audit</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Oui</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Oui</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Oui</w:t>
            </w:r>
          </w:p>
        </w:tc>
      </w:tr>
      <w:tr>
        <w:trPr>
          <w:cantSplit/>
          <w:tblHeader w:val="false"/>
        </w:trPr>
        <w:tc>
          <w:tcPr>
            <w:tcW w:type="dxa" w:w="3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Ouvrir un incident</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Oui</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Oui</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Oui</w:t>
            </w:r>
          </w:p>
        </w:tc>
      </w:tr>
      <w:tr>
        <w:trPr>
          <w:cantSplit/>
          <w:tblHeader w:val="false"/>
        </w:trPr>
        <w:tc>
          <w:tcPr>
            <w:tcW w:type="dxa" w:w="3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Valider le classement définitif</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Non</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Oui</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Contre-validation si activée</w:t>
            </w:r>
          </w:p>
        </w:tc>
      </w:tr>
      <w:tr>
        <w:trPr>
          <w:cantSplit/>
          <w:tblHeader w:val="false"/>
        </w:trPr>
        <w:tc>
          <w:tcPr>
            <w:tcW w:type="dxa" w:w="3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Générer et remettre les documents de résultats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Oui, après validation</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Reçoit</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Reçoit</w:t>
            </w:r>
          </w:p>
        </w:tc>
      </w:tr>
    </w:tbl>
    <w:p>
      <w:pPr>
        <w:spacing w:after="120"/>
      </w:pPr>
    </w:p>
    <w:p>
      <w:pPr>
        <w:keepNext/>
        <w:spacing w:after="80" w:before="120"/>
      </w:pPr>
      <w:r>
        <w:rPr>
          <w:rFonts w:ascii="Times New Roman" w:cs="Times New Roman" w:eastAsia="Times New Roman" w:hAnsi="Times New Roman"/>
          <w:b/>
          <w:bCs/>
        </w:rPr>
        <w:t xml:space="preserve">Limites du superviseur (V2) :</w:t>
      </w:r>
    </w:p>
    <w:p>
      <w:pPr>
        <w:pStyle w:val="ListParagraph"/>
        <w:numPr>
          <w:ilvl w:val="0"/>
          <w:numId w:val="2"/>
        </w:numPr>
        <w:spacing w:after="60"/>
      </w:pPr>
      <w:r>
        <w:rPr>
          <w:rFonts w:ascii="Times New Roman" w:cs="Times New Roman" w:eastAsia="Times New Roman" w:hAnsi="Times New Roman"/>
        </w:rPr>
        <w:t xml:space="preserve">il ne peut ni créer, ni modifier, ni supprimer un candidat, une catégorie, une épreuve, une série ou un juré ;</w:t>
      </w:r>
    </w:p>
    <w:p>
      <w:pPr>
        <w:pStyle w:val="ListParagraph"/>
        <w:numPr>
          <w:ilvl w:val="0"/>
          <w:numId w:val="2"/>
        </w:numPr>
        <w:spacing w:after="60"/>
      </w:pPr>
      <w:r>
        <w:rPr>
          <w:rFonts w:ascii="Times New Roman" w:cs="Times New Roman" w:eastAsia="Times New Roman" w:hAnsi="Times New Roman"/>
        </w:rPr>
        <w:t xml:space="preserve">il ne peut pas déclencher un tirage ni commander le diaporama ;</w:t>
      </w:r>
    </w:p>
    <w:p>
      <w:pPr>
        <w:pStyle w:val="ListParagraph"/>
        <w:numPr>
          <w:ilvl w:val="0"/>
          <w:numId w:val="2"/>
        </w:numPr>
        <w:spacing w:after="60"/>
      </w:pPr>
      <w:r>
        <w:rPr>
          <w:rFonts w:ascii="Times New Roman" w:cs="Times New Roman" w:eastAsia="Times New Roman" w:hAnsi="Times New Roman"/>
        </w:rPr>
        <w:t xml:space="preserve">il ne peut ni saisir, ni modifier, ni supprimer une note ;</w:t>
      </w:r>
    </w:p>
    <w:p>
      <w:pPr>
        <w:pStyle w:val="ListParagraph"/>
        <w:numPr>
          <w:ilvl w:val="0"/>
          <w:numId w:val="2"/>
        </w:numPr>
        <w:spacing w:after="60"/>
      </w:pPr>
      <w:r>
        <w:rPr>
          <w:rFonts w:ascii="Times New Roman" w:cs="Times New Roman" w:eastAsia="Times New Roman" w:hAnsi="Times New Roman"/>
        </w:rPr>
        <w:t xml:space="preserve">il n’a accès qu’aux concours pour lesquels il a été désigné.</w:t>
      </w:r>
    </w:p>
    <w:p>
      <w:pPr>
        <w:pStyle w:val="Heading2"/>
      </w:pPr>
      <w:bookmarkStart w:name="_h18" w:id="118"/>
      <w:r>
        <w:t xml:space="preserve">6.3. Règles d’accès</w:t>
      </w:r>
      <w:bookmarkEnd w:id="118"/>
    </w:p>
    <w:p>
      <w:pPr>
        <w:pStyle w:val="ListParagraph"/>
        <w:numPr>
          <w:ilvl w:val="0"/>
          <w:numId w:val="2"/>
        </w:numPr>
        <w:spacing w:after="60"/>
      </w:pPr>
      <w:r>
        <w:rPr>
          <w:rFonts w:ascii="Times New Roman" w:cs="Times New Roman" w:eastAsia="Times New Roman" w:hAnsi="Times New Roman"/>
        </w:rPr>
        <w:t xml:space="preserve">un opérateur n’accède qu’aux concours des missions qui lui sont affectées ; l’administrateur QURANOVA accède à tous les concours, chaque accès étant journalisé ;</w:t>
      </w:r>
    </w:p>
    <w:p>
      <w:pPr>
        <w:pStyle w:val="ListParagraph"/>
        <w:numPr>
          <w:ilvl w:val="0"/>
          <w:numId w:val="2"/>
        </w:numPr>
        <w:spacing w:after="60"/>
      </w:pPr>
      <w:r>
        <w:rPr>
          <w:rFonts w:ascii="Times New Roman" w:cs="Times New Roman" w:eastAsia="Times New Roman" w:hAnsi="Times New Roman"/>
        </w:rPr>
        <w:t xml:space="preserve">un responsable client n’accède qu’aux concours de son organisation ;</w:t>
      </w:r>
    </w:p>
    <w:p>
      <w:pPr>
        <w:pStyle w:val="ListParagraph"/>
        <w:numPr>
          <w:ilvl w:val="0"/>
          <w:numId w:val="2"/>
        </w:numPr>
        <w:spacing w:after="60"/>
      </w:pPr>
      <w:r>
        <w:rPr>
          <w:rFonts w:ascii="Times New Roman" w:cs="Times New Roman" w:eastAsia="Times New Roman" w:hAnsi="Times New Roman"/>
        </w:rPr>
        <w:t xml:space="preserve">un candidat ne peut pas accéder aux interfaces de notation ou de commande de l’affichage ;</w:t>
      </w:r>
    </w:p>
    <w:p>
      <w:pPr>
        <w:pStyle w:val="ListParagraph"/>
        <w:numPr>
          <w:ilvl w:val="0"/>
          <w:numId w:val="2"/>
        </w:numPr>
        <w:spacing w:after="60"/>
      </w:pPr>
      <w:r>
        <w:rPr>
          <w:rFonts w:ascii="Times New Roman" w:cs="Times New Roman" w:eastAsia="Times New Roman" w:hAnsi="Times New Roman"/>
        </w:rPr>
        <w:t xml:space="preserve">un juré ne peut noter que les prestations des épreuves qui lui sont attribuées ;</w:t>
      </w:r>
    </w:p>
    <w:p>
      <w:pPr>
        <w:pStyle w:val="ListParagraph"/>
        <w:numPr>
          <w:ilvl w:val="0"/>
          <w:numId w:val="2"/>
        </w:numPr>
        <w:spacing w:after="60"/>
      </w:pPr>
      <w:r>
        <w:rPr>
          <w:rFonts w:ascii="Times New Roman" w:cs="Times New Roman" w:eastAsia="Times New Roman" w:hAnsi="Times New Roman"/>
        </w:rPr>
        <w:t xml:space="preserve">le public n’a accès qu’aux données explicitement publiées ;</w:t>
      </w:r>
    </w:p>
    <w:p>
      <w:pPr>
        <w:pStyle w:val="ListParagraph"/>
        <w:numPr>
          <w:ilvl w:val="0"/>
          <w:numId w:val="2"/>
        </w:numPr>
        <w:spacing w:after="60"/>
      </w:pPr>
      <w:r>
        <w:rPr>
          <w:rFonts w:ascii="Times New Roman" w:cs="Times New Roman" w:eastAsia="Times New Roman" w:hAnsi="Times New Roman"/>
        </w:rPr>
        <w:t xml:space="preserve">les classements provisoires et définitifs sont distingués ;</w:t>
      </w:r>
    </w:p>
    <w:p>
      <w:pPr>
        <w:pStyle w:val="ListParagraph"/>
        <w:numPr>
          <w:ilvl w:val="0"/>
          <w:numId w:val="2"/>
        </w:numPr>
        <w:spacing w:after="60"/>
      </w:pPr>
      <w:r>
        <w:rPr>
          <w:rFonts w:ascii="Times New Roman" w:cs="Times New Roman" w:eastAsia="Times New Roman" w:hAnsi="Times New Roman"/>
        </w:rPr>
        <w:t xml:space="preserve">les changements de rôle et les opérations sensibles sont journalisés (cf. §15.2).</w:t>
      </w:r>
    </w:p>
    <w:p>
      <w:pPr>
        <w:pBdr>
          <w:left w:val="single" w:color="404040" w:sz="24" w:space="8"/>
        </w:pBdr>
        <w:shd w:fill="F2F2F2" w:color="auto" w:val="clear"/>
        <w:spacing w:after="160" w:before="120"/>
        <w:ind w:left="200"/>
        <w:jc w:val="both"/>
      </w:pPr>
      <w:r>
        <w:rPr>
          <w:rFonts w:ascii="Times New Roman" w:cs="Times New Roman" w:eastAsia="Times New Roman" w:hAnsi="Times New Roman"/>
          <w:b/>
          <w:bCs/>
        </w:rPr>
        <w:t xml:space="preserve">Exigence importante :</w:t>
      </w:r>
      <w:r>
        <w:rPr>
          <w:rFonts w:ascii="Times New Roman" w:cs="Times New Roman" w:eastAsia="Times New Roman" w:hAnsi="Times New Roman"/>
        </w:rPr>
        <w:t xml:space="preserve"> masquer un bouton ne suffit pas à sécuriser une fonction. Les droits doivent être vérifiés côté serveur pour chaque opération protégée, y compris pour les messages reçus par le canal temps réel.</w:t>
      </w:r>
    </w:p>
    <w:p>
      <w:pPr>
        <w:pStyle w:val="Heading1"/>
      </w:pPr>
      <w:bookmarkStart w:name="_h19" w:id="119"/>
      <w:r>
        <w:t xml:space="preserve">7. Description détaillée des fonctionnalités</w:t>
      </w:r>
      <w:bookmarkEnd w:id="119"/>
    </w:p>
    <w:p>
      <w:pPr>
        <w:pStyle w:val="Heading2"/>
      </w:pPr>
      <w:bookmarkStart w:name="_h20" w:id="120"/>
      <w:r>
        <w:t xml:space="preserve">7.1. Module de gestion des clients *</w:t>
      </w:r>
      <w:bookmarkEnd w:id="120"/>
    </w:p>
    <w:p>
      <w:pPr>
        <w:spacing w:after="120"/>
        <w:jc w:val="both"/>
      </w:pPr>
      <w:r>
        <w:rPr>
          <w:rFonts w:ascii="Times New Roman" w:cs="Times New Roman" w:eastAsia="Times New Roman" w:hAnsi="Times New Roman"/>
        </w:rPr>
        <w:t xml:space="preserve">L’application gère les organisations clientes du prestataire. Chaque client dispose d’un espace dont les données sont séparées de celles des autres clients (cf. §13.4).</w:t>
      </w:r>
    </w:p>
    <w:p>
      <w:pPr>
        <w:spacing w:after="120"/>
        <w:jc w:val="both"/>
      </w:pPr>
      <w:r>
        <w:rPr>
          <w:rFonts w:ascii="Times New Roman" w:cs="Times New Roman" w:eastAsia="Times New Roman" w:hAnsi="Times New Roman"/>
        </w:rPr>
        <w:t xml:space="preserve">Fonctionnalités attendues :</w:t>
      </w:r>
    </w:p>
    <w:p>
      <w:pPr>
        <w:pStyle w:val="ListParagraph"/>
        <w:numPr>
          <w:ilvl w:val="0"/>
          <w:numId w:val="2"/>
        </w:numPr>
        <w:spacing w:after="60"/>
      </w:pPr>
      <w:r>
        <w:rPr>
          <w:rFonts w:ascii="Times New Roman" w:cs="Times New Roman" w:eastAsia="Times New Roman" w:hAnsi="Times New Roman"/>
        </w:rPr>
        <w:t xml:space="preserve">création et modification d’une organisation cliente ;</w:t>
      </w:r>
    </w:p>
    <w:p>
      <w:pPr>
        <w:pStyle w:val="ListParagraph"/>
        <w:numPr>
          <w:ilvl w:val="0"/>
          <w:numId w:val="2"/>
        </w:numPr>
        <w:spacing w:after="60"/>
      </w:pPr>
      <w:r>
        <w:rPr>
          <w:rFonts w:ascii="Times New Roman" w:cs="Times New Roman" w:eastAsia="Times New Roman" w:hAnsi="Times New Roman"/>
        </w:rPr>
        <w:t xml:space="preserve">enregistrement du nom, du logo, des coordonnées et du responsable client ;</w:t>
      </w:r>
    </w:p>
    <w:p>
      <w:pPr>
        <w:pStyle w:val="ListParagraph"/>
        <w:numPr>
          <w:ilvl w:val="0"/>
          <w:numId w:val="2"/>
        </w:numPr>
        <w:spacing w:after="60"/>
      </w:pPr>
      <w:r>
        <w:rPr>
          <w:rFonts w:ascii="Times New Roman" w:cs="Times New Roman" w:eastAsia="Times New Roman" w:hAnsi="Times New Roman"/>
        </w:rPr>
        <w:t xml:space="preserve">rattachement des missions et des concours au client ;</w:t>
      </w:r>
    </w:p>
    <w:p>
      <w:pPr>
        <w:pStyle w:val="ListParagraph"/>
        <w:numPr>
          <w:ilvl w:val="0"/>
          <w:numId w:val="2"/>
        </w:numPr>
        <w:spacing w:after="60"/>
      </w:pPr>
      <w:r>
        <w:rPr>
          <w:rFonts w:ascii="Times New Roman" w:cs="Times New Roman" w:eastAsia="Times New Roman" w:hAnsi="Times New Roman"/>
        </w:rPr>
        <w:t xml:space="preserve">archivage des concours terminés ;</w:t>
      </w:r>
    </w:p>
    <w:p>
      <w:pPr>
        <w:pStyle w:val="ListParagraph"/>
        <w:numPr>
          <w:ilvl w:val="0"/>
          <w:numId w:val="2"/>
        </w:numPr>
        <w:spacing w:after="60"/>
      </w:pPr>
      <w:r>
        <w:rPr>
          <w:rFonts w:ascii="Times New Roman" w:cs="Times New Roman" w:eastAsia="Times New Roman" w:hAnsi="Times New Roman"/>
        </w:rPr>
        <w:t xml:space="preserve">consultation de l’historique des concours réalisés pour le client ;</w:t>
      </w:r>
    </w:p>
    <w:p>
      <w:pPr>
        <w:pStyle w:val="ListParagraph"/>
        <w:numPr>
          <w:ilvl w:val="0"/>
          <w:numId w:val="2"/>
        </w:numPr>
        <w:spacing w:after="60"/>
      </w:pPr>
      <w:r>
        <w:rPr>
          <w:rFonts w:ascii="Times New Roman" w:cs="Times New Roman" w:eastAsia="Times New Roman" w:hAnsi="Times New Roman"/>
        </w:rPr>
        <w:t xml:space="preserve">personnalisation visuelle des écrans (logo, couleurs) pour chaque client ;</w:t>
      </w:r>
    </w:p>
    <w:p>
      <w:pPr>
        <w:pStyle w:val="ListParagraph"/>
        <w:numPr>
          <w:ilvl w:val="0"/>
          <w:numId w:val="2"/>
        </w:numPr>
        <w:spacing w:after="60"/>
      </w:pPr>
      <w:r>
        <w:rPr>
          <w:rFonts w:ascii="Times New Roman" w:cs="Times New Roman" w:eastAsia="Times New Roman" w:hAnsi="Times New Roman"/>
        </w:rPr>
        <w:t xml:space="preserve">restitution des données du client (cf. §17).</w:t>
      </w:r>
    </w:p>
    <w:p>
      <w:pPr>
        <w:pStyle w:val="Heading2"/>
      </w:pPr>
      <w:bookmarkStart w:name="_h21" w:id="121"/>
      <w:r>
        <w:t xml:space="preserve">7.2. Module de création et de paramétrage des concours</w:t>
      </w:r>
      <w:bookmarkEnd w:id="121"/>
    </w:p>
    <w:p>
      <w:pPr>
        <w:spacing w:after="120"/>
        <w:jc w:val="both"/>
      </w:pPr>
      <w:r>
        <w:rPr>
          <w:rFonts w:ascii="Times New Roman" w:cs="Times New Roman" w:eastAsia="Times New Roman" w:hAnsi="Times New Roman"/>
        </w:rPr>
        <w:t xml:space="preserve">L’opérateur doit pouvoir créer un concours en définissant les paramètres suivants. La configuration est soumise à la validation du responsable client avant l’ouverture du concours.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4772"/>
      </w:tblGrid>
      <w:tr>
        <w:trPr>
          <w:cantSplit/>
          <w:tblHeader/>
        </w:trPr>
        <w:tc>
          <w:tcPr>
            <w:tcW w:type="dxa" w:w="2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Paramètre</w:t>
            </w:r>
          </w:p>
        </w:tc>
        <w:tc>
          <w:tcPr>
            <w:tcW w:type="dxa" w:w="1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Niveau</w:t>
            </w:r>
          </w:p>
        </w:tc>
        <w:tc>
          <w:tcPr>
            <w:tcW w:type="dxa" w:w="477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Description</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Nom du concours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Concours</w:t>
            </w:r>
          </w:p>
        </w:tc>
        <w:tc>
          <w:tcPr>
            <w:tcW w:type="dxa" w:w="4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Intitulé officiel de l’événement.</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Organisation</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Concours</w:t>
            </w:r>
          </w:p>
        </w:tc>
        <w:tc>
          <w:tcPr>
            <w:tcW w:type="dxa" w:w="4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Client pour lequel le concours est réalisé.</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Édition</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Concours</w:t>
            </w:r>
          </w:p>
        </w:tc>
        <w:tc>
          <w:tcPr>
            <w:tcW w:type="dxa" w:w="4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Millésime ou numéro d’édition.</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Format</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Concours</w:t>
            </w:r>
          </w:p>
        </w:tc>
        <w:tc>
          <w:tcPr>
            <w:tcW w:type="dxa" w:w="4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Présentiel (V1) ; en ligne ou hybride (V2).</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Dates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Concours</w:t>
            </w:r>
          </w:p>
        </w:tc>
        <w:tc>
          <w:tcPr>
            <w:tcW w:type="dxa" w:w="4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Dates de début et de fin.</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Version du corpus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Concours</w:t>
            </w:r>
          </w:p>
        </w:tc>
        <w:tc>
          <w:tcPr>
            <w:tcW w:type="dxa" w:w="4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Version du corpus coranique utilisée, figée à l’ouverture du concours (cf. §12.3).</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Catégories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Concours</w:t>
            </w:r>
          </w:p>
        </w:tc>
        <w:tc>
          <w:tcPr>
            <w:tcW w:type="dxa" w:w="4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Mémorisation, tajwid, tilawa, questions ou catégories personnalisées.</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Nombre de candidats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Catégorie</w:t>
            </w:r>
          </w:p>
        </w:tc>
        <w:tc>
          <w:tcPr>
            <w:tcW w:type="dxa" w:w="4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Effectif prévu ou limite d’inscription.</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Tirages par candidat (T)</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Épreuve</w:t>
            </w:r>
          </w:p>
        </w:tc>
        <w:tc>
          <w:tcPr>
            <w:tcW w:type="dxa" w:w="4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Nombre de tirages effectués par chaque candidat pour l’épreuve.</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Questions par série (P)</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Épreuve</w:t>
            </w:r>
          </w:p>
        </w:tc>
        <w:tc>
          <w:tcPr>
            <w:tcW w:type="dxa" w:w="4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Nombre de questions contenues dans chaque série du lot.</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Questions par candidat (Q)</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Épreuve</w:t>
            </w:r>
          </w:p>
        </w:tc>
        <w:tc>
          <w:tcPr>
            <w:tcW w:type="dxa" w:w="4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Valeur calculée : Q = T × P (non saisissable, cf. §8.2).</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Réutilisation des séries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Épreuve</w:t>
            </w:r>
          </w:p>
        </w:tc>
        <w:tc>
          <w:tcPr>
            <w:tcW w:type="dxa" w:w="4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Règles de réattribution des séries tirées (cf. RM-21).</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Mode d’affichage</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Épreuve</w:t>
            </w:r>
          </w:p>
        </w:tc>
        <w:tc>
          <w:tcPr>
            <w:tcW w:type="dxa" w:w="4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Arabe seul, ou arabe avec traduction française.</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Affichage sur l’écran scène</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Épreuve</w:t>
            </w:r>
          </w:p>
        </w:tc>
        <w:tc>
          <w:tcPr>
            <w:tcW w:type="dxa" w:w="4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Activé ou désactivé (cf. §9.1).</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Nombre de jurés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Concours, catégorie ou épreuve</w:t>
            </w:r>
          </w:p>
        </w:tc>
        <w:tc>
          <w:tcPr>
            <w:tcW w:type="dxa" w:w="4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Nombre de jurés affectés.</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Barème</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Épreuve</w:t>
            </w:r>
          </w:p>
        </w:tc>
        <w:tc>
          <w:tcPr>
            <w:tcW w:type="dxa" w:w="4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Critères, notes maximales et pondérations.</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Règles de classement</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Catégorie</w:t>
            </w:r>
          </w:p>
        </w:tc>
        <w:tc>
          <w:tcPr>
            <w:tcW w:type="dxa" w:w="4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Moyenne, total, élimination ou départage.</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Double validation</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Concours</w:t>
            </w:r>
          </w:p>
        </w:tc>
        <w:tc>
          <w:tcPr>
            <w:tcW w:type="dxa" w:w="4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Contre-validation du classement par un superviseur (V2).</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État</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Concours</w:t>
            </w:r>
          </w:p>
        </w:tc>
        <w:tc>
          <w:tcPr>
            <w:tcW w:type="dxa" w:w="4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Brouillon, ouvert, en cours, suspendu, terminé ou archivé.</w:t>
            </w:r>
          </w:p>
        </w:tc>
      </w:tr>
    </w:tbl>
    <w:p>
      <w:pPr>
        <w:spacing w:after="120"/>
      </w:pPr>
    </w:p>
    <w:p>
      <w:pPr>
        <w:spacing w:after="120"/>
        <w:jc w:val="both"/>
      </w:pPr>
      <w:r>
        <w:rPr>
          <w:rFonts w:ascii="Times New Roman" w:cs="Times New Roman" w:eastAsia="Times New Roman" w:hAnsi="Times New Roman"/>
        </w:rPr>
        <w:t xml:space="preserve">Les paramètres structurants (T, P, barème, règles de réutilisation, version du corpus) sont verrouillés lorsque le concours est en cours, sauf modification exceptionnelle motivée, approuvée par le responsable client et enregistrée dans l’historique.</w:t>
      </w:r>
    </w:p>
    <w:p>
      <w:pPr>
        <w:spacing w:after="120"/>
        <w:jc w:val="both"/>
      </w:pPr>
      <w:r>
        <w:rPr>
          <w:rFonts w:ascii="Times New Roman" w:cs="Times New Roman" w:eastAsia="Times New Roman" w:hAnsi="Times New Roman"/>
        </w:rPr>
        <w:t xml:space="preserve">L’application permet de </w:t>
      </w:r>
      <w:r>
        <w:rPr>
          <w:rFonts w:ascii="Times New Roman" w:cs="Times New Roman" w:eastAsia="Times New Roman" w:hAnsi="Times New Roman"/>
          <w:b/>
          <w:bCs/>
        </w:rPr>
        <w:t xml:space="preserve">dupliquer</w:t>
      </w:r>
      <w:r>
        <w:rPr>
          <w:rFonts w:ascii="Times New Roman" w:cs="Times New Roman" w:eastAsia="Times New Roman" w:hAnsi="Times New Roman"/>
        </w:rPr>
        <w:t xml:space="preserve"> un concours d’une édition précédente (catégories, épreuves, barèmes, séries) afin d’accélérer la préparation des missions récurrentes.</w:t>
      </w:r>
    </w:p>
    <w:p>
      <w:pPr>
        <w:pStyle w:val="Heading2"/>
      </w:pPr>
      <w:bookmarkStart w:name="_h22" w:id="122"/>
      <w:r>
        <w:t xml:space="preserve">7.3. Module de gestion des candidats</w:t>
      </w:r>
      <w:bookmarkEnd w:id="122"/>
    </w:p>
    <w:p>
      <w:pPr>
        <w:spacing w:after="120"/>
        <w:jc w:val="both"/>
      </w:pPr>
      <w:r>
        <w:rPr>
          <w:rFonts w:ascii="Times New Roman" w:cs="Times New Roman" w:eastAsia="Times New Roman" w:hAnsi="Times New Roman"/>
        </w:rPr>
        <w:t xml:space="preserve">Les candidats sont inscrits par l’opérateur à partir des informations transmises par le client ; ils ne s’inscrivent pas eux-mêmes.</w:t>
      </w:r>
    </w:p>
    <w:p>
      <w:pPr>
        <w:spacing w:after="120"/>
        <w:jc w:val="both"/>
      </w:pPr>
      <w:r>
        <w:rPr>
          <w:rFonts w:ascii="Times New Roman" w:cs="Times New Roman" w:eastAsia="Times New Roman" w:hAnsi="Times New Roman"/>
        </w:rPr>
        <w:t xml:space="preserve">L’opérateur pourra :</w:t>
      </w:r>
    </w:p>
    <w:p>
      <w:pPr>
        <w:pStyle w:val="ListParagraph"/>
        <w:numPr>
          <w:ilvl w:val="0"/>
          <w:numId w:val="2"/>
        </w:numPr>
        <w:spacing w:after="60"/>
      </w:pPr>
      <w:r>
        <w:rPr>
          <w:rFonts w:ascii="Times New Roman" w:cs="Times New Roman" w:eastAsia="Times New Roman" w:hAnsi="Times New Roman"/>
        </w:rPr>
        <w:t xml:space="preserve">importer la liste des candidats depuis un fichier CSV ou Excel selon un modèle fourni au client, avec contrôle des doublons et rapport d’erreurs ;</w:t>
      </w:r>
    </w:p>
    <w:p>
      <w:pPr>
        <w:pStyle w:val="ListParagraph"/>
        <w:numPr>
          <w:ilvl w:val="0"/>
          <w:numId w:val="2"/>
        </w:numPr>
        <w:spacing w:after="60"/>
      </w:pPr>
      <w:r>
        <w:rPr>
          <w:rFonts w:ascii="Times New Roman" w:cs="Times New Roman" w:eastAsia="Times New Roman" w:hAnsi="Times New Roman"/>
        </w:rPr>
        <w:t xml:space="preserve">ajouter, modifier ou retirer un candidat ;</w:t>
      </w:r>
    </w:p>
    <w:p>
      <w:pPr>
        <w:pStyle w:val="ListParagraph"/>
        <w:numPr>
          <w:ilvl w:val="0"/>
          <w:numId w:val="2"/>
        </w:numPr>
        <w:spacing w:after="60"/>
      </w:pPr>
      <w:r>
        <w:rPr>
          <w:rFonts w:ascii="Times New Roman" w:cs="Times New Roman" w:eastAsia="Times New Roman" w:hAnsi="Times New Roman"/>
        </w:rPr>
        <w:t xml:space="preserve">créer sa participation dans une catégorie et vérifier les conditions de participation ;</w:t>
      </w:r>
    </w:p>
    <w:p>
      <w:pPr>
        <w:pStyle w:val="ListParagraph"/>
        <w:numPr>
          <w:ilvl w:val="0"/>
          <w:numId w:val="2"/>
        </w:numPr>
        <w:spacing w:after="60"/>
      </w:pPr>
      <w:r>
        <w:rPr>
          <w:rFonts w:ascii="Times New Roman" w:cs="Times New Roman" w:eastAsia="Times New Roman" w:hAnsi="Times New Roman"/>
        </w:rPr>
        <w:t xml:space="preserve">lui attribuer un numéro unique ;</w:t>
      </w:r>
    </w:p>
    <w:p>
      <w:pPr>
        <w:pStyle w:val="ListParagraph"/>
        <w:numPr>
          <w:ilvl w:val="0"/>
          <w:numId w:val="2"/>
        </w:numPr>
        <w:spacing w:after="60"/>
      </w:pPr>
      <w:r>
        <w:rPr>
          <w:rFonts w:ascii="Times New Roman" w:cs="Times New Roman" w:eastAsia="Times New Roman" w:hAnsi="Times New Roman"/>
        </w:rPr>
        <w:t xml:space="preserve">enregistrer le consentement parental lorsque le candidat est mineur (cf. §16.2) ;</w:t>
      </w:r>
    </w:p>
    <w:p>
      <w:pPr>
        <w:pStyle w:val="ListParagraph"/>
        <w:numPr>
          <w:ilvl w:val="0"/>
          <w:numId w:val="2"/>
        </w:numPr>
        <w:spacing w:after="60"/>
      </w:pPr>
      <w:r>
        <w:rPr>
          <w:rFonts w:ascii="Times New Roman" w:cs="Times New Roman" w:eastAsia="Times New Roman" w:hAnsi="Times New Roman"/>
        </w:rPr>
        <w:t xml:space="preserve">générer l’ordre de passage (tirage au sort de l’ordre ou ordre fourni par le client) ;</w:t>
      </w:r>
    </w:p>
    <w:p>
      <w:pPr>
        <w:pStyle w:val="ListParagraph"/>
        <w:numPr>
          <w:ilvl w:val="0"/>
          <w:numId w:val="2"/>
        </w:numPr>
        <w:spacing w:after="60"/>
      </w:pPr>
      <w:r>
        <w:rPr>
          <w:rFonts w:ascii="Times New Roman" w:cs="Times New Roman" w:eastAsia="Times New Roman" w:hAnsi="Times New Roman"/>
        </w:rPr>
        <w:t xml:space="preserve">corriger une erreur avant le démarrage de sa prestation.</w:t>
      </w:r>
    </w:p>
    <w:p>
      <w:pPr>
        <w:spacing w:after="120"/>
        <w:jc w:val="both"/>
      </w:pPr>
      <w:r>
        <w:rPr>
          <w:rFonts w:ascii="Times New Roman" w:cs="Times New Roman" w:eastAsia="Times New Roman" w:hAnsi="Times New Roman"/>
        </w:rPr>
        <w:t xml:space="preserve">Les champs collectés respectent le principe de minimisation (cf. §16) : nom, prénom, date de naissance si la catégorie dépend de l’âge, sexe si pertinent, ville, structure représentée et catégorie.</w:t>
      </w:r>
    </w:p>
    <w:p>
      <w:pPr>
        <w:pStyle w:val="Heading2"/>
      </w:pPr>
      <w:bookmarkStart w:name="_h23" w:id="123"/>
      <w:r>
        <w:t xml:space="preserve">7.4. Module de gestion des jurys</w:t>
      </w:r>
      <w:bookmarkEnd w:id="123"/>
    </w:p>
    <w:p>
      <w:pPr>
        <w:spacing w:after="120"/>
        <w:jc w:val="both"/>
      </w:pPr>
      <w:r>
        <w:rPr>
          <w:rFonts w:ascii="Times New Roman" w:cs="Times New Roman" w:eastAsia="Times New Roman" w:hAnsi="Times New Roman"/>
        </w:rPr>
        <w:t xml:space="preserve">L’opérateur pourra :</w:t>
      </w:r>
    </w:p>
    <w:p>
      <w:pPr>
        <w:pStyle w:val="ListParagraph"/>
        <w:numPr>
          <w:ilvl w:val="0"/>
          <w:numId w:val="2"/>
        </w:numPr>
        <w:spacing w:after="60"/>
      </w:pPr>
      <w:r>
        <w:rPr>
          <w:rFonts w:ascii="Times New Roman" w:cs="Times New Roman" w:eastAsia="Times New Roman" w:hAnsi="Times New Roman"/>
        </w:rPr>
        <w:t xml:space="preserve">ajouter les jurés ;</w:t>
      </w:r>
    </w:p>
    <w:p>
      <w:pPr>
        <w:pStyle w:val="ListParagraph"/>
        <w:numPr>
          <w:ilvl w:val="0"/>
          <w:numId w:val="2"/>
        </w:numPr>
        <w:spacing w:after="60"/>
      </w:pPr>
      <w:r>
        <w:rPr>
          <w:rFonts w:ascii="Times New Roman" w:cs="Times New Roman" w:eastAsia="Times New Roman" w:hAnsi="Times New Roman"/>
        </w:rPr>
        <w:t xml:space="preserve">définir leur rôle et leurs catégories de compétence ;</w:t>
      </w:r>
    </w:p>
    <w:p>
      <w:pPr>
        <w:pStyle w:val="ListParagraph"/>
        <w:numPr>
          <w:ilvl w:val="0"/>
          <w:numId w:val="2"/>
        </w:numPr>
        <w:spacing w:after="60"/>
      </w:pPr>
      <w:r>
        <w:rPr>
          <w:rFonts w:ascii="Times New Roman" w:cs="Times New Roman" w:eastAsia="Times New Roman" w:hAnsi="Times New Roman"/>
        </w:rPr>
        <w:t xml:space="preserve">attribuer des épreuves ou des prestations à chaque juré ;</w:t>
      </w:r>
    </w:p>
    <w:p>
      <w:pPr>
        <w:pStyle w:val="ListParagraph"/>
        <w:numPr>
          <w:ilvl w:val="0"/>
          <w:numId w:val="2"/>
        </w:numPr>
        <w:spacing w:after="60"/>
      </w:pPr>
      <w:r>
        <w:rPr>
          <w:rFonts w:ascii="Times New Roman" w:cs="Times New Roman" w:eastAsia="Times New Roman" w:hAnsi="Times New Roman"/>
        </w:rPr>
        <w:t xml:space="preserve">définir le barème applicable ;</w:t>
      </w:r>
    </w:p>
    <w:p>
      <w:pPr>
        <w:pStyle w:val="ListParagraph"/>
        <w:numPr>
          <w:ilvl w:val="0"/>
          <w:numId w:val="2"/>
        </w:numPr>
        <w:spacing w:after="60"/>
      </w:pPr>
      <w:r>
        <w:rPr>
          <w:rFonts w:ascii="Times New Roman" w:cs="Times New Roman" w:eastAsia="Times New Roman" w:hAnsi="Times New Roman"/>
        </w:rPr>
        <w:t xml:space="preserve">suivre la saisie des notes ;</w:t>
      </w:r>
    </w:p>
    <w:p>
      <w:pPr>
        <w:pStyle w:val="ListParagraph"/>
        <w:numPr>
          <w:ilvl w:val="0"/>
          <w:numId w:val="2"/>
        </w:numPr>
        <w:spacing w:after="60"/>
      </w:pPr>
      <w:r>
        <w:rPr>
          <w:rFonts w:ascii="Times New Roman" w:cs="Times New Roman" w:eastAsia="Times New Roman" w:hAnsi="Times New Roman"/>
        </w:rPr>
        <w:t xml:space="preserve">détecter les évaluations manquantes ;</w:t>
      </w:r>
    </w:p>
    <w:p>
      <w:pPr>
        <w:pStyle w:val="ListParagraph"/>
        <w:numPr>
          <w:ilvl w:val="0"/>
          <w:numId w:val="2"/>
        </w:numPr>
        <w:spacing w:after="60"/>
      </w:pPr>
      <w:r>
        <w:rPr>
          <w:rFonts w:ascii="Times New Roman" w:cs="Times New Roman" w:eastAsia="Times New Roman" w:hAnsi="Times New Roman"/>
        </w:rPr>
        <w:t xml:space="preserve">clôturer la notation lorsque les conditions sont satisfaites.</w:t>
      </w:r>
    </w:p>
    <w:p>
      <w:pPr>
        <w:spacing w:after="120"/>
        <w:jc w:val="both"/>
      </w:pPr>
      <w:r>
        <w:rPr>
          <w:rFonts w:ascii="Times New Roman" w:cs="Times New Roman" w:eastAsia="Times New Roman" w:hAnsi="Times New Roman"/>
        </w:rPr>
        <w:t xml:space="preserve">Chaque juré dispose d’un accès personnel. En salle, il se connecte sur la tablette qui lui est attribuée au moyen d’un code personnel à usage limité à la session, généré par l’opérateur ; aucune adresse électronique n’est exigée. Il ne peut pas modifier les notes des autres jurés.</w:t>
      </w:r>
    </w:p>
    <w:p>
      <w:pPr>
        <w:spacing w:after="120"/>
        <w:jc w:val="both"/>
      </w:pPr>
      <w:r>
        <w:rPr>
          <w:rFonts w:ascii="Times New Roman" w:cs="Times New Roman" w:eastAsia="Times New Roman" w:hAnsi="Times New Roman"/>
        </w:rPr>
        <w:t xml:space="preserve">Le nombre de jurés pourra être défini globalement pour le concours ou séparément pour chaque catégorie ou épreuve. Cette distinction devra être prise en charge dans la conception.</w:t>
      </w:r>
    </w:p>
    <w:p>
      <w:pPr>
        <w:pStyle w:val="Heading1"/>
      </w:pPr>
      <w:bookmarkStart w:name="_h24" w:id="124"/>
      <w:r>
        <w:t xml:space="preserve">8. Module central : tirage au sort et gestion des passages coraniques</w:t>
      </w:r>
      <w:bookmarkEnd w:id="124"/>
    </w:p>
    <w:p>
      <w:pPr>
        <w:spacing w:after="120"/>
        <w:jc w:val="both"/>
      </w:pPr>
      <w:r>
        <w:rPr>
          <w:rFonts w:ascii="Times New Roman" w:cs="Times New Roman" w:eastAsia="Times New Roman" w:hAnsi="Times New Roman"/>
        </w:rPr>
        <w:t xml:space="preserve">Ce module représente la fonctionnalité distinctive de QURANOVA.</w:t>
      </w:r>
    </w:p>
    <w:p>
      <w:pPr>
        <w:pStyle w:val="Heading2"/>
      </w:pPr>
      <w:bookmarkStart w:name="_h25" w:id="125"/>
      <w:r>
        <w:t xml:space="preserve">8.1. Modèle de tirage retenu</w:t>
      </w:r>
      <w:bookmarkEnd w:id="125"/>
    </w:p>
    <w:p>
      <w:pPr>
        <w:spacing w:after="120"/>
        <w:jc w:val="both"/>
      </w:pPr>
      <w:r>
        <w:rPr>
          <w:rFonts w:ascii="Times New Roman" w:cs="Times New Roman" w:eastAsia="Times New Roman" w:hAnsi="Times New Roman"/>
        </w:rPr>
        <w:t xml:space="preserve">La version 1.0 décrivait deux modèles incompatibles (« le serveur choisit une série admissible » et « le candidat tire un lot de questions »). Le modèle unique retenu est le suivant :</w:t>
      </w:r>
    </w:p>
    <w:p>
      <w:pPr>
        <w:pStyle w:val="ListParagraph"/>
        <w:numPr>
          <w:ilvl w:val="0"/>
          <w:numId w:val="4"/>
        </w:numPr>
        <w:spacing w:after="60"/>
      </w:pPr>
      <w:r>
        <w:rPr>
          <w:rFonts w:ascii="Times New Roman" w:cs="Times New Roman" w:eastAsia="Times New Roman" w:hAnsi="Times New Roman"/>
        </w:rPr>
        <w:t xml:space="preserve">pour chaque épreuve, l’opérateur prépare un </w:t>
      </w:r>
      <w:r>
        <w:rPr>
          <w:rFonts w:ascii="Times New Roman" w:cs="Times New Roman" w:eastAsia="Times New Roman" w:hAnsi="Times New Roman"/>
          <w:b/>
          <w:bCs/>
        </w:rPr>
        <w:t xml:space="preserve">lot</w:t>
      </w:r>
      <w:r>
        <w:rPr>
          <w:rFonts w:ascii="Times New Roman" w:cs="Times New Roman" w:eastAsia="Times New Roman" w:hAnsi="Times New Roman"/>
        </w:rPr>
        <w:t xml:space="preserve"> composé de séries ; chaque </w:t>
      </w:r>
      <w:r>
        <w:rPr>
          <w:rFonts w:ascii="Times New Roman" w:cs="Times New Roman" w:eastAsia="Times New Roman" w:hAnsi="Times New Roman"/>
          <w:b/>
          <w:bCs/>
        </w:rPr>
        <w:t xml:space="preserve">série</w:t>
      </w:r>
      <w:r>
        <w:rPr>
          <w:rFonts w:ascii="Times New Roman" w:cs="Times New Roman" w:eastAsia="Times New Roman" w:hAnsi="Times New Roman"/>
        </w:rPr>
        <w:t xml:space="preserve"> contient exactement P </w:t>
      </w:r>
      <w:r>
        <w:rPr>
          <w:rFonts w:ascii="Times New Roman" w:cs="Times New Roman" w:eastAsia="Times New Roman" w:hAnsi="Times New Roman"/>
          <w:b/>
          <w:bCs/>
        </w:rPr>
        <w:t xml:space="preserve">questions</w:t>
      </w:r>
      <w:r>
        <w:rPr>
          <w:rFonts w:ascii="Times New Roman" w:cs="Times New Roman" w:eastAsia="Times New Roman" w:hAnsi="Times New Roman"/>
        </w:rPr>
        <w:t xml:space="preserve"> ;</w:t>
      </w:r>
    </w:p>
    <w:p>
      <w:pPr>
        <w:pStyle w:val="ListParagraph"/>
        <w:numPr>
          <w:ilvl w:val="0"/>
          <w:numId w:val="4"/>
        </w:numPr>
        <w:spacing w:after="60"/>
      </w:pPr>
      <w:r>
        <w:rPr>
          <w:rFonts w:ascii="Times New Roman" w:cs="Times New Roman" w:eastAsia="Times New Roman" w:hAnsi="Times New Roman"/>
        </w:rPr>
        <w:t xml:space="preserve">le candidat </w:t>
      </w:r>
      <w:r>
        <w:rPr>
          <w:rFonts w:ascii="Times New Roman" w:cs="Times New Roman" w:eastAsia="Times New Roman" w:hAnsi="Times New Roman"/>
          <w:b/>
          <w:bCs/>
        </w:rPr>
        <w:t xml:space="preserve">déclenche</w:t>
      </w:r>
      <w:r>
        <w:rPr>
          <w:rFonts w:ascii="Times New Roman" w:cs="Times New Roman" w:eastAsia="Times New Roman" w:hAnsi="Times New Roman"/>
        </w:rPr>
        <w:t xml:space="preserve"> le tirage par une action explicite ; il ne choisit ni la série ni son contenu ;</w:t>
      </w:r>
    </w:p>
    <w:p>
      <w:pPr>
        <w:pStyle w:val="ListParagraph"/>
        <w:numPr>
          <w:ilvl w:val="0"/>
          <w:numId w:val="4"/>
        </w:numPr>
        <w:spacing w:after="60"/>
      </w:pPr>
      <w:r>
        <w:rPr>
          <w:rFonts w:ascii="Times New Roman" w:cs="Times New Roman" w:eastAsia="Times New Roman" w:hAnsi="Times New Roman"/>
        </w:rPr>
        <w:t xml:space="preserve">le </w:t>
      </w:r>
      <w:r>
        <w:rPr>
          <w:rFonts w:ascii="Times New Roman" w:cs="Times New Roman" w:eastAsia="Times New Roman" w:hAnsi="Times New Roman"/>
          <w:b/>
          <w:bCs/>
        </w:rPr>
        <w:t xml:space="preserve">serveur</w:t>
      </w:r>
      <w:r>
        <w:rPr>
          <w:rFonts w:ascii="Times New Roman" w:cs="Times New Roman" w:eastAsia="Times New Roman" w:hAnsi="Times New Roman"/>
        </w:rPr>
        <w:t xml:space="preserve"> sélectionne aléatoirement une série parmi les séries disponibles du lot, à l’aide d’un générateur aléatoire cryptographiquement sûr ;</w:t>
      </w:r>
    </w:p>
    <w:p>
      <w:pPr>
        <w:pStyle w:val="ListParagraph"/>
        <w:numPr>
          <w:ilvl w:val="0"/>
          <w:numId w:val="4"/>
        </w:numPr>
        <w:spacing w:after="60"/>
      </w:pPr>
      <w:r>
        <w:rPr>
          <w:rFonts w:ascii="Times New Roman" w:cs="Times New Roman" w:eastAsia="Times New Roman" w:hAnsi="Times New Roman"/>
        </w:rPr>
        <w:t xml:space="preserve">la série tirée est enregistrée avant toute communication du résultat ; elle est ensuite indisponible selon les règles de réutilisation (RM-21).</w:t>
      </w:r>
    </w:p>
    <w:p>
      <w:pPr>
        <w:spacing w:after="120"/>
        <w:jc w:val="both"/>
      </w:pPr>
      <w:r>
        <w:rPr>
          <w:rFonts w:ascii="Times New Roman" w:cs="Times New Roman" w:eastAsia="Times New Roman" w:hAnsi="Times New Roman"/>
        </w:rPr>
        <w:t xml:space="preserve">Une éventuelle animation sur l’écran de tirage (cartes qui se retournent, roue, etc.) est purement décorative : le résultat est déterminé et enregistré par le serveur avant le début de l’animation.</w:t>
      </w:r>
    </w:p>
    <w:p>
      <w:pPr>
        <w:pStyle w:val="Heading2"/>
      </w:pPr>
      <w:bookmarkStart w:name="_h26" w:id="126"/>
      <w:r>
        <w:t xml:space="preserve">8.2. Articulation des paramètres quantitatifs</w:t>
      </w:r>
      <w:bookmarkEnd w:id="126"/>
    </w:p>
    <w:p>
      <w:pPr>
        <w:spacing w:after="120"/>
        <w:jc w:val="both"/>
      </w:pPr>
      <w:r>
        <w:rPr>
          <w:rFonts w:ascii="Times New Roman" w:cs="Times New Roman" w:eastAsia="Times New Roman" w:hAnsi="Times New Roman"/>
        </w:rPr>
        <w:t xml:space="preserve">Les notions « nombre de questions par candidat » (§7.2), « nombre de passages par choix » (version 1.0), « nombre de tirages par candidat » et « nombre de passages par tirage » sont articulées comme suit, pour une épreuve donnée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1100"/>
        <w:gridCol w:w="5072"/>
      </w:tblGrid>
      <w:tr>
        <w:trPr>
          <w:cantSplit/>
          <w:tblHeader/>
        </w:trPr>
        <w:tc>
          <w:tcPr>
            <w:tcW w:type="dxa" w:w="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Symbole</w:t>
            </w:r>
          </w:p>
        </w:tc>
        <w:tc>
          <w:tcPr>
            <w:tcW w:type="dxa" w:w="2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Paramètre</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Saisie</w:t>
            </w:r>
          </w:p>
        </w:tc>
        <w:tc>
          <w:tcPr>
            <w:tcW w:type="dxa" w:w="507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Définition</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P</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Questions par série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Saisi</w:t>
            </w:r>
          </w:p>
        </w:tc>
        <w:tc>
          <w:tcPr>
            <w:tcW w:type="dxa" w:w="50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Nombre de questions contenues dans chaque série du lot ; équivaut au nombre de passages coraniques attribués par tirage (ex-« nombre de passages par choix »).</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T</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Tirages par candidat</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Saisi</w:t>
            </w:r>
          </w:p>
        </w:tc>
        <w:tc>
          <w:tcPr>
            <w:tcW w:type="dxa" w:w="50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Nombre de tirages successifs effectués par chaque candidat pour l’épreuve (valeur par défaut : 1).</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Q</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Questions par candidat</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Calculé</w:t>
            </w:r>
          </w:p>
        </w:tc>
        <w:tc>
          <w:tcPr>
            <w:tcW w:type="dxa" w:w="50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Q = T × P.</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S</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Séries dans le lot</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Constaté</w:t>
            </w:r>
          </w:p>
        </w:tc>
        <w:tc>
          <w:tcPr>
            <w:tcW w:type="dxa" w:w="50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Nombre de séries effectivement préparées dans le lot.</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N</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Candidats de l’épreuve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Constaté</w:t>
            </w:r>
          </w:p>
        </w:tc>
        <w:tc>
          <w:tcPr>
            <w:tcW w:type="dxa" w:w="50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Nombre de participations admises à l’épreuve.</w:t>
            </w:r>
          </w:p>
        </w:tc>
      </w:tr>
    </w:tbl>
    <w:p>
      <w:pPr>
        <w:spacing w:after="120"/>
      </w:pPr>
    </w:p>
    <w:p>
      <w:pPr>
        <w:keepNext/>
        <w:keepLines/>
        <w:pBdr>
          <w:top w:val="single" w:color="808080" w:sz="4" w:space="4"/>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Épreuve</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 Lot  (S séries)</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 Série  (exactement P questions)</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 Question = Passage coranique  (n versets)</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 Diapositive(s)  (1 verset ou 1 segment de verset)</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Participation ──► T tirages ──► T séries ──► Q = T × P questions</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Exemple : P = 3, T = 1  →  chaque candidat reçoit 1 série de 3 passages</w:t>
      </w:r>
    </w:p>
    <w:p>
      <w:pPr>
        <w:keepNext w:val="false"/>
        <w:keepLines/>
        <w:pBdr>
          <w:left w:val="single" w:color="808080" w:sz="4" w:space="4"/>
          <w:bottom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P = 2, T = 2  →  chaque candidat reçoit 2 séries, soit 4 passages</w:t>
      </w:r>
    </w:p>
    <w:p>
      <w:pPr>
        <w:spacing w:after="120"/>
      </w:pPr>
    </w:p>
    <w:p>
      <w:pPr>
        <w:spacing w:after="120"/>
        <w:jc w:val="both"/>
      </w:pPr>
      <w:r>
        <w:rPr>
          <w:rFonts w:ascii="Times New Roman" w:cs="Times New Roman" w:eastAsia="Times New Roman" w:hAnsi="Times New Roman"/>
          <w:b/>
          <w:bCs/>
        </w:rPr>
        <w:t xml:space="preserve">Contrôle de suffisance du lot.</w:t>
      </w:r>
      <w:r>
        <w:rPr>
          <w:rFonts w:ascii="Times New Roman" w:cs="Times New Roman" w:eastAsia="Times New Roman" w:hAnsi="Times New Roman"/>
        </w:rPr>
        <w:t xml:space="preserve"> Avant l’ouverture de l’épreuve, le système vérifie que le lot permet de servir tous les tirages prévus compte tenu des règles de réutilisation (RM-24) :</w:t>
      </w:r>
    </w:p>
    <w:p>
      <w:pPr>
        <w:pStyle w:val="ListParagraph"/>
        <w:numPr>
          <w:ilvl w:val="0"/>
          <w:numId w:val="2"/>
        </w:numPr>
        <w:spacing w:after="60"/>
      </w:pPr>
      <w:r>
        <w:rPr>
          <w:rFonts w:ascii="Times New Roman" w:cs="Times New Roman" w:eastAsia="Times New Roman" w:hAnsi="Times New Roman"/>
        </w:rPr>
        <w:t xml:space="preserve">si une série tirée est exclue pour tous les candidats (réglage par défaut) : S ≥ N × T ;</w:t>
      </w:r>
    </w:p>
    <w:p>
      <w:pPr>
        <w:pStyle w:val="ListParagraph"/>
        <w:numPr>
          <w:ilvl w:val="0"/>
          <w:numId w:val="2"/>
        </w:numPr>
        <w:spacing w:after="60"/>
      </w:pPr>
      <w:r>
        <w:rPr>
          <w:rFonts w:ascii="Times New Roman" w:cs="Times New Roman" w:eastAsia="Times New Roman" w:hAnsi="Times New Roman"/>
        </w:rPr>
        <w:t xml:space="preserve">si une série peut être réattribuée à d’autres candidats : S ≥ T (un candidat ne reçoit jamais deux fois la même série dans une épreuve).</w:t>
      </w:r>
    </w:p>
    <w:p>
      <w:pPr>
        <w:spacing w:after="120"/>
        <w:jc w:val="both"/>
      </w:pPr>
      <w:r>
        <w:rPr>
          <w:rFonts w:ascii="Times New Roman" w:cs="Times New Roman" w:eastAsia="Times New Roman" w:hAnsi="Times New Roman"/>
        </w:rPr>
        <w:t xml:space="preserve">Si la condition n’est pas remplie, l’ouverture de l’épreuve est bloquée et le système indique le nombre de séries manquantes.</w:t>
      </w:r>
    </w:p>
    <w:p>
      <w:pPr>
        <w:pStyle w:val="Heading2"/>
      </w:pPr>
      <w:bookmarkStart w:name="_h27" w:id="127"/>
      <w:r>
        <w:t xml:space="preserve">8.3. Cycle d’un tirage et d’une prestation</w:t>
      </w:r>
      <w:bookmarkEnd w:id="127"/>
    </w:p>
    <w:p>
      <w:pPr>
        <w:spacing w:after="120"/>
        <w:jc w:val="both"/>
      </w:pPr>
      <w:r>
        <w:rPr>
          <w:rFonts w:ascii="Times New Roman" w:cs="Times New Roman" w:eastAsia="Times New Roman" w:hAnsi="Times New Roman"/>
        </w:rPr>
        <w:t xml:space="preserve">Le déroulement d’une prestation suit le cycle ci-dessous. Chaque transition est horodatée, enregistrée par le serveur et diffusée aux écrans autorisés.</w:t>
      </w:r>
    </w:p>
    <w:p>
      <w:pPr>
        <w:keepNext/>
        <w:keepLines/>
        <w:pBdr>
          <w:top w:val="single" w:color="808080" w:sz="4" w:space="4"/>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[1] PRÉPARATION        Opérateur   : lot complet, jurés affectés, candidat appelé</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               État : EN_ATTENTE</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[2] TIRAGE             Candidat : clic « Effectuer mon tirage »</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               Serveur : contrôles + sélection aléatoire</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[3] VALIDATION         Serveur : enregistrement transactionnel du tirage</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               puis diffusion du résultat (« Série 4 »)</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               État : TIRÉ</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[4] AFFICHAGE          Opérateur   : « Démarrer la prestation »</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               Diapositive par diapositive, sur commande manuelle</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               État : EN_AFFICHAGE  (⇄ EN_PAUSE)</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[5] NOTATION           Jurés : saisie possible dès l'état EN_AFFICHAGE,</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               validation après « Terminer la prestation »</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               État : EN_NOTATION</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[6] CLÔTURE            Opérateur   : clôture lorsque toutes les évaluations</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requises sont validées</w:t>
      </w:r>
    </w:p>
    <w:p>
      <w:pPr>
        <w:keepNext w:val="false"/>
        <w:keepLines/>
        <w:pBdr>
          <w:left w:val="single" w:color="808080" w:sz="4" w:space="4"/>
          <w:bottom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État : CLÔTURÉE   (incident possible : ANNULÉE)</w:t>
      </w:r>
    </w:p>
    <w:p>
      <w:pPr>
        <w:spacing w:after="120"/>
      </w:pPr>
    </w:p>
    <w:p>
      <w:pPr>
        <w:keepNext/>
        <w:spacing w:after="80" w:before="120"/>
      </w:pPr>
      <w:r>
        <w:rPr>
          <w:rFonts w:ascii="Times New Roman" w:cs="Times New Roman" w:eastAsia="Times New Roman" w:hAnsi="Times New Roman"/>
          <w:b/>
          <w:bCs/>
        </w:rPr>
        <w:t xml:space="preserve">Étape 1 — Préparation</w:t>
      </w:r>
    </w:p>
    <w:p>
      <w:pPr>
        <w:pStyle w:val="ListParagraph"/>
        <w:numPr>
          <w:ilvl w:val="0"/>
          <w:numId w:val="2"/>
        </w:numPr>
        <w:spacing w:after="60"/>
      </w:pPr>
      <w:r>
        <w:rPr>
          <w:rFonts w:ascii="Times New Roman" w:cs="Times New Roman" w:eastAsia="Times New Roman" w:hAnsi="Times New Roman"/>
        </w:rPr>
        <w:t xml:space="preserve">l’opérateur compose le lot de l’épreuve : séries et questions (passages coraniques définis selon §8.4) ;</w:t>
      </w:r>
    </w:p>
    <w:p>
      <w:pPr>
        <w:pStyle w:val="ListParagraph"/>
        <w:numPr>
          <w:ilvl w:val="0"/>
          <w:numId w:val="2"/>
        </w:numPr>
        <w:spacing w:after="60"/>
      </w:pPr>
      <w:r>
        <w:rPr>
          <w:rFonts w:ascii="Times New Roman" w:cs="Times New Roman" w:eastAsia="Times New Roman" w:hAnsi="Times New Roman"/>
        </w:rPr>
        <w:t xml:space="preserve">il fixe P et T (cf. §8.2), le mode d’affichage (arabe seul ou arabe avec traduction) et les règles de réutilisation ;</w:t>
      </w:r>
    </w:p>
    <w:p>
      <w:pPr>
        <w:pStyle w:val="ListParagraph"/>
        <w:numPr>
          <w:ilvl w:val="0"/>
          <w:numId w:val="2"/>
        </w:numPr>
        <w:spacing w:after="60"/>
      </w:pPr>
      <w:r>
        <w:rPr>
          <w:rFonts w:ascii="Times New Roman" w:cs="Times New Roman" w:eastAsia="Times New Roman" w:hAnsi="Times New Roman"/>
        </w:rPr>
        <w:t xml:space="preserve">le texte des versets provient exclusivement du corpus de référence décrit en §12.</w:t>
      </w:r>
    </w:p>
    <w:p>
      <w:pPr>
        <w:keepNext/>
        <w:spacing w:after="80" w:before="120"/>
      </w:pPr>
      <w:r>
        <w:rPr>
          <w:rFonts w:ascii="Times New Roman" w:cs="Times New Roman" w:eastAsia="Times New Roman" w:hAnsi="Times New Roman"/>
          <w:b/>
          <w:bCs/>
        </w:rPr>
        <w:t xml:space="preserve">Étape 2 — Tirage du candidat</w:t>
      </w:r>
    </w:p>
    <w:p>
      <w:pPr>
        <w:spacing w:after="120"/>
        <w:jc w:val="both"/>
      </w:pPr>
      <w:r>
        <w:rPr>
          <w:rFonts w:ascii="Times New Roman" w:cs="Times New Roman" w:eastAsia="Times New Roman" w:hAnsi="Times New Roman"/>
        </w:rPr>
        <w:t xml:space="preserve">Le candidat clique pour déclencher le tirage autorisé (cf. §8.5).</w:t>
      </w:r>
    </w:p>
    <w:p>
      <w:pPr>
        <w:keepNext/>
        <w:spacing w:after="80" w:before="120"/>
      </w:pPr>
      <w:r>
        <w:rPr>
          <w:rFonts w:ascii="Times New Roman" w:cs="Times New Roman" w:eastAsia="Times New Roman" w:hAnsi="Times New Roman"/>
          <w:b/>
          <w:bCs/>
        </w:rPr>
        <w:t xml:space="preserve">Étape 3 — Validation du tirage</w:t>
      </w:r>
    </w:p>
    <w:p>
      <w:pPr>
        <w:spacing w:after="120"/>
        <w:jc w:val="both"/>
      </w:pPr>
      <w:r>
        <w:rPr>
          <w:rFonts w:ascii="Times New Roman" w:cs="Times New Roman" w:eastAsia="Times New Roman" w:hAnsi="Times New Roman"/>
        </w:rPr>
        <w:t xml:space="preserve">La série est attribuée, enregistrée par le serveur, puis communiquée aux écrans autorisés.</w:t>
      </w:r>
    </w:p>
    <w:p>
      <w:pPr>
        <w:keepNext/>
        <w:spacing w:after="80" w:before="120"/>
      </w:pPr>
      <w:r>
        <w:rPr>
          <w:rFonts w:ascii="Times New Roman" w:cs="Times New Roman" w:eastAsia="Times New Roman" w:hAnsi="Times New Roman"/>
          <w:b/>
          <w:bCs/>
        </w:rPr>
        <w:t xml:space="preserve">Étape 4 — Affichage des versets</w:t>
      </w:r>
    </w:p>
    <w:p>
      <w:pPr>
        <w:spacing w:after="120"/>
        <w:jc w:val="both"/>
      </w:pPr>
      <w:r>
        <w:rPr>
          <w:rFonts w:ascii="Times New Roman" w:cs="Times New Roman" w:eastAsia="Times New Roman" w:hAnsi="Times New Roman"/>
        </w:rPr>
        <w:t xml:space="preserve">Les écrans autorisés reçoivent la série et affichent ses questions dans l’ordre, diapositive par diapositive. Un clic de l’opérateur fait avancer l’affichage vers la diapositive suivante jusqu’à la fin de la série. Des </w:t>
      </w:r>
      <w:r>
        <w:rPr>
          <w:rFonts w:ascii="Times New Roman" w:cs="Times New Roman" w:eastAsia="Times New Roman" w:hAnsi="Times New Roman"/>
          <w:b/>
          <w:bCs/>
        </w:rPr>
        <w:t xml:space="preserve">diapositives intercalaires</w:t>
      </w:r>
      <w:r>
        <w:rPr>
          <w:rFonts w:ascii="Times New Roman" w:cs="Times New Roman" w:eastAsia="Times New Roman" w:hAnsi="Times New Roman"/>
        </w:rPr>
        <w:t xml:space="preserve"> marquent les transitions : « Question 1/3 — Sourate 2, versets 142 à 150 » avant chaque question, « Fin de la question » après chaque question et « Fin de la série » à la fin.</w:t>
      </w:r>
    </w:p>
    <w:p>
      <w:pPr>
        <w:keepNext/>
        <w:spacing w:after="80" w:before="120"/>
      </w:pPr>
      <w:r>
        <w:rPr>
          <w:rFonts w:ascii="Times New Roman" w:cs="Times New Roman" w:eastAsia="Times New Roman" w:hAnsi="Times New Roman"/>
          <w:b/>
          <w:bCs/>
        </w:rPr>
        <w:t xml:space="preserve">Étape 5 — Notation</w:t>
      </w:r>
    </w:p>
    <w:p>
      <w:pPr>
        <w:spacing w:after="120"/>
        <w:jc w:val="both"/>
      </w:pPr>
      <w:r>
        <w:rPr>
          <w:rFonts w:ascii="Times New Roman" w:cs="Times New Roman" w:eastAsia="Times New Roman" w:hAnsi="Times New Roman"/>
        </w:rPr>
        <w:t xml:space="preserve">Les jurés saisissent leurs notes dans leur interface dédiée (cf. §10).</w:t>
      </w:r>
    </w:p>
    <w:p>
      <w:pPr>
        <w:keepNext/>
        <w:spacing w:after="80" w:before="120"/>
      </w:pPr>
      <w:r>
        <w:rPr>
          <w:rFonts w:ascii="Times New Roman" w:cs="Times New Roman" w:eastAsia="Times New Roman" w:hAnsi="Times New Roman"/>
          <w:b/>
          <w:bCs/>
        </w:rPr>
        <w:t xml:space="preserve">Étape 6 — Clôture</w:t>
      </w:r>
    </w:p>
    <w:p>
      <w:pPr>
        <w:spacing w:after="120"/>
        <w:jc w:val="both"/>
      </w:pPr>
      <w:r>
        <w:rPr>
          <w:rFonts w:ascii="Times New Roman" w:cs="Times New Roman" w:eastAsia="Times New Roman" w:hAnsi="Times New Roman"/>
        </w:rPr>
        <w:t xml:space="preserve">L’opérateur termine la prestation et autorise la validation des résultats.</w:t>
      </w:r>
    </w:p>
    <w:p>
      <w:pPr>
        <w:pStyle w:val="Heading2"/>
      </w:pPr>
      <w:bookmarkStart w:name="_h28" w:id="128"/>
      <w:r>
        <w:t xml:space="preserve">8.4. Définition des questions par références coraniques</w:t>
      </w:r>
      <w:bookmarkEnd w:id="128"/>
    </w:p>
    <w:p>
      <w:pPr>
        <w:spacing w:after="120"/>
        <w:jc w:val="both"/>
      </w:pPr>
      <w:r>
        <w:rPr>
          <w:rFonts w:ascii="Times New Roman" w:cs="Times New Roman" w:eastAsia="Times New Roman" w:hAnsi="Times New Roman"/>
        </w:rPr>
        <w:t xml:space="preserve">L’opérateur ne devra pas être obligé de saisir manuellement le texte des versets. Pour créer une question de type passage coranique, il renseignera uniquement :</w:t>
      </w:r>
    </w:p>
    <w:p>
      <w:pPr>
        <w:pStyle w:val="ListParagraph"/>
        <w:numPr>
          <w:ilvl w:val="0"/>
          <w:numId w:val="2"/>
        </w:numPr>
        <w:spacing w:after="60"/>
      </w:pPr>
      <w:r>
        <w:rPr>
          <w:rFonts w:ascii="Times New Roman" w:cs="Times New Roman" w:eastAsia="Times New Roman" w:hAnsi="Times New Roman"/>
        </w:rPr>
        <w:t xml:space="preserve">la sourate de début ;</w:t>
      </w:r>
    </w:p>
    <w:p>
      <w:pPr>
        <w:pStyle w:val="ListParagraph"/>
        <w:numPr>
          <w:ilvl w:val="0"/>
          <w:numId w:val="2"/>
        </w:numPr>
        <w:spacing w:after="60"/>
      </w:pPr>
      <w:r>
        <w:rPr>
          <w:rFonts w:ascii="Times New Roman" w:cs="Times New Roman" w:eastAsia="Times New Roman" w:hAnsi="Times New Roman"/>
        </w:rPr>
        <w:t xml:space="preserve">le numéro du verset de début ;</w:t>
      </w:r>
    </w:p>
    <w:p>
      <w:pPr>
        <w:pStyle w:val="ListParagraph"/>
        <w:numPr>
          <w:ilvl w:val="0"/>
          <w:numId w:val="2"/>
        </w:numPr>
        <w:spacing w:after="60"/>
      </w:pPr>
      <w:r>
        <w:rPr>
          <w:rFonts w:ascii="Times New Roman" w:cs="Times New Roman" w:eastAsia="Times New Roman" w:hAnsi="Times New Roman"/>
        </w:rPr>
        <w:t xml:space="preserve">la sourate de fin ;</w:t>
      </w:r>
    </w:p>
    <w:p>
      <w:pPr>
        <w:pStyle w:val="ListParagraph"/>
        <w:numPr>
          <w:ilvl w:val="0"/>
          <w:numId w:val="2"/>
        </w:numPr>
        <w:spacing w:after="60"/>
      </w:pPr>
      <w:r>
        <w:rPr>
          <w:rFonts w:ascii="Times New Roman" w:cs="Times New Roman" w:eastAsia="Times New Roman" w:hAnsi="Times New Roman"/>
        </w:rPr>
        <w:t xml:space="preserve">le numéro du verset de fin.</w:t>
      </w:r>
    </w:p>
    <w:p>
      <w:pPr>
        <w:spacing w:after="120"/>
        <w:jc w:val="both"/>
      </w:pPr>
      <w:r>
        <w:rPr>
          <w:rFonts w:ascii="Times New Roman" w:cs="Times New Roman" w:eastAsia="Times New Roman" w:hAnsi="Times New Roman"/>
        </w:rPr>
        <w:t xml:space="preserve">Exemple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500"/>
        <w:gridCol w:w="1300"/>
        <w:gridCol w:w="3472"/>
      </w:tblGrid>
      <w:tr>
        <w:trPr>
          <w:cantSplit/>
          <w:tblHeader/>
        </w:trPr>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Sourate de début</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Verset de début</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Sourate de fin</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Verset de fin</w:t>
            </w:r>
          </w:p>
        </w:tc>
        <w:tc>
          <w:tcPr>
            <w:tcW w:type="dxa" w:w="347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Passage coranique enregistré</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Sourate 2</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142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Sourate 2</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150</w:t>
            </w:r>
          </w:p>
        </w:tc>
        <w:tc>
          <w:tcPr>
            <w:tcW w:type="dxa" w:w="34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Sourate 2, versets 142 à 150 inclus, soit 9 versets.</w:t>
            </w:r>
          </w:p>
        </w:tc>
      </w:tr>
    </w:tbl>
    <w:p>
      <w:pPr>
        <w:spacing w:after="120"/>
      </w:pPr>
    </w:p>
    <w:p>
      <w:pPr>
        <w:spacing w:after="120"/>
        <w:jc w:val="both"/>
      </w:pPr>
      <w:r>
        <w:rPr>
          <w:rFonts w:ascii="Times New Roman" w:cs="Times New Roman" w:eastAsia="Times New Roman" w:hAnsi="Times New Roman"/>
        </w:rPr>
        <w:t xml:space="preserve">Le système devra ensuite :</w:t>
      </w:r>
    </w:p>
    <w:p>
      <w:pPr>
        <w:pStyle w:val="ListParagraph"/>
        <w:numPr>
          <w:ilvl w:val="0"/>
          <w:numId w:val="5"/>
        </w:numPr>
        <w:spacing w:after="60"/>
      </w:pPr>
      <w:r>
        <w:rPr>
          <w:rFonts w:ascii="Times New Roman" w:cs="Times New Roman" w:eastAsia="Times New Roman" w:hAnsi="Times New Roman"/>
        </w:rPr>
        <w:t xml:space="preserve">vérifier que les références existent dans la version du corpus du concours ;</w:t>
      </w:r>
    </w:p>
    <w:p>
      <w:pPr>
        <w:pStyle w:val="ListParagraph"/>
        <w:numPr>
          <w:ilvl w:val="0"/>
          <w:numId w:val="5"/>
        </w:numPr>
        <w:spacing w:after="60"/>
      </w:pPr>
      <w:r>
        <w:rPr>
          <w:rFonts w:ascii="Times New Roman" w:cs="Times New Roman" w:eastAsia="Times New Roman" w:hAnsi="Times New Roman"/>
        </w:rPr>
        <w:t xml:space="preserve">vérifier la cohérence du début et de la fin (la fin ne précède pas le début dans l’ordre canonique) ;</w:t>
      </w:r>
    </w:p>
    <w:p>
      <w:pPr>
        <w:pStyle w:val="ListParagraph"/>
        <w:numPr>
          <w:ilvl w:val="0"/>
          <w:numId w:val="5"/>
        </w:numPr>
        <w:spacing w:after="60"/>
      </w:pPr>
      <w:r>
        <w:rPr>
          <w:rFonts w:ascii="Times New Roman" w:cs="Times New Roman" w:eastAsia="Times New Roman" w:hAnsi="Times New Roman"/>
        </w:rPr>
        <w:t xml:space="preserve">récupérer le texte arabe depuis le corpus de référence validé (cf. §12) ;</w:t>
      </w:r>
    </w:p>
    <w:p>
      <w:pPr>
        <w:pStyle w:val="ListParagraph"/>
        <w:numPr>
          <w:ilvl w:val="0"/>
          <w:numId w:val="5"/>
        </w:numPr>
        <w:spacing w:after="60"/>
      </w:pPr>
      <w:r>
        <w:rPr>
          <w:rFonts w:ascii="Times New Roman" w:cs="Times New Roman" w:eastAsia="Times New Roman" w:hAnsi="Times New Roman"/>
        </w:rPr>
        <w:t xml:space="preserve">récupérer la traduction française validée, si le mode d’affichage l’exige ;</w:t>
      </w:r>
    </w:p>
    <w:p>
      <w:pPr>
        <w:pStyle w:val="ListParagraph"/>
        <w:numPr>
          <w:ilvl w:val="0"/>
          <w:numId w:val="5"/>
        </w:numPr>
        <w:spacing w:after="60"/>
      </w:pPr>
      <w:r>
        <w:rPr>
          <w:rFonts w:ascii="Times New Roman" w:cs="Times New Roman" w:eastAsia="Times New Roman" w:hAnsi="Times New Roman"/>
        </w:rPr>
        <w:t xml:space="preserve">enregistrer la question dans la banque de questions de l’organisation ;</w:t>
      </w:r>
    </w:p>
    <w:p>
      <w:pPr>
        <w:pStyle w:val="ListParagraph"/>
        <w:numPr>
          <w:ilvl w:val="0"/>
          <w:numId w:val="5"/>
        </w:numPr>
        <w:spacing w:after="60"/>
      </w:pPr>
      <w:r>
        <w:rPr>
          <w:rFonts w:ascii="Times New Roman" w:cs="Times New Roman" w:eastAsia="Times New Roman" w:hAnsi="Times New Roman"/>
        </w:rPr>
        <w:t xml:space="preserve">permettre de l’intégrer à une ou plusieurs séries selon les règles du concours.</w:t>
      </w:r>
    </w:p>
    <w:p>
      <w:pPr>
        <w:spacing w:after="120"/>
        <w:jc w:val="both"/>
      </w:pPr>
      <w:r>
        <w:rPr>
          <w:rFonts w:ascii="Times New Roman" w:cs="Times New Roman" w:eastAsia="Times New Roman" w:hAnsi="Times New Roman"/>
        </w:rPr>
        <w:t xml:space="preserve">Pour un passage coranique traversant plusieurs sourates, le système devra suivre l’ordre canonique des sourates et des versets.</w:t>
      </w:r>
    </w:p>
    <w:p>
      <w:pPr>
        <w:pBdr>
          <w:left w:val="single" w:color="404040" w:sz="24" w:space="8"/>
        </w:pBdr>
        <w:shd w:fill="F2F2F2" w:color="auto" w:val="clear"/>
        <w:spacing w:after="160" w:before="120"/>
        <w:ind w:left="200"/>
        <w:jc w:val="both"/>
      </w:pPr>
      <w:r>
        <w:rPr>
          <w:rFonts w:ascii="Times New Roman" w:cs="Times New Roman" w:eastAsia="Times New Roman" w:hAnsi="Times New Roman"/>
          <w:b/>
          <w:bCs/>
        </w:rPr>
        <w:t xml:space="preserve">Règle de référence :</w:t>
      </w:r>
      <w:r>
        <w:rPr>
          <w:rFonts w:ascii="Times New Roman" w:cs="Times New Roman" w:eastAsia="Times New Roman" w:hAnsi="Times New Roman"/>
        </w:rPr>
        <w:t xml:space="preserve"> les textes arabes, les numéros de sourates, les numéros de versets et les éventuelles marques de récitation devront provenir du corpus de référence validé avant mise en production (cf. §12). L’interface ne devra jamais reconstruire le texte coranique par simple concaténation de données non vérifiées.</w:t>
      </w:r>
    </w:p>
    <w:p>
      <w:pPr>
        <w:pStyle w:val="Heading2"/>
      </w:pPr>
      <w:bookmarkStart w:name="_h29" w:id="129"/>
      <w:r>
        <w:t xml:space="preserve">8.5. Fonctionnement du tirage au sort</w:t>
      </w:r>
      <w:bookmarkEnd w:id="129"/>
    </w:p>
    <w:p>
      <w:pPr>
        <w:spacing w:after="120"/>
        <w:jc w:val="both"/>
      </w:pPr>
      <w:r>
        <w:rPr>
          <w:rFonts w:ascii="Times New Roman" w:cs="Times New Roman" w:eastAsia="Times New Roman" w:hAnsi="Times New Roman"/>
        </w:rPr>
        <w:t xml:space="preserve">L’écran de tirage affichera une action explicite, par exemple : « Effectuer mon tirage ». Pour les concours en présentiel, les candidats viennent à tour de rôle, selon l’ordre de passage, cliquer sur le même écran de tirage.</w:t>
      </w:r>
    </w:p>
    <w:p>
      <w:pPr>
        <w:spacing w:after="120"/>
        <w:jc w:val="both"/>
      </w:pPr>
      <w:r>
        <w:rPr>
          <w:rFonts w:ascii="Times New Roman" w:cs="Times New Roman" w:eastAsia="Times New Roman" w:hAnsi="Times New Roman"/>
        </w:rPr>
        <w:t xml:space="preserve">Lorsque le candidat clique :</w:t>
      </w:r>
    </w:p>
    <w:p>
      <w:pPr>
        <w:pStyle w:val="ListParagraph"/>
        <w:numPr>
          <w:ilvl w:val="0"/>
          <w:numId w:val="6"/>
        </w:numPr>
        <w:spacing w:after="60"/>
      </w:pPr>
      <w:r>
        <w:rPr>
          <w:rFonts w:ascii="Times New Roman" w:cs="Times New Roman" w:eastAsia="Times New Roman" w:hAnsi="Times New Roman"/>
        </w:rPr>
        <w:t xml:space="preserve">le système vérifie que le concours est en cours, que la prestation est à l’état EN_ATTENTE et que le candidat appelé est bien celui de la prestation ;</w:t>
      </w:r>
    </w:p>
    <w:p>
      <w:pPr>
        <w:pStyle w:val="ListParagraph"/>
        <w:numPr>
          <w:ilvl w:val="0"/>
          <w:numId w:val="6"/>
        </w:numPr>
        <w:spacing w:after="60"/>
      </w:pPr>
      <w:r>
        <w:rPr>
          <w:rFonts w:ascii="Times New Roman" w:cs="Times New Roman" w:eastAsia="Times New Roman" w:hAnsi="Times New Roman"/>
        </w:rPr>
        <w:t xml:space="preserve">il vérifie que le nombre de tirages effectués pour cette prestation est inférieur à T ;</w:t>
      </w:r>
    </w:p>
    <w:p>
      <w:pPr>
        <w:pStyle w:val="ListParagraph"/>
        <w:numPr>
          <w:ilvl w:val="0"/>
          <w:numId w:val="6"/>
        </w:numPr>
        <w:spacing w:after="60"/>
      </w:pPr>
      <w:r>
        <w:rPr>
          <w:rFonts w:ascii="Times New Roman" w:cs="Times New Roman" w:eastAsia="Times New Roman" w:hAnsi="Times New Roman"/>
        </w:rPr>
        <w:t xml:space="preserve">il vérifie que le consentement parental est validé si le candidat est mineur (RM-28) ;</w:t>
      </w:r>
    </w:p>
    <w:p>
      <w:pPr>
        <w:pStyle w:val="ListParagraph"/>
        <w:numPr>
          <w:ilvl w:val="0"/>
          <w:numId w:val="6"/>
        </w:numPr>
        <w:spacing w:after="60"/>
      </w:pPr>
      <w:r>
        <w:rPr>
          <w:rFonts w:ascii="Times New Roman" w:cs="Times New Roman" w:eastAsia="Times New Roman" w:hAnsi="Times New Roman"/>
        </w:rPr>
        <w:t xml:space="preserve">le serveur sélectionne aléatoirement une série disponible du lot, selon RM-21 ;</w:t>
      </w:r>
    </w:p>
    <w:p>
      <w:pPr>
        <w:pStyle w:val="ListParagraph"/>
        <w:numPr>
          <w:ilvl w:val="0"/>
          <w:numId w:val="6"/>
        </w:numPr>
        <w:spacing w:after="60"/>
      </w:pPr>
      <w:r>
        <w:rPr>
          <w:rFonts w:ascii="Times New Roman" w:cs="Times New Roman" w:eastAsia="Times New Roman" w:hAnsi="Times New Roman"/>
        </w:rPr>
        <w:t xml:space="preserve">le tirage est enregistré dans une transaction verrouillant le lot ; toute requête répétée portant le même identifiant de demande renvoie le tirage déjà enregistré ;</w:t>
      </w:r>
    </w:p>
    <w:p>
      <w:pPr>
        <w:pStyle w:val="ListParagraph"/>
        <w:numPr>
          <w:ilvl w:val="0"/>
          <w:numId w:val="6"/>
        </w:numPr>
        <w:spacing w:after="60"/>
      </w:pPr>
      <w:r>
        <w:rPr>
          <w:rFonts w:ascii="Times New Roman" w:cs="Times New Roman" w:eastAsia="Times New Roman" w:hAnsi="Times New Roman"/>
        </w:rPr>
        <w:t xml:space="preserve">le résultat est affiché, par exemple : « Série 1 » ;</w:t>
      </w:r>
    </w:p>
    <w:p>
      <w:pPr>
        <w:pStyle w:val="ListParagraph"/>
        <w:numPr>
          <w:ilvl w:val="0"/>
          <w:numId w:val="6"/>
        </w:numPr>
        <w:spacing w:after="60"/>
      </w:pPr>
      <w:r>
        <w:rPr>
          <w:rFonts w:ascii="Times New Roman" w:cs="Times New Roman" w:eastAsia="Times New Roman" w:hAnsi="Times New Roman"/>
        </w:rPr>
        <w:t xml:space="preserve">le résultat est transmis aux écrans autorisés.</w:t>
      </w:r>
    </w:p>
    <w:p>
      <w:pPr>
        <w:spacing w:after="120"/>
        <w:jc w:val="both"/>
      </w:pPr>
      <w:r>
        <w:rPr>
          <w:rFonts w:ascii="Times New Roman" w:cs="Times New Roman" w:eastAsia="Times New Roman" w:hAnsi="Times New Roman"/>
        </w:rPr>
        <w:t xml:space="preserve">L’écran du candidat ne reçoit jamais le texte des versets : il reçoit uniquement le libellé de la série et, si l’opérateur l’active, la référence de début de chaque question. Cette restriction est appliquée côté serveur sur le contenu des messages envoyés.</w:t>
      </w:r>
    </w:p>
    <w:p>
      <w:pPr>
        <w:keepNext/>
        <w:spacing w:after="80" w:before="120"/>
      </w:pPr>
      <w:r>
        <w:rPr>
          <w:rFonts w:ascii="Times New Roman" w:cs="Times New Roman" w:eastAsia="Times New Roman" w:hAnsi="Times New Roman"/>
          <w:b/>
          <w:bCs/>
        </w:rPr>
        <w:t xml:space="preserve">Règle de réutilisation des séries (RM-21)</w:t>
      </w:r>
    </w:p>
    <w:p>
      <w:pPr>
        <w:pBdr>
          <w:left w:val="single" w:color="404040" w:sz="24" w:space="8"/>
        </w:pBdr>
        <w:shd w:fill="F2F2F2" w:color="auto" w:val="clear"/>
        <w:spacing w:after="160" w:before="120"/>
        <w:ind w:left="200"/>
        <w:jc w:val="both"/>
      </w:pPr>
      <w:r>
        <w:rPr>
          <w:rFonts w:ascii="Times New Roman" w:cs="Times New Roman" w:eastAsia="Times New Roman" w:hAnsi="Times New Roman"/>
          <w:b/>
          <w:bCs/>
        </w:rPr>
        <w:t xml:space="preserve">RM-21 — Réutilisation des séries tirées.</w:t>
      </w:r>
      <w:r>
        <w:rPr>
          <w:rFonts w:ascii="Times New Roman" w:cs="Times New Roman" w:eastAsia="Times New Roman" w:hAnsi="Times New Roman"/>
        </w:rPr>
        <w:t xml:space="preserve"> Les trois paramètres suivants sont définis par l’opérateur pour chaque épreuve, avant son ouverture, puis verrouillés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1800"/>
        <w:gridCol w:w="1272"/>
      </w:tblGrid>
      <w:tr>
        <w:trPr>
          <w:cantSplit/>
          <w:tblHeader/>
        </w:trPr>
        <w:tc>
          <w:tcPr>
            <w:tcW w:type="dxa" w:w="2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Paramètre</w:t>
            </w:r>
          </w:p>
        </w:tc>
        <w:tc>
          <w:tcPr>
            <w:tcW w:type="dxa" w:w="3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Question tranchée</w:t>
            </w:r>
          </w:p>
        </w:tc>
        <w:tc>
          <w:tcPr>
            <w:tcW w:type="dxa" w:w="1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Valeurs</w:t>
            </w:r>
          </w:p>
        </w:tc>
        <w:tc>
          <w:tcPr>
            <w:tcW w:type="dxa" w:w="127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Défaut</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RM-21.a — Réattribution à un autre candidat</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Une série déjà tirée peut-elle être attribuée à un autre candidat de la même épreuve ?</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Oui / Non</w:t>
            </w:r>
          </w:p>
        </w:tc>
        <w:tc>
          <w:tcPr>
            <w:tcW w:type="dxa" w:w="12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Non</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RM-21.b — Réattribution au même candidat dans une autre épreuve</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Lorsqu’un même lot est partagé entre plusieurs épreuves, une série tirée par un candidat peut-elle lui être de nouveau attribuée dans une autre épreuve ?</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Oui / Non</w:t>
            </w:r>
          </w:p>
        </w:tc>
        <w:tc>
          <w:tcPr>
            <w:tcW w:type="dxa" w:w="12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Non</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RM-21.c — Exclusion définitive</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Une série tirée doit-elle être exclue de tous les tirages suivants du concours ?</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Déduite : Oui si RM-21.a = Non et RM-21.b = Non</w:t>
            </w:r>
          </w:p>
        </w:tc>
        <w:tc>
          <w:tcPr>
            <w:tcW w:type="dxa" w:w="12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Oui</w:t>
            </w:r>
          </w:p>
        </w:tc>
      </w:tr>
    </w:tbl>
    <w:p>
      <w:pPr>
        <w:spacing w:after="120"/>
      </w:pPr>
    </w:p>
    <w:p>
      <w:pPr>
        <w:pStyle w:val="ListParagraph"/>
        <w:numPr>
          <w:ilvl w:val="0"/>
          <w:numId w:val="2"/>
        </w:numPr>
        <w:spacing w:after="60"/>
      </w:pPr>
      <w:r>
        <w:rPr>
          <w:rFonts w:ascii="Times New Roman" w:cs="Times New Roman" w:eastAsia="Times New Roman" w:hAnsi="Times New Roman"/>
        </w:rPr>
        <w:t xml:space="preserve">quelle que soit la configuration, un candidat ne reçoit jamais deux fois la même série au sein d’une même épreuve ;</w:t>
      </w:r>
    </w:p>
    <w:p>
      <w:pPr>
        <w:pStyle w:val="ListParagraph"/>
        <w:numPr>
          <w:ilvl w:val="0"/>
          <w:numId w:val="2"/>
        </w:numPr>
        <w:spacing w:after="60"/>
      </w:pPr>
      <w:r>
        <w:rPr>
          <w:rFonts w:ascii="Times New Roman" w:cs="Times New Roman" w:eastAsia="Times New Roman" w:hAnsi="Times New Roman"/>
        </w:rPr>
        <w:t xml:space="preserve">la configuration par défaut (Non, Non, exclusion définitive) correspond à la règle retenue dans la version 1.0 ;</w:t>
      </w:r>
    </w:p>
    <w:p>
      <w:pPr>
        <w:pStyle w:val="ListParagraph"/>
        <w:numPr>
          <w:ilvl w:val="0"/>
          <w:numId w:val="2"/>
        </w:numPr>
        <w:spacing w:after="60"/>
      </w:pPr>
      <w:r>
        <w:rPr>
          <w:rFonts w:ascii="Times New Roman" w:cs="Times New Roman" w:eastAsia="Times New Roman" w:hAnsi="Times New Roman"/>
        </w:rPr>
        <w:t xml:space="preserve">en cas d’épuisement du lot, le tirage est bloqué et un message invite l’opérateur à compléter le lot ; tout ajout de série en cours d’épreuve est journalisé ;</w:t>
      </w:r>
    </w:p>
    <w:p>
      <w:pPr>
        <w:pStyle w:val="ListParagraph"/>
        <w:numPr>
          <w:ilvl w:val="0"/>
          <w:numId w:val="2"/>
        </w:numPr>
        <w:spacing w:after="60"/>
      </w:pPr>
      <w:r>
        <w:rPr>
          <w:rFonts w:ascii="Times New Roman" w:cs="Times New Roman" w:eastAsia="Times New Roman" w:hAnsi="Times New Roman"/>
        </w:rPr>
        <w:t xml:space="preserve">un tirage annulé (incident technique, erreur d’appel) n’est jamais supprimé : il passe à l’état ANNULÉ avec motif et auteur. La série concernée est réintégrée au lot uniquement si aucune de ses diapositives n’a été affichée ; sinon, elle demeure exclue.</w:t>
      </w:r>
    </w:p>
    <w:p>
      <w:pPr>
        <w:pStyle w:val="Heading2"/>
      </w:pPr>
      <w:bookmarkStart w:name="_h30" w:id="130"/>
      <w:r>
        <w:t xml:space="preserve">8.6. Limitation de l’écran du candidat</w:t>
      </w:r>
      <w:bookmarkEnd w:id="130"/>
    </w:p>
    <w:p>
      <w:pPr>
        <w:spacing w:after="120"/>
        <w:jc w:val="both"/>
      </w:pPr>
      <w:r>
        <w:rPr>
          <w:rFonts w:ascii="Times New Roman" w:cs="Times New Roman" w:eastAsia="Times New Roman" w:hAnsi="Times New Roman"/>
        </w:rPr>
        <w:t xml:space="preserve">Conformément à la demande, le candidat disposera d’une interface volontairement limitée.</w:t>
      </w:r>
    </w:p>
    <w:p>
      <w:pPr>
        <w:spacing w:after="120"/>
        <w:jc w:val="both"/>
      </w:pPr>
      <w:r>
        <w:rPr>
          <w:rFonts w:ascii="Times New Roman" w:cs="Times New Roman" w:eastAsia="Times New Roman" w:hAnsi="Times New Roman"/>
        </w:rPr>
        <w:t xml:space="preserve">Il pourra :</w:t>
      </w:r>
    </w:p>
    <w:p>
      <w:pPr>
        <w:pStyle w:val="ListParagraph"/>
        <w:numPr>
          <w:ilvl w:val="0"/>
          <w:numId w:val="2"/>
        </w:numPr>
        <w:spacing w:after="60"/>
      </w:pPr>
      <w:r>
        <w:rPr>
          <w:rFonts w:ascii="Times New Roman" w:cs="Times New Roman" w:eastAsia="Times New Roman" w:hAnsi="Times New Roman"/>
        </w:rPr>
        <w:t xml:space="preserve">pour un concours en ligne (V2) :</w:t>
      </w:r>
    </w:p>
    <w:p>
      <w:pPr>
        <w:pStyle w:val="ListParagraph"/>
        <w:numPr>
          <w:ilvl w:val="1"/>
          <w:numId w:val="2"/>
        </w:numPr>
        <w:spacing w:after="60"/>
      </w:pPr>
      <w:r>
        <w:rPr>
          <w:rFonts w:ascii="Times New Roman" w:cs="Times New Roman" w:eastAsia="Times New Roman" w:hAnsi="Times New Roman"/>
        </w:rPr>
        <w:t xml:space="preserve">s’identifier ou être identifié par l’opérateur ;</w:t>
      </w:r>
    </w:p>
    <w:p>
      <w:pPr>
        <w:pStyle w:val="ListParagraph"/>
        <w:numPr>
          <w:ilvl w:val="1"/>
          <w:numId w:val="2"/>
        </w:numPr>
        <w:spacing w:after="60"/>
      </w:pPr>
      <w:r>
        <w:rPr>
          <w:rFonts w:ascii="Times New Roman" w:cs="Times New Roman" w:eastAsia="Times New Roman" w:hAnsi="Times New Roman"/>
        </w:rPr>
        <w:t xml:space="preserve">consulter les informations utiles à sa prestation ;</w:t>
      </w:r>
    </w:p>
    <w:p>
      <w:pPr>
        <w:pStyle w:val="ListParagraph"/>
        <w:numPr>
          <w:ilvl w:val="1"/>
          <w:numId w:val="2"/>
        </w:numPr>
        <w:spacing w:after="60"/>
      </w:pPr>
      <w:r>
        <w:rPr>
          <w:rFonts w:ascii="Times New Roman" w:cs="Times New Roman" w:eastAsia="Times New Roman" w:hAnsi="Times New Roman"/>
        </w:rPr>
        <w:t xml:space="preserve">cliquer pour effectuer son tirage au sort ;</w:t>
      </w:r>
    </w:p>
    <w:p>
      <w:pPr>
        <w:pStyle w:val="ListParagraph"/>
        <w:numPr>
          <w:ilvl w:val="1"/>
          <w:numId w:val="2"/>
        </w:numPr>
        <w:spacing w:after="60"/>
      </w:pPr>
      <w:r>
        <w:rPr>
          <w:rFonts w:ascii="Times New Roman" w:cs="Times New Roman" w:eastAsia="Times New Roman" w:hAnsi="Times New Roman"/>
        </w:rPr>
        <w:t xml:space="preserve">recevoir une confirmation que le tirage a été enregistré ;</w:t>
      </w:r>
    </w:p>
    <w:p>
      <w:pPr>
        <w:pStyle w:val="ListParagraph"/>
        <w:numPr>
          <w:ilvl w:val="0"/>
          <w:numId w:val="2"/>
        </w:numPr>
        <w:spacing w:after="60"/>
      </w:pPr>
      <w:r>
        <w:rPr>
          <w:rFonts w:ascii="Times New Roman" w:cs="Times New Roman" w:eastAsia="Times New Roman" w:hAnsi="Times New Roman"/>
        </w:rPr>
        <w:t xml:space="preserve">pour un concours en présentiel :</w:t>
      </w:r>
    </w:p>
    <w:p>
      <w:pPr>
        <w:pStyle w:val="ListParagraph"/>
        <w:numPr>
          <w:ilvl w:val="1"/>
          <w:numId w:val="2"/>
        </w:numPr>
        <w:spacing w:after="60"/>
      </w:pPr>
      <w:r>
        <w:rPr>
          <w:rFonts w:ascii="Times New Roman" w:cs="Times New Roman" w:eastAsia="Times New Roman" w:hAnsi="Times New Roman"/>
        </w:rPr>
        <w:t xml:space="preserve">utiliser uniquement l’écran dédié au tirage, sans authentification individuelle ; l’identité du candidat est fixée par l’opérateur au moment de l’appel.</w:t>
      </w:r>
    </w:p>
    <w:p>
      <w:pPr>
        <w:spacing w:after="120"/>
        <w:jc w:val="both"/>
      </w:pPr>
      <w:r>
        <w:rPr>
          <w:rFonts w:ascii="Times New Roman" w:cs="Times New Roman" w:eastAsia="Times New Roman" w:hAnsi="Times New Roman"/>
        </w:rPr>
        <w:t xml:space="preserve">Il ne pourra pas :</w:t>
      </w:r>
    </w:p>
    <w:p>
      <w:pPr>
        <w:pStyle w:val="ListParagraph"/>
        <w:numPr>
          <w:ilvl w:val="0"/>
          <w:numId w:val="2"/>
        </w:numPr>
        <w:spacing w:after="60"/>
      </w:pPr>
      <w:r>
        <w:rPr>
          <w:rFonts w:ascii="Times New Roman" w:cs="Times New Roman" w:eastAsia="Times New Roman" w:hAnsi="Times New Roman"/>
        </w:rPr>
        <w:t xml:space="preserve">sélectionner librement une série ou une question ;</w:t>
      </w:r>
    </w:p>
    <w:p>
      <w:pPr>
        <w:pStyle w:val="ListParagraph"/>
        <w:numPr>
          <w:ilvl w:val="0"/>
          <w:numId w:val="2"/>
        </w:numPr>
        <w:spacing w:after="60"/>
      </w:pPr>
      <w:r>
        <w:rPr>
          <w:rFonts w:ascii="Times New Roman" w:cs="Times New Roman" w:eastAsia="Times New Roman" w:hAnsi="Times New Roman"/>
        </w:rPr>
        <w:t xml:space="preserve">consulter la banque complète des questions ;</w:t>
      </w:r>
    </w:p>
    <w:p>
      <w:pPr>
        <w:pStyle w:val="ListParagraph"/>
        <w:numPr>
          <w:ilvl w:val="0"/>
          <w:numId w:val="2"/>
        </w:numPr>
        <w:spacing w:after="60"/>
      </w:pPr>
      <w:r>
        <w:rPr>
          <w:rFonts w:ascii="Times New Roman" w:cs="Times New Roman" w:eastAsia="Times New Roman" w:hAnsi="Times New Roman"/>
        </w:rPr>
        <w:t xml:space="preserve">modifier son tirage ;</w:t>
      </w:r>
    </w:p>
    <w:p>
      <w:pPr>
        <w:pStyle w:val="ListParagraph"/>
        <w:numPr>
          <w:ilvl w:val="0"/>
          <w:numId w:val="2"/>
        </w:numPr>
        <w:spacing w:after="60"/>
      </w:pPr>
      <w:r>
        <w:rPr>
          <w:rFonts w:ascii="Times New Roman" w:cs="Times New Roman" w:eastAsia="Times New Roman" w:hAnsi="Times New Roman"/>
        </w:rPr>
        <w:t xml:space="preserve">accéder aux notes des jurés ;</w:t>
      </w:r>
    </w:p>
    <w:p>
      <w:pPr>
        <w:pStyle w:val="ListParagraph"/>
        <w:numPr>
          <w:ilvl w:val="0"/>
          <w:numId w:val="2"/>
        </w:numPr>
        <w:spacing w:after="60"/>
      </w:pPr>
      <w:r>
        <w:rPr>
          <w:rFonts w:ascii="Times New Roman" w:cs="Times New Roman" w:eastAsia="Times New Roman" w:hAnsi="Times New Roman"/>
        </w:rPr>
        <w:t xml:space="preserve">commander le défilement des diapositives ;</w:t>
      </w:r>
    </w:p>
    <w:p>
      <w:pPr>
        <w:pStyle w:val="ListParagraph"/>
        <w:numPr>
          <w:ilvl w:val="0"/>
          <w:numId w:val="2"/>
        </w:numPr>
        <w:spacing w:after="60"/>
      </w:pPr>
      <w:r>
        <w:rPr>
          <w:rFonts w:ascii="Times New Roman" w:cs="Times New Roman" w:eastAsia="Times New Roman" w:hAnsi="Times New Roman"/>
        </w:rPr>
        <w:t xml:space="preserve">consulter les interfaces de gestion ou de classement non publiques.</w:t>
      </w:r>
    </w:p>
    <w:p>
      <w:pPr>
        <w:spacing w:after="120"/>
        <w:jc w:val="both"/>
      </w:pPr>
      <w:r>
        <w:rPr>
          <w:rFonts w:ascii="Times New Roman" w:cs="Times New Roman" w:eastAsia="Times New Roman" w:hAnsi="Times New Roman"/>
        </w:rPr>
        <w:t xml:space="preserve">Le candidat ne verra pas le diaporama des versets destiné aux autres utilisateurs pendant sa prestation.</w:t>
      </w:r>
    </w:p>
    <w:p>
      <w:pPr>
        <w:pStyle w:val="Heading1"/>
      </w:pPr>
      <w:bookmarkStart w:name="_h31" w:id="131"/>
      <w:r>
        <w:t xml:space="preserve">9. Affichage des versets en mode diaporama</w:t>
      </w:r>
      <w:bookmarkEnd w:id="131"/>
    </w:p>
    <w:p>
      <w:pPr>
        <w:pStyle w:val="Heading2"/>
      </w:pPr>
      <w:bookmarkStart w:name="_h32" w:id="132"/>
      <w:r>
        <w:t xml:space="preserve">9.1. Principe visuel</w:t>
      </w:r>
      <w:bookmarkEnd w:id="132"/>
    </w:p>
    <w:p>
      <w:pPr>
        <w:spacing w:after="120"/>
        <w:jc w:val="both"/>
      </w:pPr>
      <w:r>
        <w:rPr>
          <w:rFonts w:ascii="Times New Roman" w:cs="Times New Roman" w:eastAsia="Times New Roman" w:hAnsi="Times New Roman"/>
        </w:rPr>
        <w:t xml:space="preserve">Après validation du tirage, les versets devront être présentés un par un, comme dans un diaporama de présentation, sur les écrans de l’opérateur, des jurés et, si l’épreuve le prévoit, de la scène. Un verset trop long pour rester lisible à la taille de texte configurée est découpé en plusieurs diapositives.</w:t>
      </w:r>
    </w:p>
    <w:p>
      <w:pPr>
        <w:spacing w:after="120"/>
        <w:jc w:val="both"/>
      </w:pPr>
      <w:r>
        <w:rPr>
          <w:rFonts w:ascii="Times New Roman" w:cs="Times New Roman" w:eastAsia="Times New Roman" w:hAnsi="Times New Roman"/>
        </w:rPr>
        <w:t xml:space="preserve">L’affichage des versets sur l’écran scène est un paramètre de l’épreuve (activé ou désactivé). Pour les épreuves de mémorisation, l’opérateur veille à ce que l’écran scène ne soit pas visible du candidat ; à défaut, il désactive ce paramètre.</w:t>
      </w:r>
    </w:p>
    <w:p>
      <w:pPr>
        <w:pStyle w:val="Heading2"/>
      </w:pPr>
      <w:bookmarkStart w:name="_h33" w:id="133"/>
      <w:r>
        <w:t xml:space="preserve">9.2. Règles d’animation</w:t>
      </w:r>
      <w:bookmarkEnd w:id="133"/>
    </w:p>
    <w:p>
      <w:pPr>
        <w:spacing w:after="120"/>
        <w:jc w:val="both"/>
      </w:pPr>
      <w:r>
        <w:rPr>
          <w:rFonts w:ascii="Times New Roman" w:cs="Times New Roman" w:eastAsia="Times New Roman" w:hAnsi="Times New Roman"/>
        </w:rPr>
        <w:t xml:space="preserve">L’animation devra respecter les règles suivantes :</w:t>
      </w:r>
    </w:p>
    <w:p>
      <w:pPr>
        <w:pStyle w:val="ListParagraph"/>
        <w:numPr>
          <w:ilvl w:val="0"/>
          <w:numId w:val="2"/>
        </w:numPr>
        <w:spacing w:after="60"/>
      </w:pPr>
      <w:r>
        <w:rPr>
          <w:rFonts w:ascii="Times New Roman" w:cs="Times New Roman" w:eastAsia="Times New Roman" w:hAnsi="Times New Roman"/>
        </w:rPr>
        <w:t xml:space="preserve">afficher une seule diapositive à la fois, c’est-à-dire un verset entier ou un segment de verset ;</w:t>
      </w:r>
    </w:p>
    <w:p>
      <w:pPr>
        <w:pStyle w:val="ListParagraph"/>
        <w:numPr>
          <w:ilvl w:val="0"/>
          <w:numId w:val="2"/>
        </w:numPr>
        <w:spacing w:after="60"/>
      </w:pPr>
      <w:r>
        <w:rPr>
          <w:rFonts w:ascii="Times New Roman" w:cs="Times New Roman" w:eastAsia="Times New Roman" w:hAnsi="Times New Roman"/>
        </w:rPr>
        <w:t xml:space="preserve">découper un verset long uniquement entre deux mots, sans jamais altérer, réordonner ni dupliquer le texte ; la concaténation des segments d’un verset doit être strictement identique au texte du corpus ; chaque segment porte la référence du verset et son rang (ex. « 2:282 — 1/3 ») ;</w:t>
      </w:r>
    </w:p>
    <w:p>
      <w:pPr>
        <w:pStyle w:val="ListParagraph"/>
        <w:numPr>
          <w:ilvl w:val="0"/>
          <w:numId w:val="2"/>
        </w:numPr>
        <w:spacing w:after="60"/>
      </w:pPr>
      <w:r>
        <w:rPr>
          <w:rFonts w:ascii="Times New Roman" w:cs="Times New Roman" w:eastAsia="Times New Roman" w:hAnsi="Times New Roman"/>
        </w:rPr>
        <w:t xml:space="preserve">présenter le texte arabe avec une police adaptée au texte Uthmani et une direction de lecture de droite à gauche ;</w:t>
      </w:r>
    </w:p>
    <w:p>
      <w:pPr>
        <w:pStyle w:val="ListParagraph"/>
        <w:numPr>
          <w:ilvl w:val="0"/>
          <w:numId w:val="2"/>
        </w:numPr>
        <w:spacing w:after="60"/>
      </w:pPr>
      <w:r>
        <w:rPr>
          <w:rFonts w:ascii="Times New Roman" w:cs="Times New Roman" w:eastAsia="Times New Roman" w:hAnsi="Times New Roman"/>
        </w:rPr>
        <w:t xml:space="preserve">effectuer la transition entre deux diapositives par un balayage de droite vers la gauche ;</w:t>
      </w:r>
    </w:p>
    <w:p>
      <w:pPr>
        <w:pStyle w:val="ListParagraph"/>
        <w:numPr>
          <w:ilvl w:val="0"/>
          <w:numId w:val="2"/>
        </w:numPr>
        <w:spacing w:after="60"/>
      </w:pPr>
      <w:r>
        <w:rPr>
          <w:rFonts w:ascii="Times New Roman" w:cs="Times New Roman" w:eastAsia="Times New Roman" w:hAnsi="Times New Roman"/>
        </w:rPr>
        <w:t xml:space="preserve">afficher les références de la sourate et du verset ;</w:t>
      </w:r>
    </w:p>
    <w:p>
      <w:pPr>
        <w:pStyle w:val="ListParagraph"/>
        <w:numPr>
          <w:ilvl w:val="0"/>
          <w:numId w:val="2"/>
        </w:numPr>
        <w:spacing w:after="60"/>
      </w:pPr>
      <w:r>
        <w:rPr>
          <w:rFonts w:ascii="Times New Roman" w:cs="Times New Roman" w:eastAsia="Times New Roman" w:hAnsi="Times New Roman"/>
        </w:rPr>
        <w:t xml:space="preserve">conserver la même diapositive tant que l’opérateur ne demande pas de passer à la suivante ;</w:t>
      </w:r>
    </w:p>
    <w:p>
      <w:pPr>
        <w:pStyle w:val="ListParagraph"/>
        <w:numPr>
          <w:ilvl w:val="0"/>
          <w:numId w:val="2"/>
        </w:numPr>
        <w:spacing w:after="60"/>
      </w:pPr>
      <w:r>
        <w:rPr>
          <w:rFonts w:ascii="Times New Roman" w:cs="Times New Roman" w:eastAsia="Times New Roman" w:hAnsi="Times New Roman"/>
        </w:rPr>
        <w:t xml:space="preserve">empêcher le déclenchement involontaire de plusieurs transitions simultanées ;</w:t>
      </w:r>
    </w:p>
    <w:p>
      <w:pPr>
        <w:pStyle w:val="ListParagraph"/>
        <w:numPr>
          <w:ilvl w:val="0"/>
          <w:numId w:val="2"/>
        </w:numPr>
        <w:spacing w:after="60"/>
      </w:pPr>
      <w:r>
        <w:rPr>
          <w:rFonts w:ascii="Times New Roman" w:cs="Times New Roman" w:eastAsia="Times New Roman" w:hAnsi="Times New Roman"/>
        </w:rPr>
        <w:t xml:space="preserve">assurer une présentation lisible sur un vidéoprojecteur, un grand écran et un ordinateur ;</w:t>
      </w:r>
    </w:p>
    <w:p>
      <w:pPr>
        <w:pStyle w:val="ListParagraph"/>
        <w:numPr>
          <w:ilvl w:val="0"/>
          <w:numId w:val="2"/>
        </w:numPr>
        <w:spacing w:after="60"/>
      </w:pPr>
      <w:r>
        <w:rPr>
          <w:rFonts w:ascii="Times New Roman" w:cs="Times New Roman" w:eastAsia="Times New Roman" w:hAnsi="Times New Roman"/>
        </w:rPr>
        <w:t xml:space="preserve">proposer un mode plein écran ;</w:t>
      </w:r>
    </w:p>
    <w:p>
      <w:pPr>
        <w:pStyle w:val="ListParagraph"/>
        <w:numPr>
          <w:ilvl w:val="0"/>
          <w:numId w:val="2"/>
        </w:numPr>
        <w:spacing w:after="60"/>
      </w:pPr>
      <w:r>
        <w:rPr>
          <w:rFonts w:ascii="Times New Roman" w:cs="Times New Roman" w:eastAsia="Times New Roman" w:hAnsi="Times New Roman"/>
        </w:rPr>
        <w:t xml:space="preserve">permettre de configurer la taille du texte, les marges et les éléments visuels.</w:t>
      </w:r>
    </w:p>
    <w:p>
      <w:pPr>
        <w:pBdr>
          <w:left w:val="single" w:color="404040" w:sz="24" w:space="8"/>
        </w:pBdr>
        <w:shd w:fill="F2F2F2" w:color="auto" w:val="clear"/>
        <w:spacing w:after="160" w:before="120"/>
        <w:ind w:left="200"/>
        <w:jc w:val="both"/>
      </w:pPr>
      <w:r>
        <w:rPr>
          <w:rFonts w:ascii="Times New Roman" w:cs="Times New Roman" w:eastAsia="Times New Roman" w:hAnsi="Times New Roman"/>
          <w:b/>
          <w:bCs/>
        </w:rPr>
        <w:t xml:space="preserve">Distinction technique importante :</w:t>
      </w:r>
      <w:r>
        <w:rPr>
          <w:rFonts w:ascii="Times New Roman" w:cs="Times New Roman" w:eastAsia="Times New Roman" w:hAnsi="Times New Roman"/>
        </w:rPr>
        <w:t xml:space="preserve"> le sens de l’animation de la diapositive ne doit pas modifier l’ordre du texte arabe ni sa direction typographique. Le balayage est un effet visuel de transition ; la lecture du verset reste de droite à gauche.</w:t>
      </w:r>
    </w:p>
    <w:p>
      <w:pPr>
        <w:pStyle w:val="Heading2"/>
      </w:pPr>
      <w:bookmarkStart w:name="_h34" w:id="134"/>
      <w:r>
        <w:t xml:space="preserve">9.3. Commandes de l’opérateur</w:t>
      </w:r>
      <w:bookmarkEnd w:id="134"/>
    </w:p>
    <w:p>
      <w:pPr>
        <w:spacing w:after="120"/>
        <w:jc w:val="both"/>
      </w:pPr>
      <w:r>
        <w:rPr>
          <w:rFonts w:ascii="Times New Roman" w:cs="Times New Roman" w:eastAsia="Times New Roman" w:hAnsi="Times New Roman"/>
        </w:rPr>
        <w:t xml:space="preserve">L’interface de commande comportera les boutons suivants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800"/>
        <w:gridCol w:w="6272"/>
      </w:tblGrid>
      <w:tr>
        <w:trPr>
          <w:cantSplit/>
          <w:tblHeader/>
        </w:trPr>
        <w:tc>
          <w:tcPr>
            <w:tcW w:type="dxa" w:w="2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Bouton</w:t>
            </w:r>
          </w:p>
        </w:tc>
        <w:tc>
          <w:tcPr>
            <w:tcW w:type="dxa" w:w="627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Fonction</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Préparer l’affichage</w:t>
            </w:r>
          </w:p>
        </w:tc>
        <w:tc>
          <w:tcPr>
            <w:tcW w:type="dxa" w:w="62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Charger la série tirée et initialiser le diaporama.</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Démarrer la prestation</w:t>
            </w:r>
          </w:p>
        </w:tc>
        <w:tc>
          <w:tcPr>
            <w:tcW w:type="dxa" w:w="62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Autoriser le début de la présentation.</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Diapositive suivante</w:t>
            </w:r>
          </w:p>
        </w:tc>
        <w:tc>
          <w:tcPr>
            <w:tcW w:type="dxa" w:w="62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Passer à la diapositive suivante avec l’animation.</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Diapositive précédente</w:t>
            </w:r>
          </w:p>
        </w:tc>
        <w:tc>
          <w:tcPr>
            <w:tcW w:type="dxa" w:w="62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Revenir à la diapositive précédente, si autorisé ; action journalisée.</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Mettre en pause</w:t>
            </w:r>
          </w:p>
        </w:tc>
        <w:tc>
          <w:tcPr>
            <w:tcW w:type="dxa" w:w="62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Bloquer temporairement l’avancement.</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Reprendre</w:t>
            </w:r>
          </w:p>
        </w:tc>
        <w:tc>
          <w:tcPr>
            <w:tcW w:type="dxa" w:w="62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Réactiver les commandes.</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Réafficher la diapositive</w:t>
            </w:r>
          </w:p>
        </w:tc>
        <w:tc>
          <w:tcPr>
            <w:tcW w:type="dxa" w:w="62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Rejouer l’affichage de la diapositive courante.</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Terminer la prestation</w:t>
            </w:r>
          </w:p>
        </w:tc>
        <w:tc>
          <w:tcPr>
            <w:tcW w:type="dxa" w:w="62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Clôturer le défilement et ouvrir la validation des notes.</w:t>
            </w:r>
          </w:p>
        </w:tc>
      </w:tr>
    </w:tbl>
    <w:p>
      <w:pPr>
        <w:spacing w:after="120"/>
      </w:pPr>
    </w:p>
    <w:p>
      <w:pPr>
        <w:spacing w:after="120"/>
        <w:jc w:val="both"/>
      </w:pPr>
      <w:r>
        <w:rPr>
          <w:rFonts w:ascii="Times New Roman" w:cs="Times New Roman" w:eastAsia="Times New Roman" w:hAnsi="Times New Roman"/>
        </w:rPr>
        <w:t xml:space="preserve">L’avancement à la diapositive suivante doit être une action explicite de l’opérateur. Aucun changement automatique ne doit se produire.</w:t>
      </w:r>
    </w:p>
    <w:p>
      <w:pPr>
        <w:spacing w:after="120"/>
        <w:jc w:val="both"/>
      </w:pPr>
      <w:r>
        <w:rPr>
          <w:rFonts w:ascii="Times New Roman" w:cs="Times New Roman" w:eastAsia="Times New Roman" w:hAnsi="Times New Roman"/>
        </w:rPr>
        <w:t xml:space="preserve">Une action de retour à la diapositive précédente devra être journalisée. Le système devra également empêcher qu’un double-clic ou une latence réseau fasse sauter accidentellement plusieurs diapositives : chaque commande porte un identifiant unique et la version d’état attendue, et le serveur rejette toute commande dont la version ne correspond pas à l’état courant (RM-30, cf. §13.5).</w:t>
      </w:r>
    </w:p>
    <w:p>
      <w:pPr>
        <w:pStyle w:val="Heading2"/>
      </w:pPr>
      <w:bookmarkStart w:name="_h35" w:id="135"/>
      <w:r>
        <w:t xml:space="preserve">9.4. Synchronisation des écrans</w:t>
      </w:r>
      <w:bookmarkEnd w:id="135"/>
    </w:p>
    <w:p>
      <w:pPr>
        <w:spacing w:after="120"/>
        <w:jc w:val="both"/>
      </w:pPr>
      <w:r>
        <w:rPr>
          <w:rFonts w:ascii="Times New Roman" w:cs="Times New Roman" w:eastAsia="Times New Roman" w:hAnsi="Times New Roman"/>
        </w:rPr>
        <w:t xml:space="preserve">Les écrans de l’opérateur, des jurés et de la scène doivent recevoir le même état de présentation :</w:t>
      </w:r>
    </w:p>
    <w:p>
      <w:pPr>
        <w:pStyle w:val="ListParagraph"/>
        <w:numPr>
          <w:ilvl w:val="0"/>
          <w:numId w:val="2"/>
        </w:numPr>
        <w:spacing w:after="60"/>
      </w:pPr>
      <w:r>
        <w:rPr>
          <w:rFonts w:ascii="Times New Roman" w:cs="Times New Roman" w:eastAsia="Times New Roman" w:hAnsi="Times New Roman"/>
        </w:rPr>
        <w:t xml:space="preserve">numéro ou nom du candidat ;</w:t>
      </w:r>
    </w:p>
    <w:p>
      <w:pPr>
        <w:pStyle w:val="ListParagraph"/>
        <w:numPr>
          <w:ilvl w:val="0"/>
          <w:numId w:val="2"/>
        </w:numPr>
        <w:spacing w:after="60"/>
      </w:pPr>
      <w:r>
        <w:rPr>
          <w:rFonts w:ascii="Times New Roman" w:cs="Times New Roman" w:eastAsia="Times New Roman" w:hAnsi="Times New Roman"/>
        </w:rPr>
        <w:t xml:space="preserve">numéro de la sourate et du verset courant, et rang du segment le cas échéant ;</w:t>
      </w:r>
    </w:p>
    <w:p>
      <w:pPr>
        <w:pStyle w:val="ListParagraph"/>
        <w:numPr>
          <w:ilvl w:val="0"/>
          <w:numId w:val="2"/>
        </w:numPr>
        <w:spacing w:after="60"/>
      </w:pPr>
      <w:r>
        <w:rPr>
          <w:rFonts w:ascii="Times New Roman" w:cs="Times New Roman" w:eastAsia="Times New Roman" w:hAnsi="Times New Roman"/>
        </w:rPr>
        <w:t xml:space="preserve">rang de la question dans la série ;</w:t>
      </w:r>
    </w:p>
    <w:p>
      <w:pPr>
        <w:pStyle w:val="ListParagraph"/>
        <w:numPr>
          <w:ilvl w:val="0"/>
          <w:numId w:val="2"/>
        </w:numPr>
        <w:spacing w:after="60"/>
      </w:pPr>
      <w:r>
        <w:rPr>
          <w:rFonts w:ascii="Times New Roman" w:cs="Times New Roman" w:eastAsia="Times New Roman" w:hAnsi="Times New Roman"/>
        </w:rPr>
        <w:t xml:space="preserve">état de la prestation ;</w:t>
      </w:r>
    </w:p>
    <w:p>
      <w:pPr>
        <w:pStyle w:val="ListParagraph"/>
        <w:numPr>
          <w:ilvl w:val="0"/>
          <w:numId w:val="2"/>
        </w:numPr>
        <w:spacing w:after="60"/>
      </w:pPr>
      <w:r>
        <w:rPr>
          <w:rFonts w:ascii="Times New Roman" w:cs="Times New Roman" w:eastAsia="Times New Roman" w:hAnsi="Times New Roman"/>
        </w:rPr>
        <w:t xml:space="preserve">état de pause ;</w:t>
      </w:r>
    </w:p>
    <w:p>
      <w:pPr>
        <w:pStyle w:val="ListParagraph"/>
        <w:numPr>
          <w:ilvl w:val="0"/>
          <w:numId w:val="2"/>
        </w:numPr>
        <w:spacing w:after="60"/>
      </w:pPr>
      <w:r>
        <w:rPr>
          <w:rFonts w:ascii="Times New Roman" w:cs="Times New Roman" w:eastAsia="Times New Roman" w:hAnsi="Times New Roman"/>
        </w:rPr>
        <w:t xml:space="preserve">libellé de la série tirée ;</w:t>
      </w:r>
    </w:p>
    <w:p>
      <w:pPr>
        <w:pStyle w:val="ListParagraph"/>
        <w:numPr>
          <w:ilvl w:val="0"/>
          <w:numId w:val="2"/>
        </w:numPr>
        <w:spacing w:after="60"/>
      </w:pPr>
      <w:r>
        <w:rPr>
          <w:rFonts w:ascii="Times New Roman" w:cs="Times New Roman" w:eastAsia="Times New Roman" w:hAnsi="Times New Roman"/>
        </w:rPr>
        <w:t xml:space="preserve">numéro de version de l’état (compteur croissant).</w:t>
      </w:r>
    </w:p>
    <w:p>
      <w:pPr>
        <w:spacing w:after="120"/>
        <w:jc w:val="both"/>
      </w:pPr>
      <w:r>
        <w:rPr>
          <w:rFonts w:ascii="Times New Roman" w:cs="Times New Roman" w:eastAsia="Times New Roman" w:hAnsi="Times New Roman"/>
        </w:rPr>
        <w:t xml:space="preserve">Les changements d’état sont transmis en temps réel par WebSocket, avec des mécanismes de repli et de reprise d’état décrits en §13.5. Un écran qui se reconnecte retrouve la diapositive courante sans redémarrer le tirage.</w:t>
      </w:r>
    </w:p>
    <w:p>
      <w:pPr>
        <w:pStyle w:val="Heading1"/>
      </w:pPr>
      <w:bookmarkStart w:name="_h36" w:id="136"/>
      <w:r>
        <w:t xml:space="preserve">10. Interface de notation du jury</w:t>
      </w:r>
      <w:bookmarkEnd w:id="136"/>
    </w:p>
    <w:p>
      <w:pPr>
        <w:pStyle w:val="Heading2"/>
      </w:pPr>
      <w:bookmarkStart w:name="_h37" w:id="137"/>
      <w:r>
        <w:t xml:space="preserve">10.1. Principe</w:t>
      </w:r>
      <w:bookmarkEnd w:id="137"/>
    </w:p>
    <w:p>
      <w:pPr>
        <w:spacing w:after="120"/>
        <w:jc w:val="both"/>
      </w:pPr>
      <w:r>
        <w:rPr>
          <w:rFonts w:ascii="Times New Roman" w:cs="Times New Roman" w:eastAsia="Times New Roman" w:hAnsi="Times New Roman"/>
        </w:rPr>
        <w:t xml:space="preserve">Chaque juré disposera d’un écran de notation indépendant de l’écran de projection. Il pourra consulter les références coraniques et suivre le défilement des diapositives tout en saisissant ses notes.</w:t>
      </w:r>
    </w:p>
    <w:p>
      <w:pPr>
        <w:pStyle w:val="Heading2"/>
      </w:pPr>
      <w:bookmarkStart w:name="_h38" w:id="138"/>
      <w:r>
        <w:t xml:space="preserve">10.2. Fonctionnalités de notation</w:t>
      </w:r>
      <w:bookmarkEnd w:id="138"/>
    </w:p>
    <w:p>
      <w:pPr>
        <w:spacing w:after="120"/>
        <w:jc w:val="both"/>
      </w:pPr>
      <w:r>
        <w:rPr>
          <w:rFonts w:ascii="Times New Roman" w:cs="Times New Roman" w:eastAsia="Times New Roman" w:hAnsi="Times New Roman"/>
        </w:rPr>
        <w:t xml:space="preserve">Chaque juré pourra :</w:t>
      </w:r>
    </w:p>
    <w:p>
      <w:pPr>
        <w:pStyle w:val="ListParagraph"/>
        <w:numPr>
          <w:ilvl w:val="0"/>
          <w:numId w:val="2"/>
        </w:numPr>
        <w:spacing w:after="60"/>
      </w:pPr>
      <w:r>
        <w:rPr>
          <w:rFonts w:ascii="Times New Roman" w:cs="Times New Roman" w:eastAsia="Times New Roman" w:hAnsi="Times New Roman"/>
        </w:rPr>
        <w:t xml:space="preserve">voir la série tirée et les références des passages coraniques ;</w:t>
      </w:r>
    </w:p>
    <w:p>
      <w:pPr>
        <w:pStyle w:val="ListParagraph"/>
        <w:numPr>
          <w:ilvl w:val="0"/>
          <w:numId w:val="2"/>
        </w:numPr>
        <w:spacing w:after="60"/>
      </w:pPr>
      <w:r>
        <w:rPr>
          <w:rFonts w:ascii="Times New Roman" w:cs="Times New Roman" w:eastAsia="Times New Roman" w:hAnsi="Times New Roman"/>
        </w:rPr>
        <w:t xml:space="preserve">suivre le verset courant en temps réel ;</w:t>
      </w:r>
    </w:p>
    <w:p>
      <w:pPr>
        <w:pStyle w:val="ListParagraph"/>
        <w:numPr>
          <w:ilvl w:val="0"/>
          <w:numId w:val="2"/>
        </w:numPr>
        <w:spacing w:after="60"/>
      </w:pPr>
      <w:r>
        <w:rPr>
          <w:rFonts w:ascii="Times New Roman" w:cs="Times New Roman" w:eastAsia="Times New Roman" w:hAnsi="Times New Roman"/>
        </w:rPr>
        <w:t xml:space="preserve">remplir les critères de notation ;</w:t>
      </w:r>
    </w:p>
    <w:p>
      <w:pPr>
        <w:pStyle w:val="ListParagraph"/>
        <w:numPr>
          <w:ilvl w:val="0"/>
          <w:numId w:val="2"/>
        </w:numPr>
        <w:spacing w:after="60"/>
      </w:pPr>
      <w:r>
        <w:rPr>
          <w:rFonts w:ascii="Times New Roman" w:cs="Times New Roman" w:eastAsia="Times New Roman" w:hAnsi="Times New Roman"/>
        </w:rPr>
        <w:t xml:space="preserve">saisir une observation, si cette fonction est activée ;</w:t>
      </w:r>
    </w:p>
    <w:p>
      <w:pPr>
        <w:pStyle w:val="ListParagraph"/>
        <w:numPr>
          <w:ilvl w:val="0"/>
          <w:numId w:val="2"/>
        </w:numPr>
        <w:spacing w:after="60"/>
      </w:pPr>
      <w:r>
        <w:rPr>
          <w:rFonts w:ascii="Times New Roman" w:cs="Times New Roman" w:eastAsia="Times New Roman" w:hAnsi="Times New Roman"/>
        </w:rPr>
        <w:t xml:space="preserve">enregistrer un brouillon ;</w:t>
      </w:r>
    </w:p>
    <w:p>
      <w:pPr>
        <w:pStyle w:val="ListParagraph"/>
        <w:numPr>
          <w:ilvl w:val="0"/>
          <w:numId w:val="2"/>
        </w:numPr>
        <w:spacing w:after="60"/>
      </w:pPr>
      <w:r>
        <w:rPr>
          <w:rFonts w:ascii="Times New Roman" w:cs="Times New Roman" w:eastAsia="Times New Roman" w:hAnsi="Times New Roman"/>
        </w:rPr>
        <w:t xml:space="preserve">valider sa note ;</w:t>
      </w:r>
    </w:p>
    <w:p>
      <w:pPr>
        <w:pStyle w:val="ListParagraph"/>
        <w:numPr>
          <w:ilvl w:val="0"/>
          <w:numId w:val="2"/>
        </w:numPr>
        <w:spacing w:after="60"/>
      </w:pPr>
      <w:r>
        <w:rPr>
          <w:rFonts w:ascii="Times New Roman" w:cs="Times New Roman" w:eastAsia="Times New Roman" w:hAnsi="Times New Roman"/>
        </w:rPr>
        <w:t xml:space="preserve">consulter l’état de sa propre évaluation.</w:t>
      </w:r>
    </w:p>
    <w:p>
      <w:pPr>
        <w:spacing w:after="120"/>
        <w:jc w:val="both"/>
      </w:pPr>
      <w:r>
        <w:rPr>
          <w:rFonts w:ascii="Times New Roman" w:cs="Times New Roman" w:eastAsia="Times New Roman" w:hAnsi="Times New Roman"/>
        </w:rPr>
        <w:t xml:space="preserve">Les notes devront être enregistrées séparément par juré. Une note validée ne pourra être modifiée que sur demande motivée du juré, approuvée par le responsable client, avec conservation de l’ancienne valeur, de la nouvelle valeur, de l’auteur, de l’approbateur, de la date et du motif.</w:t>
      </w:r>
    </w:p>
    <w:p>
      <w:pPr>
        <w:pStyle w:val="Heading2"/>
      </w:pPr>
      <w:bookmarkStart w:name="_h39" w:id="139"/>
      <w:r>
        <w:t xml:space="preserve">10.3. Calcul des résultats</w:t>
      </w:r>
      <w:bookmarkEnd w:id="139"/>
    </w:p>
    <w:p>
      <w:pPr>
        <w:spacing w:after="120"/>
        <w:jc w:val="both"/>
      </w:pPr>
      <w:r>
        <w:rPr>
          <w:rFonts w:ascii="Times New Roman" w:cs="Times New Roman" w:eastAsia="Times New Roman" w:hAnsi="Times New Roman"/>
        </w:rPr>
        <w:t xml:space="preserve">Le système devra prendre en charge :</w:t>
      </w:r>
    </w:p>
    <w:p>
      <w:pPr>
        <w:pStyle w:val="ListParagraph"/>
        <w:numPr>
          <w:ilvl w:val="0"/>
          <w:numId w:val="2"/>
        </w:numPr>
        <w:spacing w:after="60"/>
      </w:pPr>
      <w:r>
        <w:rPr>
          <w:rFonts w:ascii="Times New Roman" w:cs="Times New Roman" w:eastAsia="Times New Roman" w:hAnsi="Times New Roman"/>
        </w:rPr>
        <w:t xml:space="preserve">le total par juré ;</w:t>
      </w:r>
    </w:p>
    <w:p>
      <w:pPr>
        <w:pStyle w:val="ListParagraph"/>
        <w:numPr>
          <w:ilvl w:val="0"/>
          <w:numId w:val="2"/>
        </w:numPr>
        <w:spacing w:after="60"/>
      </w:pPr>
      <w:r>
        <w:rPr>
          <w:rFonts w:ascii="Times New Roman" w:cs="Times New Roman" w:eastAsia="Times New Roman" w:hAnsi="Times New Roman"/>
        </w:rPr>
        <w:t xml:space="preserve">la moyenne des notes valides ;</w:t>
      </w:r>
    </w:p>
    <w:p>
      <w:pPr>
        <w:pStyle w:val="ListParagraph"/>
        <w:numPr>
          <w:ilvl w:val="0"/>
          <w:numId w:val="2"/>
        </w:numPr>
        <w:spacing w:after="60"/>
      </w:pPr>
      <w:r>
        <w:rPr>
          <w:rFonts w:ascii="Times New Roman" w:cs="Times New Roman" w:eastAsia="Times New Roman" w:hAnsi="Times New Roman"/>
        </w:rPr>
        <w:t xml:space="preserve">les coefficients éventuels ;</w:t>
      </w:r>
    </w:p>
    <w:p>
      <w:pPr>
        <w:pStyle w:val="ListParagraph"/>
        <w:numPr>
          <w:ilvl w:val="0"/>
          <w:numId w:val="2"/>
        </w:numPr>
        <w:spacing w:after="60"/>
      </w:pPr>
      <w:r>
        <w:rPr>
          <w:rFonts w:ascii="Times New Roman" w:cs="Times New Roman" w:eastAsia="Times New Roman" w:hAnsi="Times New Roman"/>
        </w:rPr>
        <w:t xml:space="preserve">les pénalités et bonus si le règlement les prévoit ;</w:t>
      </w:r>
    </w:p>
    <w:p>
      <w:pPr>
        <w:pStyle w:val="ListParagraph"/>
        <w:numPr>
          <w:ilvl w:val="0"/>
          <w:numId w:val="2"/>
        </w:numPr>
        <w:spacing w:after="60"/>
      </w:pPr>
      <w:r>
        <w:rPr>
          <w:rFonts w:ascii="Times New Roman" w:cs="Times New Roman" w:eastAsia="Times New Roman" w:hAnsi="Times New Roman"/>
        </w:rPr>
        <w:t xml:space="preserve">les notes manquantes ;</w:t>
      </w:r>
    </w:p>
    <w:p>
      <w:pPr>
        <w:pStyle w:val="ListParagraph"/>
        <w:numPr>
          <w:ilvl w:val="0"/>
          <w:numId w:val="2"/>
        </w:numPr>
        <w:spacing w:after="60"/>
      </w:pPr>
      <w:r>
        <w:rPr>
          <w:rFonts w:ascii="Times New Roman" w:cs="Times New Roman" w:eastAsia="Times New Roman" w:hAnsi="Times New Roman"/>
        </w:rPr>
        <w:t xml:space="preserve">le classement provisoire ;</w:t>
      </w:r>
    </w:p>
    <w:p>
      <w:pPr>
        <w:pStyle w:val="ListParagraph"/>
        <w:numPr>
          <w:ilvl w:val="0"/>
          <w:numId w:val="2"/>
        </w:numPr>
        <w:spacing w:after="60"/>
      </w:pPr>
      <w:r>
        <w:rPr>
          <w:rFonts w:ascii="Times New Roman" w:cs="Times New Roman" w:eastAsia="Times New Roman" w:hAnsi="Times New Roman"/>
        </w:rPr>
        <w:t xml:space="preserve">le classement définitif après validation.</w:t>
      </w:r>
    </w:p>
    <w:p>
      <w:pPr>
        <w:spacing w:after="120"/>
        <w:jc w:val="both"/>
      </w:pPr>
      <w:r>
        <w:rPr>
          <w:rFonts w:ascii="Times New Roman" w:cs="Times New Roman" w:eastAsia="Times New Roman" w:hAnsi="Times New Roman"/>
        </w:rPr>
        <w:t xml:space="preserve">La formule dépendra du barème configuré.</w:t>
      </w:r>
    </w:p>
    <w:p>
      <w:pPr>
        <w:spacing w:after="120"/>
        <w:jc w:val="both"/>
      </w:pPr>
      <w:r>
        <w:rPr>
          <w:rFonts w:ascii="Times New Roman" w:cs="Times New Roman" w:eastAsia="Times New Roman" w:hAnsi="Times New Roman"/>
        </w:rPr>
        <w:t xml:space="preserve">Les notes ne devront pas être considérées comme nulles lorsqu’un juré n’a pas encore évalué un candidat. L’interface devra distinguer une note manquante d’une note égale à zéro.</w:t>
      </w:r>
    </w:p>
    <w:p>
      <w:pPr>
        <w:pStyle w:val="Heading2"/>
      </w:pPr>
      <w:bookmarkStart w:name="_h40" w:id="140"/>
      <w:r>
        <w:t xml:space="preserve">10.4. Gestion des égalités et des désaccords</w:t>
      </w:r>
      <w:bookmarkEnd w:id="140"/>
    </w:p>
    <w:p>
      <w:pPr>
        <w:spacing w:after="120"/>
        <w:jc w:val="both"/>
      </w:pPr>
      <w:r>
        <w:rPr>
          <w:rFonts w:ascii="Times New Roman" w:cs="Times New Roman" w:eastAsia="Times New Roman" w:hAnsi="Times New Roman"/>
        </w:rPr>
        <w:t xml:space="preserve">L’application devra permettre de définir une règle de départage, par exemple :</w:t>
      </w:r>
    </w:p>
    <w:p>
      <w:pPr>
        <w:pStyle w:val="ListParagraph"/>
        <w:numPr>
          <w:ilvl w:val="0"/>
          <w:numId w:val="2"/>
        </w:numPr>
        <w:spacing w:after="60"/>
      </w:pPr>
      <w:r>
        <w:rPr>
          <w:rFonts w:ascii="Times New Roman" w:cs="Times New Roman" w:eastAsia="Times New Roman" w:hAnsi="Times New Roman"/>
        </w:rPr>
        <w:t xml:space="preserve">moyenne générale ;</w:t>
      </w:r>
    </w:p>
    <w:p>
      <w:pPr>
        <w:pStyle w:val="ListParagraph"/>
        <w:numPr>
          <w:ilvl w:val="0"/>
          <w:numId w:val="2"/>
        </w:numPr>
        <w:spacing w:after="60"/>
      </w:pPr>
      <w:r>
        <w:rPr>
          <w:rFonts w:ascii="Times New Roman" w:cs="Times New Roman" w:eastAsia="Times New Roman" w:hAnsi="Times New Roman"/>
        </w:rPr>
        <w:t xml:space="preserve">priorité à un critère défini par le règlement ;</w:t>
      </w:r>
    </w:p>
    <w:p>
      <w:pPr>
        <w:pStyle w:val="ListParagraph"/>
        <w:numPr>
          <w:ilvl w:val="0"/>
          <w:numId w:val="2"/>
        </w:numPr>
        <w:spacing w:after="60"/>
      </w:pPr>
      <w:r>
        <w:rPr>
          <w:rFonts w:ascii="Times New Roman" w:cs="Times New Roman" w:eastAsia="Times New Roman" w:hAnsi="Times New Roman"/>
        </w:rPr>
        <w:t xml:space="preserve">épreuve supplémentaire ;</w:t>
      </w:r>
    </w:p>
    <w:p>
      <w:pPr>
        <w:pStyle w:val="ListParagraph"/>
        <w:numPr>
          <w:ilvl w:val="0"/>
          <w:numId w:val="2"/>
        </w:numPr>
        <w:spacing w:after="60"/>
      </w:pPr>
      <w:r>
        <w:rPr>
          <w:rFonts w:ascii="Times New Roman" w:cs="Times New Roman" w:eastAsia="Times New Roman" w:hAnsi="Times New Roman"/>
        </w:rPr>
        <w:t xml:space="preserve">décision documentée du comité de concours (instance désignée par le règlement du concours).</w:t>
      </w:r>
    </w:p>
    <w:p>
      <w:pPr>
        <w:spacing w:after="120"/>
        <w:jc w:val="both"/>
      </w:pPr>
      <w:r>
        <w:rPr>
          <w:rFonts w:ascii="Times New Roman" w:cs="Times New Roman" w:eastAsia="Times New Roman" w:hAnsi="Times New Roman"/>
        </w:rPr>
        <w:t xml:space="preserve">Le système ne devra pas inventer automatiquement une règle en cas d’égalité. Il appliquera uniquement la règle prévue par le règlement du client et validée par le responsable client.</w:t>
      </w:r>
    </w:p>
    <w:p>
      <w:pPr>
        <w:pStyle w:val="Heading1"/>
      </w:pPr>
      <w:bookmarkStart w:name="_h41" w:id="141"/>
      <w:r>
        <w:t xml:space="preserve">11. Module des résultats et du classement</w:t>
      </w:r>
      <w:bookmarkEnd w:id="141"/>
    </w:p>
    <w:p>
      <w:pPr>
        <w:spacing w:after="120"/>
        <w:jc w:val="both"/>
      </w:pPr>
      <w:r>
        <w:rPr>
          <w:rFonts w:ascii="Times New Roman" w:cs="Times New Roman" w:eastAsia="Times New Roman" w:hAnsi="Times New Roman"/>
        </w:rPr>
        <w:t xml:space="preserve">Le module de résultats devra présenter plusieurs vues :</w:t>
      </w:r>
    </w:p>
    <w:p>
      <w:pPr>
        <w:pStyle w:val="ListParagraph"/>
        <w:numPr>
          <w:ilvl w:val="0"/>
          <w:numId w:val="7"/>
        </w:numPr>
        <w:spacing w:after="60"/>
      </w:pPr>
      <w:r>
        <w:rPr>
          <w:rFonts w:ascii="Times New Roman" w:cs="Times New Roman" w:eastAsia="Times New Roman" w:hAnsi="Times New Roman"/>
        </w:rPr>
        <w:t xml:space="preserve">classement par catégorie ;</w:t>
      </w:r>
    </w:p>
    <w:p>
      <w:pPr>
        <w:pStyle w:val="ListParagraph"/>
        <w:numPr>
          <w:ilvl w:val="0"/>
          <w:numId w:val="7"/>
        </w:numPr>
        <w:spacing w:after="60"/>
      </w:pPr>
      <w:r>
        <w:rPr>
          <w:rFonts w:ascii="Times New Roman" w:cs="Times New Roman" w:eastAsia="Times New Roman" w:hAnsi="Times New Roman"/>
        </w:rPr>
        <w:t xml:space="preserve">classement par épreuve ;</w:t>
      </w:r>
    </w:p>
    <w:p>
      <w:pPr>
        <w:pStyle w:val="ListParagraph"/>
        <w:numPr>
          <w:ilvl w:val="0"/>
          <w:numId w:val="7"/>
        </w:numPr>
        <w:spacing w:after="60"/>
      </w:pPr>
      <w:r>
        <w:rPr>
          <w:rFonts w:ascii="Times New Roman" w:cs="Times New Roman" w:eastAsia="Times New Roman" w:hAnsi="Times New Roman"/>
        </w:rPr>
        <w:t xml:space="preserve">résultats individuels ;</w:t>
      </w:r>
    </w:p>
    <w:p>
      <w:pPr>
        <w:pStyle w:val="ListParagraph"/>
        <w:numPr>
          <w:ilvl w:val="0"/>
          <w:numId w:val="7"/>
        </w:numPr>
        <w:spacing w:after="60"/>
      </w:pPr>
      <w:r>
        <w:rPr>
          <w:rFonts w:ascii="Times New Roman" w:cs="Times New Roman" w:eastAsia="Times New Roman" w:hAnsi="Times New Roman"/>
        </w:rPr>
        <w:t xml:space="preserve">notes détaillées par juré, accessibles uniquement aux personnes autorisées ;</w:t>
      </w:r>
    </w:p>
    <w:p>
      <w:pPr>
        <w:pStyle w:val="ListParagraph"/>
        <w:numPr>
          <w:ilvl w:val="0"/>
          <w:numId w:val="7"/>
        </w:numPr>
        <w:spacing w:after="60"/>
      </w:pPr>
      <w:r>
        <w:rPr>
          <w:rFonts w:ascii="Times New Roman" w:cs="Times New Roman" w:eastAsia="Times New Roman" w:hAnsi="Times New Roman"/>
        </w:rPr>
        <w:t xml:space="preserve">tableau des candidats dont la notation est incomplète ;</w:t>
      </w:r>
    </w:p>
    <w:p>
      <w:pPr>
        <w:pStyle w:val="ListParagraph"/>
        <w:numPr>
          <w:ilvl w:val="0"/>
          <w:numId w:val="7"/>
        </w:numPr>
        <w:spacing w:after="60"/>
      </w:pPr>
      <w:r>
        <w:rPr>
          <w:rFonts w:ascii="Times New Roman" w:cs="Times New Roman" w:eastAsia="Times New Roman" w:hAnsi="Times New Roman"/>
        </w:rPr>
        <w:t xml:space="preserve">classement provisoire et classement définitif ;</w:t>
      </w:r>
    </w:p>
    <w:p>
      <w:pPr>
        <w:pStyle w:val="ListParagraph"/>
        <w:numPr>
          <w:ilvl w:val="0"/>
          <w:numId w:val="7"/>
        </w:numPr>
        <w:spacing w:after="60"/>
      </w:pPr>
      <w:r>
        <w:rPr>
          <w:rFonts w:ascii="Times New Roman" w:cs="Times New Roman" w:eastAsia="Times New Roman" w:hAnsi="Times New Roman"/>
        </w:rPr>
        <w:t xml:space="preserve">historique des résultats validés.</w:t>
      </w:r>
    </w:p>
    <w:p>
      <w:pPr>
        <w:spacing w:after="120"/>
        <w:jc w:val="both"/>
      </w:pPr>
      <w:r>
        <w:rPr>
          <w:rFonts w:ascii="Times New Roman" w:cs="Times New Roman" w:eastAsia="Times New Roman" w:hAnsi="Times New Roman"/>
        </w:rPr>
        <w:t xml:space="preserve">Le responsable client valide le classement définitif avant sa publication et sa remise ; lorsque la double validation est activée (V2), la contre-validation du superviseur est également requise. L’opérateur ne peut pas valider seul les résultats.</w:t>
      </w:r>
    </w:p>
    <w:p>
      <w:pPr>
        <w:spacing w:after="120"/>
        <w:jc w:val="both"/>
      </w:pPr>
      <w:r>
        <w:rPr>
          <w:rFonts w:ascii="Times New Roman" w:cs="Times New Roman" w:eastAsia="Times New Roman" w:hAnsi="Times New Roman"/>
        </w:rPr>
        <w:t xml:space="preserve">Une correction postérieure à la validation devra être motivée, approuvée par le responsable client et journalisée ; la version corrigée du classement est identifiée comme telle.</w:t>
      </w:r>
    </w:p>
    <w:p>
      <w:pPr>
        <w:keepNext/>
        <w:spacing w:after="80" w:before="120"/>
      </w:pPr>
      <w:r>
        <w:rPr>
          <w:rFonts w:ascii="Times New Roman" w:cs="Times New Roman" w:eastAsia="Times New Roman" w:hAnsi="Times New Roman"/>
          <w:b/>
          <w:bCs/>
        </w:rPr>
        <w:t xml:space="preserve">Documents remis au client à l’issue de la mission :</w:t>
      </w:r>
    </w:p>
    <w:p>
      <w:pPr>
        <w:pStyle w:val="ListParagraph"/>
        <w:numPr>
          <w:ilvl w:val="0"/>
          <w:numId w:val="2"/>
        </w:numPr>
        <w:spacing w:after="60"/>
      </w:pPr>
      <w:r>
        <w:rPr>
          <w:rFonts w:ascii="Times New Roman" w:cs="Times New Roman" w:eastAsia="Times New Roman" w:hAnsi="Times New Roman"/>
        </w:rPr>
        <w:t xml:space="preserve">procès-verbal de déroulement et de résultats en PDF, comportant les classements par catégorie, l’historique des tirages (série attribuée, horodatage) et les éventuels incidents, signé par le responsable client et l’opérateur ;</w:t>
      </w:r>
    </w:p>
    <w:p>
      <w:pPr>
        <w:pStyle w:val="ListParagraph"/>
        <w:numPr>
          <w:ilvl w:val="0"/>
          <w:numId w:val="2"/>
        </w:numPr>
        <w:spacing w:after="60"/>
      </w:pPr>
      <w:r>
        <w:rPr>
          <w:rFonts w:ascii="Times New Roman" w:cs="Times New Roman" w:eastAsia="Times New Roman" w:hAnsi="Times New Roman"/>
        </w:rPr>
        <w:t xml:space="preserve">classements par catégorie en PDF et en tableur ;</w:t>
      </w:r>
    </w:p>
    <w:p>
      <w:pPr>
        <w:pStyle w:val="ListParagraph"/>
        <w:numPr>
          <w:ilvl w:val="0"/>
          <w:numId w:val="2"/>
        </w:numPr>
        <w:spacing w:after="60"/>
      </w:pPr>
      <w:r>
        <w:rPr>
          <w:rFonts w:ascii="Times New Roman" w:cs="Times New Roman" w:eastAsia="Times New Roman" w:hAnsi="Times New Roman"/>
        </w:rPr>
        <w:t xml:space="preserve">certificats ou attestations personnalisés (V2) ;</w:t>
      </w:r>
    </w:p>
    <w:p>
      <w:pPr>
        <w:pStyle w:val="ListParagraph"/>
        <w:numPr>
          <w:ilvl w:val="0"/>
          <w:numId w:val="2"/>
        </w:numPr>
        <w:spacing w:after="60"/>
      </w:pPr>
      <w:r>
        <w:rPr>
          <w:rFonts w:ascii="Times New Roman" w:cs="Times New Roman" w:eastAsia="Times New Roman" w:hAnsi="Times New Roman"/>
        </w:rPr>
        <w:t xml:space="preserve">export des données du concours (cf. §17).</w:t>
      </w:r>
    </w:p>
    <w:p>
      <w:pPr>
        <w:pStyle w:val="Heading2"/>
      </w:pPr>
      <w:bookmarkStart w:name="_h42" w:id="142"/>
      <w:r>
        <w:t xml:space="preserve">11.1. Affichage sur scène</w:t>
      </w:r>
      <w:bookmarkEnd w:id="142"/>
    </w:p>
    <w:p>
      <w:pPr>
        <w:spacing w:after="120"/>
        <w:jc w:val="both"/>
      </w:pPr>
      <w:r>
        <w:rPr>
          <w:rFonts w:ascii="Times New Roman" w:cs="Times New Roman" w:eastAsia="Times New Roman" w:hAnsi="Times New Roman"/>
        </w:rPr>
        <w:t xml:space="preserve">L’écran scène devra être optimisé pour un vidéoprojecteur ou un écran de grande taille. Il pourra afficher :</w:t>
      </w:r>
    </w:p>
    <w:p>
      <w:pPr>
        <w:pStyle w:val="ListParagraph"/>
        <w:numPr>
          <w:ilvl w:val="0"/>
          <w:numId w:val="2"/>
        </w:numPr>
        <w:spacing w:after="60"/>
      </w:pPr>
      <w:r>
        <w:rPr>
          <w:rFonts w:ascii="Times New Roman" w:cs="Times New Roman" w:eastAsia="Times New Roman" w:hAnsi="Times New Roman"/>
        </w:rPr>
        <w:t xml:space="preserve">le nom ou le numéro du candidat ;</w:t>
      </w:r>
    </w:p>
    <w:p>
      <w:pPr>
        <w:pStyle w:val="ListParagraph"/>
        <w:numPr>
          <w:ilvl w:val="0"/>
          <w:numId w:val="2"/>
        </w:numPr>
        <w:spacing w:after="60"/>
      </w:pPr>
      <w:r>
        <w:rPr>
          <w:rFonts w:ascii="Times New Roman" w:cs="Times New Roman" w:eastAsia="Times New Roman" w:hAnsi="Times New Roman"/>
        </w:rPr>
        <w:t xml:space="preserve">la catégorie ;</w:t>
      </w:r>
    </w:p>
    <w:p>
      <w:pPr>
        <w:pStyle w:val="ListParagraph"/>
        <w:numPr>
          <w:ilvl w:val="0"/>
          <w:numId w:val="2"/>
        </w:numPr>
        <w:spacing w:after="60"/>
      </w:pPr>
      <w:r>
        <w:rPr>
          <w:rFonts w:ascii="Times New Roman" w:cs="Times New Roman" w:eastAsia="Times New Roman" w:hAnsi="Times New Roman"/>
        </w:rPr>
        <w:t xml:space="preserve">le passage coranique courant, si l’épreuve l’autorise (cf. §9.1) ;</w:t>
      </w:r>
    </w:p>
    <w:p>
      <w:pPr>
        <w:pStyle w:val="ListParagraph"/>
        <w:numPr>
          <w:ilvl w:val="0"/>
          <w:numId w:val="2"/>
        </w:numPr>
        <w:spacing w:after="60"/>
      </w:pPr>
      <w:r>
        <w:rPr>
          <w:rFonts w:ascii="Times New Roman" w:cs="Times New Roman" w:eastAsia="Times New Roman" w:hAnsi="Times New Roman"/>
        </w:rPr>
        <w:t xml:space="preserve">le numéro du verset ;</w:t>
      </w:r>
    </w:p>
    <w:p>
      <w:pPr>
        <w:pStyle w:val="ListParagraph"/>
        <w:numPr>
          <w:ilvl w:val="0"/>
          <w:numId w:val="2"/>
        </w:numPr>
        <w:spacing w:after="60"/>
      </w:pPr>
      <w:r>
        <w:rPr>
          <w:rFonts w:ascii="Times New Roman" w:cs="Times New Roman" w:eastAsia="Times New Roman" w:hAnsi="Times New Roman"/>
        </w:rPr>
        <w:t xml:space="preserve">l’état de la prestation ;</w:t>
      </w:r>
    </w:p>
    <w:p>
      <w:pPr>
        <w:pStyle w:val="ListParagraph"/>
        <w:numPr>
          <w:ilvl w:val="0"/>
          <w:numId w:val="2"/>
        </w:numPr>
        <w:spacing w:after="60"/>
      </w:pPr>
      <w:r>
        <w:rPr>
          <w:rFonts w:ascii="Times New Roman" w:cs="Times New Roman" w:eastAsia="Times New Roman" w:hAnsi="Times New Roman"/>
        </w:rPr>
        <w:t xml:space="preserve">le classement, lorsque sa publication est autorisée ;</w:t>
      </w:r>
    </w:p>
    <w:p>
      <w:pPr>
        <w:pStyle w:val="ListParagraph"/>
        <w:numPr>
          <w:ilvl w:val="0"/>
          <w:numId w:val="2"/>
        </w:numPr>
        <w:spacing w:after="60"/>
      </w:pPr>
      <w:r>
        <w:rPr>
          <w:rFonts w:ascii="Times New Roman" w:cs="Times New Roman" w:eastAsia="Times New Roman" w:hAnsi="Times New Roman"/>
        </w:rPr>
        <w:t xml:space="preserve">les résultats officiels après validation.</w:t>
      </w:r>
    </w:p>
    <w:p>
      <w:pPr>
        <w:spacing w:after="120"/>
        <w:jc w:val="both"/>
      </w:pPr>
      <w:r>
        <w:rPr>
          <w:rFonts w:ascii="Times New Roman" w:cs="Times New Roman" w:eastAsia="Times New Roman" w:hAnsi="Times New Roman"/>
        </w:rPr>
        <w:t xml:space="preserve">Le mode scène devra être distinct de l’interface d’administration et ne pas afficher les informations privées des candidats ni les notes individuelles confidentielles. Pour les candidats mineurs, l’affichage public est limité par défaut au prénom, à l’initiale du nom et au numéro de candidat (cf. §16.2).</w:t>
      </w:r>
    </w:p>
    <w:p>
      <w:pPr>
        <w:pStyle w:val="Heading1"/>
      </w:pPr>
      <w:bookmarkStart w:name="_h43" w:id="143"/>
      <w:r>
        <w:t xml:space="preserve">12. Corpus coranique de référence</w:t>
      </w:r>
      <w:bookmarkEnd w:id="143"/>
    </w:p>
    <w:p>
      <w:pPr>
        <w:spacing w:after="120"/>
        <w:jc w:val="both"/>
      </w:pPr>
      <w:r>
        <w:rPr>
          <w:rFonts w:ascii="Times New Roman" w:cs="Times New Roman" w:eastAsia="Times New Roman" w:hAnsi="Times New Roman"/>
        </w:rPr>
        <w:t xml:space="preserve">La fiabilité du texte coranique est une exigence fondamentale du projet. La présente section fixe la source unique, les procédures de vérification et de versionnement ainsi que les règles de numérotation.</w:t>
      </w:r>
    </w:p>
    <w:p>
      <w:pPr>
        <w:pStyle w:val="Heading2"/>
      </w:pPr>
      <w:bookmarkStart w:name="_h44" w:id="144"/>
      <w:r>
        <w:t xml:space="preserve">12.1. Source officielle unique</w:t>
      </w:r>
      <w:bookmarkEnd w:id="144"/>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00"/>
        <w:gridCol w:w="6872"/>
      </w:tblGrid>
      <w:tr>
        <w:trPr>
          <w:cantSplit/>
          <w:tblHeader/>
        </w:trPr>
        <w:tc>
          <w:tcPr>
            <w:tcW w:type="dxa" w:w="2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Élément</w:t>
            </w:r>
          </w:p>
        </w:tc>
        <w:tc>
          <w:tcPr>
            <w:tcW w:type="dxa" w:w="687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Décision</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Source</w:t>
            </w:r>
          </w:p>
        </w:tc>
        <w:tc>
          <w:tcPr>
            <w:tcW w:type="dxa" w:w="68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Projet Tanzil (tanzil.net) — « Tanzil Quran Text », dernière version publiée à la date d’intégration.</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Type de texte</w:t>
            </w:r>
          </w:p>
        </w:tc>
        <w:tc>
          <w:tcPr>
            <w:tcW w:type="dxa" w:w="68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Uthmani (graphie du Mushaf de Médine).</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Riwāya</w:t>
            </w:r>
          </w:p>
        </w:tc>
        <w:tc>
          <w:tcPr>
            <w:tcW w:type="dxa" w:w="68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Hafs ʿan ʿĀṣim.</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Format importé</w:t>
            </w:r>
          </w:p>
        </w:tc>
        <w:tc>
          <w:tcPr>
            <w:tcW w:type="dxa" w:w="68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Fichier XML ou texte avec numéros de sourate et de verset, téléchargé exclusivement depuis le site officiel du projet.</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Métadonnées</w:t>
            </w:r>
          </w:p>
        </w:tc>
        <w:tc>
          <w:tcPr>
            <w:tcW w:type="dxa" w:w="68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Fichier de métadonnées Tanzil (noms des sourates, nombre de versets, ordre, sajdas).</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Traduction française</w:t>
            </w:r>
          </w:p>
        </w:tc>
        <w:tc>
          <w:tcPr>
            <w:tcW w:type="dxa" w:w="68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Traduction distribuée par Tanzil, choisie et validée par le référent coranique, sous réserve de vérification de sa licence.</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Licence</w:t>
            </w:r>
          </w:p>
        </w:tc>
        <w:tc>
          <w:tcPr>
            <w:tcW w:type="dxa" w:w="68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Le texte est utilisé verbatim, sans aucune modification ; la source (Projet Tanzil) est citée et un lien vers tanzil.net est affiché dans l’application, conformément aux conditions d’utilisation du projet.</w:t>
            </w:r>
          </w:p>
        </w:tc>
      </w:tr>
    </w:tbl>
    <w:p>
      <w:pPr>
        <w:spacing w:after="120"/>
      </w:pPr>
    </w:p>
    <w:p>
      <w:pPr>
        <w:spacing w:after="120"/>
        <w:jc w:val="both"/>
      </w:pPr>
      <w:r>
        <w:rPr>
          <w:rFonts w:ascii="Times New Roman" w:cs="Times New Roman" w:eastAsia="Times New Roman" w:hAnsi="Times New Roman"/>
        </w:rPr>
        <w:t xml:space="preserve">Le fichier </w:t>
      </w:r>
      <w:r>
        <w:rPr>
          <w:rFonts w:ascii="Courier New" w:cs="Courier New" w:eastAsia="Courier New" w:hAnsi="Courier New"/>
          <w:sz w:val="20"/>
          <w:szCs w:val="20"/>
        </w:rPr>
        <w:t xml:space="preserve">quranova.xlsx</w:t>
      </w:r>
      <w:r>
        <w:rPr>
          <w:rFonts w:ascii="Times New Roman" w:cs="Times New Roman" w:eastAsia="Times New Roman" w:hAnsi="Times New Roman"/>
        </w:rPr>
        <w:t xml:space="preserve"> mentionné dans la version 1.0 comme source alternative est </w:t>
      </w:r>
      <w:r>
        <w:rPr>
          <w:rFonts w:ascii="Times New Roman" w:cs="Times New Roman" w:eastAsia="Times New Roman" w:hAnsi="Times New Roman"/>
          <w:b/>
          <w:bCs/>
        </w:rPr>
        <w:t xml:space="preserve">supprimé</w:t>
      </w:r>
      <w:r>
        <w:rPr>
          <w:rFonts w:ascii="Times New Roman" w:cs="Times New Roman" w:eastAsia="Times New Roman" w:hAnsi="Times New Roman"/>
        </w:rPr>
        <w:t xml:space="preserve"> : aucune autre source de texte coranique n’est admise. Aucun compte d’organisation ne peut importer ni modifier de texte coranique.</w:t>
      </w:r>
    </w:p>
    <w:p>
      <w:pPr>
        <w:pStyle w:val="Heading2"/>
      </w:pPr>
      <w:bookmarkStart w:name="_h45" w:id="145"/>
      <w:r>
        <w:t xml:space="preserve">12.2. Procédure de vérification avant intégration</w:t>
      </w:r>
      <w:bookmarkEnd w:id="145"/>
    </w:p>
    <w:p>
      <w:pPr>
        <w:pStyle w:val="ListParagraph"/>
        <w:numPr>
          <w:ilvl w:val="0"/>
          <w:numId w:val="8"/>
        </w:numPr>
        <w:spacing w:after="60"/>
      </w:pPr>
      <w:r>
        <w:rPr>
          <w:rFonts w:ascii="Times New Roman" w:cs="Times New Roman" w:eastAsia="Times New Roman" w:hAnsi="Times New Roman"/>
        </w:rPr>
        <w:t xml:space="preserve">téléchargement du fichier depuis le site officiel Tanzil et consignation de son empreinte SHA-256, de la version source et de la date ;</w:t>
      </w:r>
    </w:p>
    <w:p>
      <w:pPr>
        <w:pStyle w:val="ListParagraph"/>
        <w:numPr>
          <w:ilvl w:val="0"/>
          <w:numId w:val="8"/>
        </w:numPr>
        <w:spacing w:after="60"/>
      </w:pPr>
      <w:r>
        <w:rPr>
          <w:rFonts w:ascii="Times New Roman" w:cs="Times New Roman" w:eastAsia="Times New Roman" w:hAnsi="Times New Roman"/>
        </w:rPr>
        <w:t xml:space="preserve">import sans aucune transformation : aucune normalisation Unicode, suppression de diacritiques ou correction automatique n’est appliquée ; le texte est stocké tel quel en UTF-8 ;</w:t>
      </w:r>
    </w:p>
    <w:p>
      <w:pPr>
        <w:pStyle w:val="ListParagraph"/>
        <w:numPr>
          <w:ilvl w:val="0"/>
          <w:numId w:val="8"/>
        </w:numPr>
        <w:spacing w:after="60"/>
      </w:pPr>
      <w:r>
        <w:rPr>
          <w:rFonts w:ascii="Times New Roman" w:cs="Times New Roman" w:eastAsia="Times New Roman" w:hAnsi="Times New Roman"/>
        </w:rPr>
        <w:t xml:space="preserve">contrôles automatiques : 114 sourates, 6 236 versets, nombre de versets de chaque sourate conforme aux métadonnées, absence de verset vide, continuité de la numérotation ;</w:t>
      </w:r>
    </w:p>
    <w:p>
      <w:pPr>
        <w:pStyle w:val="ListParagraph"/>
        <w:numPr>
          <w:ilvl w:val="0"/>
          <w:numId w:val="8"/>
        </w:numPr>
        <w:spacing w:after="60"/>
      </w:pPr>
      <w:r>
        <w:rPr>
          <w:rFonts w:ascii="Times New Roman" w:cs="Times New Roman" w:eastAsia="Times New Roman" w:hAnsi="Times New Roman"/>
        </w:rPr>
        <w:t xml:space="preserve">contrôle d’aller-retour : l’export du corpus depuis la base est comparé octet par octet au fichier source ;</w:t>
      </w:r>
    </w:p>
    <w:p>
      <w:pPr>
        <w:pStyle w:val="ListParagraph"/>
        <w:numPr>
          <w:ilvl w:val="0"/>
          <w:numId w:val="8"/>
        </w:numPr>
        <w:spacing w:after="60"/>
      </w:pPr>
      <w:r>
        <w:rPr>
          <w:rFonts w:ascii="Times New Roman" w:cs="Times New Roman" w:eastAsia="Times New Roman" w:hAnsi="Times New Roman"/>
        </w:rPr>
        <w:t xml:space="preserve">relecture par le référent coranique d’un échantillon défini (sourate 1, verset 2:255, verset 2:282, sourates 36 et 112 à 114, ainsi qu’au moins 1 % de versets tirés au hasard), comparé au Mushaf de Médine ;</w:t>
      </w:r>
    </w:p>
    <w:p>
      <w:pPr>
        <w:pStyle w:val="ListParagraph"/>
        <w:numPr>
          <w:ilvl w:val="0"/>
          <w:numId w:val="8"/>
        </w:numPr>
        <w:spacing w:after="60"/>
      </w:pPr>
      <w:r>
        <w:rPr>
          <w:rFonts w:ascii="Times New Roman" w:cs="Times New Roman" w:eastAsia="Times New Roman" w:hAnsi="Times New Roman"/>
        </w:rPr>
        <w:t xml:space="preserve">validation du rendu typographique (police, ligatures, signes de récitation) sur l’écran scène et sur l’écran jury ;</w:t>
      </w:r>
    </w:p>
    <w:p>
      <w:pPr>
        <w:pStyle w:val="ListParagraph"/>
        <w:numPr>
          <w:ilvl w:val="0"/>
          <w:numId w:val="8"/>
        </w:numPr>
        <w:spacing w:after="60"/>
      </w:pPr>
      <w:r>
        <w:rPr>
          <w:rFonts w:ascii="Times New Roman" w:cs="Times New Roman" w:eastAsia="Times New Roman" w:hAnsi="Times New Roman"/>
        </w:rPr>
        <w:t xml:space="preserve">signature d’un procès-verbal de validation du corpus par le référent coranique, préalable à l’activation de la version.</w:t>
      </w:r>
    </w:p>
    <w:p>
      <w:pPr>
        <w:pStyle w:val="Heading2"/>
      </w:pPr>
      <w:bookmarkStart w:name="_h46" w:id="146"/>
      <w:r>
        <w:t xml:space="preserve">12.3. Versionnement et mise à jour</w:t>
      </w:r>
      <w:bookmarkEnd w:id="146"/>
    </w:p>
    <w:p>
      <w:pPr>
        <w:pStyle w:val="ListParagraph"/>
        <w:numPr>
          <w:ilvl w:val="0"/>
          <w:numId w:val="2"/>
        </w:numPr>
        <w:spacing w:after="60"/>
      </w:pPr>
      <w:r>
        <w:rPr>
          <w:rFonts w:ascii="Times New Roman" w:cs="Times New Roman" w:eastAsia="Times New Roman" w:hAnsi="Times New Roman"/>
        </w:rPr>
        <w:t xml:space="preserve">chaque import crée une </w:t>
      </w:r>
      <w:r>
        <w:rPr>
          <w:rFonts w:ascii="Times New Roman" w:cs="Times New Roman" w:eastAsia="Times New Roman" w:hAnsi="Times New Roman"/>
          <w:b/>
          <w:bCs/>
        </w:rPr>
        <w:t xml:space="preserve">version du corpus</w:t>
      </w:r>
      <w:r>
        <w:rPr>
          <w:rFonts w:ascii="Times New Roman" w:cs="Times New Roman" w:eastAsia="Times New Roman" w:hAnsi="Times New Roman"/>
        </w:rPr>
        <w:t xml:space="preserve"> identifiée (identifiant, source, version source, riwāya, date, empreinte, statut : importée, validée, active, retirée) ;</w:t>
      </w:r>
    </w:p>
    <w:p>
      <w:pPr>
        <w:pStyle w:val="ListParagraph"/>
        <w:numPr>
          <w:ilvl w:val="0"/>
          <w:numId w:val="2"/>
        </w:numPr>
        <w:spacing w:after="60"/>
      </w:pPr>
      <w:r>
        <w:rPr>
          <w:rFonts w:ascii="Times New Roman" w:cs="Times New Roman" w:eastAsia="Times New Roman" w:hAnsi="Times New Roman"/>
        </w:rPr>
        <w:t xml:space="preserve">une version validée est immuable ; toute correction donne lieu à une nouvelle version ;</w:t>
      </w:r>
    </w:p>
    <w:p>
      <w:pPr>
        <w:pStyle w:val="ListParagraph"/>
        <w:numPr>
          <w:ilvl w:val="0"/>
          <w:numId w:val="2"/>
        </w:numPr>
        <w:spacing w:after="60"/>
      </w:pPr>
      <w:r>
        <w:rPr>
          <w:rFonts w:ascii="Times New Roman" w:cs="Times New Roman" w:eastAsia="Times New Roman" w:hAnsi="Times New Roman"/>
        </w:rPr>
        <w:t xml:space="preserve">chaque concours est rattaché à une version du corpus, figée à son ouverture ; chaque passage coranique enregistre l’identifiant de cette version ;</w:t>
      </w:r>
    </w:p>
    <w:p>
      <w:pPr>
        <w:pStyle w:val="ListParagraph"/>
        <w:numPr>
          <w:ilvl w:val="0"/>
          <w:numId w:val="2"/>
        </w:numPr>
        <w:spacing w:after="60"/>
      </w:pPr>
      <w:r>
        <w:rPr>
          <w:rFonts w:ascii="Times New Roman" w:cs="Times New Roman" w:eastAsia="Times New Roman" w:hAnsi="Times New Roman"/>
        </w:rPr>
        <w:t xml:space="preserve">mise à jour : veille sur les publications du projet Tanzil, import de la nouvelle version, production d’un rapport de différences verset par verset, validation du référent coranique, puis activation pour les nouveaux concours uniquement ; les concours existants conservent leur version ;</w:t>
      </w:r>
    </w:p>
    <w:p>
      <w:pPr>
        <w:pStyle w:val="ListParagraph"/>
        <w:numPr>
          <w:ilvl w:val="0"/>
          <w:numId w:val="2"/>
        </w:numPr>
        <w:spacing w:after="60"/>
      </w:pPr>
      <w:r>
        <w:rPr>
          <w:rFonts w:ascii="Times New Roman" w:cs="Times New Roman" w:eastAsia="Times New Roman" w:hAnsi="Times New Roman"/>
        </w:rPr>
        <w:t xml:space="preserve">si une anomalie est découverte dans une version active, l’administrateur QURANOVA informe les clients dont des passages coraniques sont concernés ;</w:t>
      </w:r>
    </w:p>
    <w:p>
      <w:pPr>
        <w:pStyle w:val="ListParagraph"/>
        <w:numPr>
          <w:ilvl w:val="0"/>
          <w:numId w:val="2"/>
        </w:numPr>
        <w:spacing w:after="60"/>
      </w:pPr>
      <w:r>
        <w:rPr>
          <w:rFonts w:ascii="Times New Roman" w:cs="Times New Roman" w:eastAsia="Times New Roman" w:hAnsi="Times New Roman"/>
        </w:rPr>
        <w:t xml:space="preserve">toutes les opérations sur le corpus sont réservées à l’administrateur QURANOVA et journalisées.</w:t>
      </w:r>
    </w:p>
    <w:p>
      <w:pPr>
        <w:pStyle w:val="Heading2"/>
      </w:pPr>
      <w:bookmarkStart w:name="_h47" w:id="147"/>
      <w:r>
        <w:t xml:space="preserve">12.4. Règles de numérotation des versets</w:t>
      </w:r>
      <w:bookmarkEnd w:id="147"/>
    </w:p>
    <w:p>
      <w:pPr>
        <w:pStyle w:val="ListParagraph"/>
        <w:numPr>
          <w:ilvl w:val="0"/>
          <w:numId w:val="2"/>
        </w:numPr>
        <w:spacing w:after="60"/>
      </w:pPr>
      <w:r>
        <w:rPr>
          <w:rFonts w:ascii="Times New Roman" w:cs="Times New Roman" w:eastAsia="Times New Roman" w:hAnsi="Times New Roman"/>
        </w:rPr>
        <w:t xml:space="preserve">la numérotation suit le comptage koufi associé à la riwāya Hafs (6 236 versets) ;</w:t>
      </w:r>
    </w:p>
    <w:p>
      <w:pPr>
        <w:pStyle w:val="ListParagraph"/>
        <w:numPr>
          <w:ilvl w:val="0"/>
          <w:numId w:val="2"/>
        </w:numPr>
        <w:spacing w:after="60"/>
      </w:pPr>
      <w:r>
        <w:rPr>
          <w:rFonts w:ascii="Times New Roman" w:cs="Times New Roman" w:eastAsia="Times New Roman" w:hAnsi="Times New Roman"/>
        </w:rPr>
        <w:t xml:space="preserve">une référence s’écrit « sourate:verset » (ex. 2:255) ; un passage coranique s’écrit « 2:142–2:150 » ;</w:t>
      </w:r>
    </w:p>
    <w:p>
      <w:pPr>
        <w:pStyle w:val="ListParagraph"/>
        <w:numPr>
          <w:ilvl w:val="0"/>
          <w:numId w:val="2"/>
        </w:numPr>
        <w:spacing w:after="60"/>
      </w:pPr>
      <w:r>
        <w:rPr>
          <w:rFonts w:ascii="Times New Roman" w:cs="Times New Roman" w:eastAsia="Times New Roman" w:hAnsi="Times New Roman"/>
        </w:rPr>
        <w:t xml:space="preserve">la basmala est comptée comme verset uniquement dans la sourate 1 (Al-Fātiḥa, 1:1) ;</w:t>
      </w:r>
    </w:p>
    <w:p>
      <w:pPr>
        <w:pStyle w:val="ListParagraph"/>
        <w:numPr>
          <w:ilvl w:val="0"/>
          <w:numId w:val="2"/>
        </w:numPr>
        <w:spacing w:after="60"/>
      </w:pPr>
      <w:r>
        <w:rPr>
          <w:rFonts w:ascii="Times New Roman" w:cs="Times New Roman" w:eastAsia="Times New Roman" w:hAnsi="Times New Roman"/>
        </w:rPr>
        <w:t xml:space="preserve">pour les autres sourates, à l’exception de la sourate 9 (At-Tawba) qui n’en comporte pas, la basmala n’est pas numérotée ; lorsqu’un passage coranique commence au verset 1, elle peut être affichée sous forme de diapositive intercalaire non numérotée (paramètre de l’épreuve) ;</w:t>
      </w:r>
    </w:p>
    <w:p>
      <w:pPr>
        <w:pStyle w:val="ListParagraph"/>
        <w:numPr>
          <w:ilvl w:val="0"/>
          <w:numId w:val="2"/>
        </w:numPr>
        <w:spacing w:after="60"/>
      </w:pPr>
      <w:r>
        <w:rPr>
          <w:rFonts w:ascii="Times New Roman" w:cs="Times New Roman" w:eastAsia="Times New Roman" w:hAnsi="Times New Roman"/>
        </w:rPr>
        <w:t xml:space="preserve">les noms des sourates sont affichés en arabe et dans leur translittération française usuelle.</w:t>
      </w:r>
    </w:p>
    <w:p>
      <w:pPr>
        <w:pStyle w:val="Heading2"/>
      </w:pPr>
      <w:bookmarkStart w:name="_h48" w:id="148"/>
      <w:r>
        <w:t xml:space="preserve">12.5. Options de riwāya</w:t>
      </w:r>
      <w:bookmarkEnd w:id="148"/>
    </w:p>
    <w:p>
      <w:pPr>
        <w:spacing w:after="120"/>
        <w:jc w:val="both"/>
      </w:pPr>
      <w:r>
        <w:rPr>
          <w:rFonts w:ascii="Times New Roman" w:cs="Times New Roman" w:eastAsia="Times New Roman" w:hAnsi="Times New Roman"/>
        </w:rPr>
        <w:t xml:space="preserve">Le périmètre initial est limité à la riwāya Hafs ʿan ʿĀṣim. Le modèle de données comporte toutefois un attribut « riwāya » sur chaque version du corpus afin de permettre l’ajout ultérieur d’une autre riwāya (par exemple Warsh ʿan Nāfiʿ) sans restructuration. Une telle évolution nécessiterait une source distincte validée selon §12.2 et une table de correspondance de numérotation, le comptage des versets différant selon les riwāyāt.</w:t>
      </w:r>
    </w:p>
    <w:p>
      <w:pPr>
        <w:pStyle w:val="Heading1"/>
      </w:pPr>
      <w:bookmarkStart w:name="_h49" w:id="149"/>
      <w:r>
        <w:t xml:space="preserve">13. Architecture technique *</w:t>
      </w:r>
      <w:bookmarkEnd w:id="149"/>
    </w:p>
    <w:p>
      <w:pPr>
        <w:pStyle w:val="Heading2"/>
      </w:pPr>
      <w:bookmarkStart w:name="_h50" w:id="150"/>
      <w:r>
        <w:t xml:space="preserve">13.1. Principe « local d’abord »</w:t>
      </w:r>
      <w:bookmarkEnd w:id="150"/>
    </w:p>
    <w:p>
      <w:pPr>
        <w:spacing w:after="120"/>
        <w:jc w:val="both"/>
      </w:pPr>
      <w:r>
        <w:rPr>
          <w:rFonts w:ascii="Times New Roman" w:cs="Times New Roman" w:eastAsia="Times New Roman" w:hAnsi="Times New Roman"/>
        </w:rPr>
        <w:t xml:space="preserve">QURANOVA est une application web unique, déployable selon deux modes à partir du même code et de la même image Docker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6072"/>
      </w:tblGrid>
      <w:tr>
        <w:trPr>
          <w:cantSplit/>
          <w:tblHeader/>
        </w:trPr>
        <w:tc>
          <w:tcPr>
            <w:tcW w:type="dxa" w:w="2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Mode</w:t>
            </w:r>
          </w:p>
        </w:tc>
        <w:tc>
          <w:tcPr>
            <w:tcW w:type="dxa" w:w="1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Version</w:t>
            </w:r>
          </w:p>
        </w:tc>
        <w:tc>
          <w:tcPr>
            <w:tcW w:type="dxa" w:w="607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Rôle</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Serveur de salle</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V1</w:t>
            </w:r>
          </w:p>
        </w:tc>
        <w:tc>
          <w:tcPr>
            <w:tcW w:type="dxa" w:w="60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Mode de fonctionnement par défaut le jour J. Un ordinateur portable du prestataire exécute l’application ; tous les écrans de la salle s’y connectent par un réseau Wi-Fi dédié. Aucune connexion Internet n’est nécessaire.</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Instance centrale</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V2</w:t>
            </w:r>
          </w:p>
        </w:tc>
        <w:tc>
          <w:tcPr>
            <w:tcW w:type="dxa" w:w="60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Installation en ligne servant à la préparation à distance avec le client, à l’archivage des concours, à la sauvegarde et à la publication des résultats.</w:t>
            </w:r>
          </w:p>
        </w:tc>
      </w:tr>
    </w:tbl>
    <w:p>
      <w:pPr>
        <w:spacing w:after="120"/>
      </w:pPr>
    </w:p>
    <w:p>
      <w:pPr>
        <w:keepNext/>
        <w:spacing w:after="80" w:before="120"/>
      </w:pPr>
      <w:r>
        <w:rPr>
          <w:rFonts w:ascii="Times New Roman" w:cs="Times New Roman" w:eastAsia="Times New Roman" w:hAnsi="Times New Roman"/>
          <w:b/>
          <w:bCs/>
        </w:rPr>
        <w:t xml:space="preserve">Configuration de la salle (V1) :</w:t>
      </w:r>
    </w:p>
    <w:p>
      <w:pPr>
        <w:pStyle w:val="ListParagraph"/>
        <w:numPr>
          <w:ilvl w:val="0"/>
          <w:numId w:val="2"/>
        </w:numPr>
        <w:spacing w:after="60"/>
      </w:pPr>
      <w:r>
        <w:rPr>
          <w:rFonts w:ascii="Times New Roman" w:cs="Times New Roman" w:eastAsia="Times New Roman" w:hAnsi="Times New Roman"/>
        </w:rPr>
        <w:t xml:space="preserve">tous les terminaux appartiennent au prestataire : ordinateur serveur et de commande, tablette de tirage, tablettes des jurés, mini-ordinateur ou sortie HDMI pour l’écran scène ;</w:t>
      </w:r>
    </w:p>
    <w:p>
      <w:pPr>
        <w:pStyle w:val="ListParagraph"/>
        <w:numPr>
          <w:ilvl w:val="0"/>
          <w:numId w:val="2"/>
        </w:numPr>
        <w:spacing w:after="60"/>
      </w:pPr>
      <w:r>
        <w:rPr>
          <w:rFonts w:ascii="Times New Roman" w:cs="Times New Roman" w:eastAsia="Times New Roman" w:hAnsi="Times New Roman"/>
        </w:rPr>
        <w:t xml:space="preserve">routeur Wi-Fi dédié, réseau protégé (WPA2 ou WPA3) dont le mot de passe est changé à chaque mission ; aucun appareil extérieur n’y est admis ;</w:t>
      </w:r>
    </w:p>
    <w:p>
      <w:pPr>
        <w:pStyle w:val="ListParagraph"/>
        <w:numPr>
          <w:ilvl w:val="0"/>
          <w:numId w:val="2"/>
        </w:numPr>
        <w:spacing w:after="60"/>
      </w:pPr>
      <w:r>
        <w:rPr>
          <w:rFonts w:ascii="Times New Roman" w:cs="Times New Roman" w:eastAsia="Times New Roman" w:hAnsi="Times New Roman"/>
        </w:rPr>
        <w:t xml:space="preserve">adresse fixe du serveur sur le réseau local et accès HTTPS au moyen d’une autorité de certification locale installée sur les terminaux du prestataire ;</w:t>
      </w:r>
    </w:p>
    <w:p>
      <w:pPr>
        <w:pStyle w:val="ListParagraph"/>
        <w:numPr>
          <w:ilvl w:val="0"/>
          <w:numId w:val="2"/>
        </w:numPr>
        <w:spacing w:after="60"/>
      </w:pPr>
      <w:r>
        <w:rPr>
          <w:rFonts w:ascii="Times New Roman" w:cs="Times New Roman" w:eastAsia="Times New Roman" w:hAnsi="Times New Roman"/>
        </w:rPr>
        <w:t xml:space="preserve">tablettes en mode kiosque, écran maintenu allumé pendant la session (API de verrouillage d’éveil) ;</w:t>
      </w:r>
    </w:p>
    <w:p>
      <w:pPr>
        <w:pStyle w:val="ListParagraph"/>
        <w:numPr>
          <w:ilvl w:val="0"/>
          <w:numId w:val="2"/>
        </w:numPr>
        <w:spacing w:after="60"/>
      </w:pPr>
      <w:r>
        <w:rPr>
          <w:rFonts w:ascii="Times New Roman" w:cs="Times New Roman" w:eastAsia="Times New Roman" w:hAnsi="Times New Roman"/>
        </w:rPr>
        <w:t xml:space="preserve">onduleur assurant au moins une heure d’autonomie au serveur et au routeur.</w:t>
      </w:r>
    </w:p>
    <w:p>
      <w:pPr>
        <w:pStyle w:val="Heading2"/>
      </w:pPr>
      <w:bookmarkStart w:name="_h51" w:id="151"/>
      <w:r>
        <w:t xml:space="preserve">13.2. Technologies retenues</w:t>
      </w:r>
      <w:bookmarkEnd w:id="151"/>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72"/>
      </w:tblGrid>
      <w:tr>
        <w:trPr>
          <w:cantSplit/>
          <w:tblHeader/>
        </w:trPr>
        <w:tc>
          <w:tcPr>
            <w:tcW w:type="dxa" w:w="2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Couche</w:t>
            </w:r>
          </w:p>
        </w:tc>
        <w:tc>
          <w:tcPr>
            <w:tcW w:type="dxa" w:w="3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Technologie retenue</w:t>
            </w:r>
          </w:p>
        </w:tc>
        <w:tc>
          <w:tcPr>
            <w:tcW w:type="dxa" w:w="347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Rôle</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Logique métier</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Python 3.12 ou supérieur, Django 5.2 LTS</w:t>
            </w:r>
          </w:p>
        </w:tc>
        <w:tc>
          <w:tcPr>
            <w:tcW w:type="dxa" w:w="34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Gestion des clients, concours, candidats, tirages, notes.</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Interfaces de gestion</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Gabarits Django, HTMX, Tailwind CSS</w:t>
            </w:r>
          </w:p>
        </w:tc>
        <w:tc>
          <w:tcPr>
            <w:tcW w:type="dxa" w:w="34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Écrans de paramétrage, d’import, de suivi et de résultats.</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Écrans temps réel</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Vue.js 3, TypeScript, Pinia, construits avec Vite</w:t>
            </w:r>
          </w:p>
        </w:tc>
        <w:tc>
          <w:tcPr>
            <w:tcW w:type="dxa" w:w="34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Écrans de tirage, de commande, de jury et de scène (cf. §13.3).</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Temps réel</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Django Channels (WebSocket)</w:t>
            </w:r>
          </w:p>
        </w:tc>
        <w:tc>
          <w:tcPr>
            <w:tcW w:type="dxa" w:w="34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Synchronisation des diapositives et des écrans (cf. §13.5).</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Couche de messages</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Redis</w:t>
            </w:r>
          </w:p>
        </w:tc>
        <w:tc>
          <w:tcPr>
            <w:tcW w:type="dxa" w:w="34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Couche de canaux Channels et cache de l’état de présentation.</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Base de données</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PostgreSQL 16 ou supérieur</w:t>
            </w:r>
          </w:p>
        </w:tc>
        <w:tc>
          <w:tcPr>
            <w:tcW w:type="dxa" w:w="34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Stockage des données ; colonne </w:t>
            </w:r>
            <w:r>
              <w:rPr>
                <w:rFonts w:ascii="Courier New" w:cs="Courier New" w:eastAsia="Courier New" w:hAnsi="Courier New"/>
                <w:sz w:val="17"/>
                <w:szCs w:val="17"/>
              </w:rPr>
              <w:t xml:space="preserve">organization_id</w:t>
            </w:r>
            <w:r>
              <w:rPr>
                <w:rFonts w:ascii="Times New Roman" w:cs="Times New Roman" w:eastAsia="Times New Roman" w:hAnsi="Times New Roman"/>
                <w:sz w:val="19"/>
                <w:szCs w:val="19"/>
              </w:rPr>
              <w:t xml:space="preserve"> sur les tables propres à un client (cf. §13.4).</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Documents</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WeasyPrint</w:t>
            </w:r>
          </w:p>
        </w:tc>
        <w:tc>
          <w:tcPr>
            <w:tcW w:type="dxa" w:w="34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Génération des procès-verbaux, classements et certificats en PDF.</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Source coranique</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Corpus Tanzil Uthmani, Hafs, versionné</w:t>
            </w:r>
          </w:p>
        </w:tc>
        <w:tc>
          <w:tcPr>
            <w:tcW w:type="dxa" w:w="34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Références et textes exacts des versets (cf. §12).</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Serveur web</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Nginx et serveur ASGI (Daphne ou Uvicorn)</w:t>
            </w:r>
          </w:p>
        </w:tc>
        <w:tc>
          <w:tcPr>
            <w:tcW w:type="dxa" w:w="34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TLS, fichiers statiques, mandataire inverse.</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Conteneurisation</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Docker et Docker Compose</w:t>
            </w:r>
          </w:p>
        </w:tc>
        <w:tc>
          <w:tcPr>
            <w:tcW w:type="dxa" w:w="34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Déploiement identique sur le serveur de salle et sur l’instance centrale.</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Sauvegardes</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Sauvegardes PostgreSQL automatiques sur disque externe ; copie chiffrée en ligne (V2)</w:t>
            </w:r>
          </w:p>
        </w:tc>
        <w:tc>
          <w:tcPr>
            <w:tcW w:type="dxa" w:w="34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Protection contre les pertes de données (cf. §15.5).</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Tâches asynchrones (V2)</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Celery</w:t>
            </w:r>
          </w:p>
        </w:tc>
        <w:tc>
          <w:tcPr>
            <w:tcW w:type="dxa" w:w="34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Exports volumineux, synchronisation, purges planifiées.</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Supervision (V2)</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Collecte d’erreurs (type Sentry)</w:t>
            </w:r>
          </w:p>
        </w:tc>
        <w:tc>
          <w:tcPr>
            <w:tcW w:type="dxa" w:w="34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Détection des incidents sur l’instance centrale.</w:t>
            </w:r>
          </w:p>
        </w:tc>
      </w:tr>
    </w:tbl>
    <w:p>
      <w:pPr>
        <w:spacing w:after="120"/>
      </w:pPr>
    </w:p>
    <w:p>
      <w:pPr>
        <w:pStyle w:val="Heading2"/>
      </w:pPr>
      <w:bookmarkStart w:name="_h52" w:id="152"/>
      <w:r>
        <w:t xml:space="preserve">13.3. Choix des technologies d’interface</w:t>
      </w:r>
      <w:bookmarkEnd w:id="152"/>
    </w:p>
    <w:p>
      <w:pPr>
        <w:spacing w:after="120"/>
        <w:jc w:val="both"/>
      </w:pPr>
      <w:r>
        <w:rPr>
          <w:rFonts w:ascii="Times New Roman" w:cs="Times New Roman" w:eastAsia="Times New Roman" w:hAnsi="Times New Roman"/>
          <w:b/>
          <w:bCs/>
        </w:rPr>
        <w:t xml:space="preserve">Décision : architecture d’interface hybride.</w:t>
      </w:r>
      <w:r>
        <w:rPr>
          <w:rFonts w:ascii="Times New Roman" w:cs="Times New Roman" w:eastAsia="Times New Roman" w:hAnsi="Times New Roman"/>
        </w:rPr>
        <w:t xml:space="preserve"> Les écrans de gestion sont rendus côté serveur (gabarits Django et HTMX) ; seuls les quatre écrans temps réel sont développés en Vue.js 3.</w:t>
      </w:r>
    </w:p>
    <w:p>
      <w:pPr>
        <w:keepNext/>
        <w:spacing w:after="80" w:before="120"/>
      </w:pPr>
      <w:r>
        <w:rPr>
          <w:rFonts w:ascii="Times New Roman" w:cs="Times New Roman" w:eastAsia="Times New Roman" w:hAnsi="Times New Roman"/>
          <w:b/>
          <w:bCs/>
        </w:rPr>
        <w:t xml:space="preserve">Justification :</w:t>
      </w:r>
    </w:p>
    <w:p>
      <w:pPr>
        <w:pStyle w:val="ListParagraph"/>
        <w:numPr>
          <w:ilvl w:val="0"/>
          <w:numId w:val="2"/>
        </w:numPr>
        <w:spacing w:after="60"/>
      </w:pPr>
      <w:r>
        <w:rPr>
          <w:rFonts w:ascii="Times New Roman" w:cs="Times New Roman" w:eastAsia="Times New Roman" w:hAnsi="Times New Roman"/>
          <w:b/>
          <w:bCs/>
        </w:rPr>
        <w:t xml:space="preserve">productivité d’un développeur seul</w:t>
      </w:r>
      <w:r>
        <w:rPr>
          <w:rFonts w:ascii="Times New Roman" w:cs="Times New Roman" w:eastAsia="Times New Roman" w:hAnsi="Times New Roman"/>
        </w:rPr>
        <w:t xml:space="preserve"> : les écrans de gestion (formulaires, listes, imports) représentent la majorité du volume ; les gabarits Django avec HTMX permettent de les produire rapidement sans dupliquer la logique entre une API et une application cliente ;</w:t>
      </w:r>
    </w:p>
    <w:p>
      <w:pPr>
        <w:pStyle w:val="ListParagraph"/>
        <w:numPr>
          <w:ilvl w:val="0"/>
          <w:numId w:val="2"/>
        </w:numPr>
        <w:spacing w:after="60"/>
      </w:pPr>
      <w:r>
        <w:rPr>
          <w:rFonts w:ascii="Times New Roman" w:cs="Times New Roman" w:eastAsia="Times New Roman" w:hAnsi="Times New Roman"/>
          <w:b/>
          <w:bCs/>
        </w:rPr>
        <w:t xml:space="preserve">exigences temps réel concentrées</w:t>
      </w:r>
      <w:r>
        <w:rPr>
          <w:rFonts w:ascii="Times New Roman" w:cs="Times New Roman" w:eastAsia="Times New Roman" w:hAnsi="Times New Roman"/>
        </w:rPr>
        <w:t xml:space="preserve"> : les écrans de tirage, de commande, de jury et de scène partagent un état de présentation versionné ; un magasin d’état réactif (Pinia) et le composant de transition de Vue gèrent proprement la reconstruction de l’écran à partir d’un instantané, le balayage de droite à gauche et la neutralisation des transitions concurrentes ;</w:t>
      </w:r>
    </w:p>
    <w:p>
      <w:pPr>
        <w:pStyle w:val="ListParagraph"/>
        <w:numPr>
          <w:ilvl w:val="0"/>
          <w:numId w:val="2"/>
        </w:numPr>
        <w:spacing w:after="60"/>
      </w:pPr>
      <w:r>
        <w:rPr>
          <w:rFonts w:ascii="Times New Roman" w:cs="Times New Roman" w:eastAsia="Times New Roman" w:hAnsi="Times New Roman"/>
          <w:b/>
          <w:bCs/>
        </w:rPr>
        <w:t xml:space="preserve">coût d’apprentissage limité</w:t>
      </w:r>
      <w:r>
        <w:rPr>
          <w:rFonts w:ascii="Times New Roman" w:cs="Times New Roman" w:eastAsia="Times New Roman" w:hAnsi="Times New Roman"/>
        </w:rPr>
        <w:t xml:space="preserve"> : Vue.js est le framework le plus accessible des trois envisagés (React, Vue, Svelte) et son usage reste circonscrit à quatre écrans ;</w:t>
      </w:r>
    </w:p>
    <w:p>
      <w:pPr>
        <w:pStyle w:val="ListParagraph"/>
        <w:numPr>
          <w:ilvl w:val="0"/>
          <w:numId w:val="2"/>
        </w:numPr>
        <w:spacing w:after="60"/>
      </w:pPr>
      <w:r>
        <w:rPr>
          <w:rFonts w:ascii="Times New Roman" w:cs="Times New Roman" w:eastAsia="Times New Roman" w:hAnsi="Times New Roman"/>
          <w:b/>
          <w:bCs/>
        </w:rPr>
        <w:t xml:space="preserve">évolutivité</w:t>
      </w:r>
      <w:r>
        <w:rPr>
          <w:rFonts w:ascii="Times New Roman" w:cs="Times New Roman" w:eastAsia="Times New Roman" w:hAnsi="Times New Roman"/>
        </w:rPr>
        <w:t xml:space="preserve"> : si QURANOVA est ouvert en libre-service (V3), les écrans de gestion pourront être migrés progressivement vers Vue.js sans modifier les écrans temps réel.</w:t>
      </w:r>
    </w:p>
    <w:p>
      <w:pPr>
        <w:pStyle w:val="Heading2"/>
      </w:pPr>
      <w:bookmarkStart w:name="_h53" w:id="153"/>
      <w:r>
        <w:t xml:space="preserve">13.4. Séparation des données des clients</w:t>
      </w:r>
      <w:bookmarkEnd w:id="153"/>
    </w:p>
    <w:p>
      <w:pPr>
        <w:spacing w:after="120"/>
        <w:jc w:val="both"/>
      </w:pPr>
      <w:r>
        <w:rPr>
          <w:rFonts w:ascii="Times New Roman" w:cs="Times New Roman" w:eastAsia="Times New Roman" w:hAnsi="Times New Roman"/>
          <w:b/>
          <w:bCs/>
        </w:rPr>
        <w:t xml:space="preserve">Décision : base de données unique, colonne `organization_id` sur toutes les tables propres à un client, filtrage applicatif systématique.</w:t>
      </w:r>
      <w:r>
        <w:rPr>
          <w:rFonts w:ascii="Times New Roman" w:cs="Times New Roman" w:eastAsia="Times New Roman" w:hAnsi="Times New Roman"/>
        </w:rPr>
        <w:t xml:space="preserve"> La Row-Level Security PostgreSQL est reportée à la V3.</w:t>
      </w:r>
    </w:p>
    <w:p>
      <w:pPr>
        <w:pStyle w:val="ListParagraph"/>
        <w:numPr>
          <w:ilvl w:val="0"/>
          <w:numId w:val="2"/>
        </w:numPr>
        <w:spacing w:after="60"/>
      </w:pPr>
      <w:r>
        <w:rPr>
          <w:rFonts w:ascii="Times New Roman" w:cs="Times New Roman" w:eastAsia="Times New Roman" w:hAnsi="Times New Roman"/>
        </w:rPr>
        <w:t xml:space="preserve">chaque table propre à un client comporte une colonne </w:t>
      </w:r>
      <w:r>
        <w:rPr>
          <w:rFonts w:ascii="Courier New" w:cs="Courier New" w:eastAsia="Courier New" w:hAnsi="Courier New"/>
          <w:sz w:val="20"/>
          <w:szCs w:val="20"/>
        </w:rPr>
        <w:t xml:space="preserve">organization_id</w:t>
      </w:r>
      <w:r>
        <w:rPr>
          <w:rFonts w:ascii="Times New Roman" w:cs="Times New Roman" w:eastAsia="Times New Roman" w:hAnsi="Times New Roman"/>
        </w:rPr>
        <w:t xml:space="preserve"> non nulle, indexée ;</w:t>
      </w:r>
    </w:p>
    <w:p>
      <w:pPr>
        <w:pStyle w:val="ListParagraph"/>
        <w:numPr>
          <w:ilvl w:val="0"/>
          <w:numId w:val="2"/>
        </w:numPr>
        <w:spacing w:after="60"/>
      </w:pPr>
      <w:r>
        <w:rPr>
          <w:rFonts w:ascii="Times New Roman" w:cs="Times New Roman" w:eastAsia="Times New Roman" w:hAnsi="Times New Roman"/>
        </w:rPr>
        <w:t xml:space="preserve">toutes les requêtes passent par des gestionnaires de modèles et des contrôles de permission qui imposent le filtre par client ; un test automatisé vérifie qu’aucune vue ne renvoie de données d’un autre client ;</w:t>
      </w:r>
    </w:p>
    <w:p>
      <w:pPr>
        <w:pStyle w:val="ListParagraph"/>
        <w:numPr>
          <w:ilvl w:val="0"/>
          <w:numId w:val="2"/>
        </w:numPr>
        <w:spacing w:after="60"/>
      </w:pPr>
      <w:r>
        <w:rPr>
          <w:rFonts w:ascii="Times New Roman" w:cs="Times New Roman" w:eastAsia="Times New Roman" w:hAnsi="Times New Roman"/>
        </w:rPr>
        <w:t xml:space="preserve">les identifiants exposés dans les URL sont des UUID ;</w:t>
      </w:r>
    </w:p>
    <w:p>
      <w:pPr>
        <w:pStyle w:val="ListParagraph"/>
        <w:numPr>
          <w:ilvl w:val="0"/>
          <w:numId w:val="2"/>
        </w:numPr>
        <w:spacing w:after="60"/>
      </w:pPr>
      <w:r>
        <w:rPr>
          <w:rFonts w:ascii="Times New Roman" w:cs="Times New Roman" w:eastAsia="Times New Roman" w:hAnsi="Times New Roman"/>
        </w:rPr>
        <w:t xml:space="preserve">les tables du corpus coranique sont globales et en lecture seule.</w:t>
      </w:r>
    </w:p>
    <w:p>
      <w:pPr>
        <w:spacing w:after="120"/>
        <w:jc w:val="both"/>
      </w:pPr>
      <w:r>
        <w:rPr>
          <w:rFonts w:ascii="Times New Roman" w:cs="Times New Roman" w:eastAsia="Times New Roman" w:hAnsi="Times New Roman"/>
          <w:b/>
          <w:bCs/>
        </w:rPr>
        <w:t xml:space="preserve">Justification du report de la RLS :</w:t>
      </w:r>
      <w:r>
        <w:rPr>
          <w:rFonts w:ascii="Times New Roman" w:cs="Times New Roman" w:eastAsia="Times New Roman" w:hAnsi="Times New Roman"/>
        </w:rPr>
        <w:t xml:space="preserve"> en V1 et V2, seuls le prestataire et ses opérateurs administrent les données, sur un réseau fermé ou une instance à accès restreint ; le risque d’accès croisé par un utilisateur malveillant d’un autre client est faible. La colonne </w:t>
      </w:r>
      <w:r>
        <w:rPr>
          <w:rFonts w:ascii="Courier New" w:cs="Courier New" w:eastAsia="Courier New" w:hAnsi="Courier New"/>
          <w:sz w:val="20"/>
          <w:szCs w:val="20"/>
        </w:rPr>
        <w:t xml:space="preserve">organization_id</w:t>
      </w:r>
      <w:r>
        <w:rPr>
          <w:rFonts w:ascii="Times New Roman" w:cs="Times New Roman" w:eastAsia="Times New Roman" w:hAnsi="Times New Roman"/>
        </w:rPr>
        <w:t xml:space="preserve"> étant présente dès l’origine, l’activation de la RLS en V3 ne nécessitera aucune migration de données. Cette activation est un </w:t>
      </w:r>
      <w:r>
        <w:rPr>
          <w:rFonts w:ascii="Times New Roman" w:cs="Times New Roman" w:eastAsia="Times New Roman" w:hAnsi="Times New Roman"/>
          <w:b/>
          <w:bCs/>
        </w:rPr>
        <w:t xml:space="preserve">prérequis</w:t>
      </w:r>
      <w:r>
        <w:rPr>
          <w:rFonts w:ascii="Times New Roman" w:cs="Times New Roman" w:eastAsia="Times New Roman" w:hAnsi="Times New Roman"/>
        </w:rPr>
        <w:t xml:space="preserve"> à toute ouverture en libre-service.</w:t>
      </w:r>
    </w:p>
    <w:p>
      <w:pPr>
        <w:pStyle w:val="Heading2"/>
      </w:pPr>
      <w:bookmarkStart w:name="_h54" w:id="154"/>
      <w:r>
        <w:t xml:space="preserve">13.5. Communication temps réel et reprise d’état</w:t>
      </w:r>
      <w:bookmarkEnd w:id="154"/>
    </w:p>
    <w:p>
      <w:pPr>
        <w:spacing w:after="120"/>
        <w:jc w:val="both"/>
      </w:pPr>
      <w:r>
        <w:rPr>
          <w:rFonts w:ascii="Times New Roman" w:cs="Times New Roman" w:eastAsia="Times New Roman" w:hAnsi="Times New Roman"/>
        </w:rPr>
        <w:t xml:space="preserve">L’état de présentation de chaque prestation est </w:t>
      </w:r>
      <w:r>
        <w:rPr>
          <w:rFonts w:ascii="Times New Roman" w:cs="Times New Roman" w:eastAsia="Times New Roman" w:hAnsi="Times New Roman"/>
          <w:b/>
          <w:bCs/>
        </w:rPr>
        <w:t xml:space="preserve">détenu par le serveur</w:t>
      </w:r>
      <w:r>
        <w:rPr>
          <w:rFonts w:ascii="Times New Roman" w:cs="Times New Roman" w:eastAsia="Times New Roman" w:hAnsi="Times New Roman"/>
        </w:rPr>
        <w:t xml:space="preserve"> (base de données, avec copie en cache Redis). Les écrans n’en sont que des reflets ; ils ne calculent jamais l’état localement.</w:t>
      </w:r>
    </w:p>
    <w:p>
      <w:pPr>
        <w:keepNext/>
        <w:spacing w:after="80" w:before="120"/>
      </w:pPr>
      <w:r>
        <w:rPr>
          <w:rFonts w:ascii="Times New Roman" w:cs="Times New Roman" w:eastAsia="Times New Roman" w:hAnsi="Times New Roman"/>
          <w:b/>
          <w:bCs/>
        </w:rPr>
        <w:t xml:space="preserve">Transport :</w:t>
      </w:r>
    </w:p>
    <w:p>
      <w:pPr>
        <w:pStyle w:val="ListParagraph"/>
        <w:numPr>
          <w:ilvl w:val="0"/>
          <w:numId w:val="2"/>
        </w:numPr>
        <w:spacing w:after="60"/>
      </w:pPr>
      <w:r>
        <w:rPr>
          <w:rFonts w:ascii="Times New Roman" w:cs="Times New Roman" w:eastAsia="Times New Roman" w:hAnsi="Times New Roman"/>
        </w:rPr>
        <w:t xml:space="preserve">sur le serveur de salle (V1) : WebSocket uniquement, le réseau local étant maîtrisé ;</w:t>
      </w:r>
    </w:p>
    <w:p>
      <w:pPr>
        <w:pStyle w:val="ListParagraph"/>
        <w:numPr>
          <w:ilvl w:val="0"/>
          <w:numId w:val="2"/>
        </w:numPr>
        <w:spacing w:after="60"/>
      </w:pPr>
      <w:r>
        <w:rPr>
          <w:rFonts w:ascii="Times New Roman" w:cs="Times New Roman" w:eastAsia="Times New Roman" w:hAnsi="Times New Roman"/>
        </w:rPr>
        <w:t xml:space="preserve">sur l’instance centrale (V2), exposée à Internet : repli automatique sur Server-Sent Events puis sur long-polling lorsque WebSocket est bloqué par un réseau ou un mandataire.</w:t>
      </w:r>
    </w:p>
    <w:p>
      <w:pPr>
        <w:keepNext/>
        <w:spacing w:after="80" w:before="120"/>
      </w:pPr>
      <w:r>
        <w:rPr>
          <w:rFonts w:ascii="Times New Roman" w:cs="Times New Roman" w:eastAsia="Times New Roman" w:hAnsi="Times New Roman"/>
          <w:b/>
          <w:bCs/>
        </w:rPr>
        <w:t xml:space="preserve">Reconnexion et reprise d’état :</w:t>
      </w:r>
    </w:p>
    <w:p>
      <w:pPr>
        <w:pStyle w:val="ListParagraph"/>
        <w:numPr>
          <w:ilvl w:val="0"/>
          <w:numId w:val="2"/>
        </w:numPr>
        <w:spacing w:after="60"/>
      </w:pPr>
      <w:r>
        <w:rPr>
          <w:rFonts w:ascii="Times New Roman" w:cs="Times New Roman" w:eastAsia="Times New Roman" w:hAnsi="Times New Roman"/>
        </w:rPr>
        <w:t xml:space="preserve">battement de présence toutes les 15 secondes ; une connexion sans réponse pendant 30 secondes est considérée comme perdue ;</w:t>
      </w:r>
    </w:p>
    <w:p>
      <w:pPr>
        <w:pStyle w:val="ListParagraph"/>
        <w:numPr>
          <w:ilvl w:val="0"/>
          <w:numId w:val="2"/>
        </w:numPr>
        <w:spacing w:after="60"/>
      </w:pPr>
      <w:r>
        <w:rPr>
          <w:rFonts w:ascii="Times New Roman" w:cs="Times New Roman" w:eastAsia="Times New Roman" w:hAnsi="Times New Roman"/>
        </w:rPr>
        <w:t xml:space="preserve">reconnexion automatique avec délais croissants (0,5 s, 1 s, 2 s, puis 5 s au maximum) ;</w:t>
      </w:r>
    </w:p>
    <w:p>
      <w:pPr>
        <w:pStyle w:val="ListParagraph"/>
        <w:numPr>
          <w:ilvl w:val="0"/>
          <w:numId w:val="2"/>
        </w:numPr>
        <w:spacing w:after="60"/>
      </w:pPr>
      <w:r>
        <w:rPr>
          <w:rFonts w:ascii="Times New Roman" w:cs="Times New Roman" w:eastAsia="Times New Roman" w:hAnsi="Times New Roman"/>
        </w:rPr>
        <w:t xml:space="preserve">chaque état diffusé porte un numéro de version strictement croissant ; à la reconnexion, le serveur renvoie un </w:t>
      </w:r>
      <w:r>
        <w:rPr>
          <w:rFonts w:ascii="Times New Roman" w:cs="Times New Roman" w:eastAsia="Times New Roman" w:hAnsi="Times New Roman"/>
          <w:b/>
          <w:bCs/>
        </w:rPr>
        <w:t xml:space="preserve">instantané complet</w:t>
      </w:r>
      <w:r>
        <w:rPr>
          <w:rFonts w:ascii="Times New Roman" w:cs="Times New Roman" w:eastAsia="Times New Roman" w:hAnsi="Times New Roman"/>
        </w:rPr>
        <w:t xml:space="preserve"> de l’état courant et l’écran se reconstruit sans rejouer les animations intermédiaires ;</w:t>
      </w:r>
    </w:p>
    <w:p>
      <w:pPr>
        <w:pStyle w:val="ListParagraph"/>
        <w:numPr>
          <w:ilvl w:val="0"/>
          <w:numId w:val="2"/>
        </w:numPr>
        <w:spacing w:after="60"/>
      </w:pPr>
      <w:r>
        <w:rPr>
          <w:rFonts w:ascii="Times New Roman" w:cs="Times New Roman" w:eastAsia="Times New Roman" w:hAnsi="Times New Roman"/>
        </w:rPr>
        <w:t xml:space="preserve">un indicateur signale à l’opérateur tout écran déconnecté ;</w:t>
      </w:r>
    </w:p>
    <w:p>
      <w:pPr>
        <w:pStyle w:val="ListParagraph"/>
        <w:numPr>
          <w:ilvl w:val="0"/>
          <w:numId w:val="2"/>
        </w:numPr>
        <w:spacing w:after="60"/>
      </w:pPr>
      <w:r>
        <w:rPr>
          <w:rFonts w:ascii="Times New Roman" w:cs="Times New Roman" w:eastAsia="Times New Roman" w:hAnsi="Times New Roman"/>
        </w:rPr>
        <w:t xml:space="preserve">objectif : retour à l’état courant en moins de 2 secondes après rétablissement du réseau.</w:t>
      </w:r>
    </w:p>
    <w:p>
      <w:pPr>
        <w:keepNext/>
        <w:spacing w:after="80" w:before="120"/>
      </w:pPr>
      <w:r>
        <w:rPr>
          <w:rFonts w:ascii="Times New Roman" w:cs="Times New Roman" w:eastAsia="Times New Roman" w:hAnsi="Times New Roman"/>
          <w:b/>
          <w:bCs/>
        </w:rPr>
        <w:t xml:space="preserve">Commandes idempotentes (RM-30) :</w:t>
      </w:r>
    </w:p>
    <w:p>
      <w:pPr>
        <w:pStyle w:val="ListParagraph"/>
        <w:numPr>
          <w:ilvl w:val="0"/>
          <w:numId w:val="2"/>
        </w:numPr>
        <w:spacing w:after="60"/>
      </w:pPr>
      <w:r>
        <w:rPr>
          <w:rFonts w:ascii="Times New Roman" w:cs="Times New Roman" w:eastAsia="Times New Roman" w:hAnsi="Times New Roman"/>
        </w:rPr>
        <w:t xml:space="preserve">chaque commande porte un identifiant unique et la version d’état sur laquelle elle s’appuie ;</w:t>
      </w:r>
    </w:p>
    <w:p>
      <w:pPr>
        <w:pStyle w:val="ListParagraph"/>
        <w:numPr>
          <w:ilvl w:val="0"/>
          <w:numId w:val="2"/>
        </w:numPr>
        <w:spacing w:after="60"/>
      </w:pPr>
      <w:r>
        <w:rPr>
          <w:rFonts w:ascii="Times New Roman" w:cs="Times New Roman" w:eastAsia="Times New Roman" w:hAnsi="Times New Roman"/>
        </w:rPr>
        <w:t xml:space="preserve">le serveur applique la commande uniquement si la version correspond à l’état courant ; une commande déjà traitée n’est jamais appliquée deux fois ;</w:t>
      </w:r>
    </w:p>
    <w:p>
      <w:pPr>
        <w:pStyle w:val="ListParagraph"/>
        <w:numPr>
          <w:ilvl w:val="0"/>
          <w:numId w:val="2"/>
        </w:numPr>
        <w:spacing w:after="60"/>
      </w:pPr>
      <w:r>
        <w:rPr>
          <w:rFonts w:ascii="Times New Roman" w:cs="Times New Roman" w:eastAsia="Times New Roman" w:hAnsi="Times New Roman"/>
        </w:rPr>
        <w:t xml:space="preserve">les commandes d’une même prestation sont sérialisées.</w:t>
      </w:r>
    </w:p>
    <w:p>
      <w:pPr>
        <w:pStyle w:val="Heading2"/>
      </w:pPr>
      <w:bookmarkStart w:name="_h55" w:id="155"/>
      <w:r>
        <w:t xml:space="preserve">13.6. Continuité en salle et synchronisation *</w:t>
      </w:r>
      <w:bookmarkEnd w:id="155"/>
    </w:p>
    <w:p>
      <w:pPr>
        <w:keepNext/>
        <w:spacing w:after="80" w:before="120"/>
      </w:pPr>
      <w:r>
        <w:rPr>
          <w:rFonts w:ascii="Times New Roman" w:cs="Times New Roman" w:eastAsia="Times New Roman" w:hAnsi="Times New Roman"/>
          <w:b/>
          <w:bCs/>
        </w:rPr>
        <w:t xml:space="preserve">Incidents en salle (V1)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600"/>
        <w:gridCol w:w="4972"/>
        <w:gridCol w:w="1500"/>
      </w:tblGrid>
      <w:tr>
        <w:trPr>
          <w:cantSplit/>
          <w:tblHeader/>
        </w:trPr>
        <w:tc>
          <w:tcPr>
            <w:tcW w:type="dxa" w:w="2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Incident</w:t>
            </w:r>
          </w:p>
        </w:tc>
        <w:tc>
          <w:tcPr>
            <w:tcW w:type="dxa" w:w="497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Réponse prévue</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Délai cible</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Coupure d’électricité</w:t>
            </w:r>
          </w:p>
        </w:tc>
        <w:tc>
          <w:tcPr>
            <w:tcW w:type="dxa" w:w="49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Onduleur sur le serveur et le routeur ; tablettes sur batterie.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Aucune interruption</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Panne du routeur Wi-Fi</w:t>
            </w:r>
          </w:p>
        </w:tc>
        <w:tc>
          <w:tcPr>
            <w:tcW w:type="dxa" w:w="49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Routeur de rechange préconfiguré (même nom de réseau et même mot de passe).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Moins de 5 minutes</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Panne d’une tablette de juré</w:t>
            </w:r>
          </w:p>
        </w:tc>
        <w:tc>
          <w:tcPr>
            <w:tcW w:type="dxa" w:w="49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Tablette de rechange ; le brouillon de notes est conservé côté serveur.</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Moins de 2 minutes</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Panne du serveur de salle</w:t>
            </w:r>
          </w:p>
        </w:tc>
        <w:tc>
          <w:tcPr>
            <w:tcW w:type="dxa" w:w="49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Restauration de la dernière sauvegarde (au plus 15 minutes) sur l’ordinateur de secours, puis reprise à la dernière prestation clôturée.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Moins de 15 minutes</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Panne simultanée des deux ordinateurs</w:t>
            </w:r>
          </w:p>
        </w:tc>
        <w:tc>
          <w:tcPr>
            <w:tcW w:type="dxa" w:w="49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Mesure de dernier recours : fiches de notation imprimées depuis l’application la veille, saisies ultérieurement avec motif.</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w:t>
            </w:r>
          </w:p>
        </w:tc>
      </w:tr>
    </w:tbl>
    <w:p>
      <w:pPr>
        <w:spacing w:after="120"/>
      </w:pPr>
    </w:p>
    <w:p>
      <w:pPr>
        <w:keepNext/>
        <w:spacing w:after="80" w:before="120"/>
      </w:pPr>
      <w:r>
        <w:rPr>
          <w:rFonts w:ascii="Times New Roman" w:cs="Times New Roman" w:eastAsia="Times New Roman" w:hAnsi="Times New Roman"/>
          <w:b/>
          <w:bCs/>
        </w:rPr>
        <w:t xml:space="preserve">Synchronisation avec l’instance centrale (V2) :</w:t>
      </w:r>
    </w:p>
    <w:p>
      <w:pPr>
        <w:pStyle w:val="ListParagraph"/>
        <w:numPr>
          <w:ilvl w:val="0"/>
          <w:numId w:val="2"/>
        </w:numPr>
        <w:spacing w:after="60"/>
      </w:pPr>
      <w:r>
        <w:rPr>
          <w:rFonts w:ascii="Times New Roman" w:cs="Times New Roman" w:eastAsia="Times New Roman" w:hAnsi="Times New Roman"/>
        </w:rPr>
        <w:t xml:space="preserve">la préparation peut se faire sur l’instance centrale, avec le responsable client ; la veille de l’événement, l’opérateur télécharge un </w:t>
      </w:r>
      <w:r>
        <w:rPr>
          <w:rFonts w:ascii="Times New Roman" w:cs="Times New Roman" w:eastAsia="Times New Roman" w:hAnsi="Times New Roman"/>
          <w:b/>
          <w:bCs/>
        </w:rPr>
        <w:t xml:space="preserve">paquet de concours</w:t>
      </w:r>
      <w:r>
        <w:rPr>
          <w:rFonts w:ascii="Times New Roman" w:cs="Times New Roman" w:eastAsia="Times New Roman" w:hAnsi="Times New Roman"/>
        </w:rPr>
        <w:t xml:space="preserve"> chiffré et signé, importé sur le serveur de salle ;</w:t>
      </w:r>
    </w:p>
    <w:p>
      <w:pPr>
        <w:pStyle w:val="ListParagraph"/>
        <w:numPr>
          <w:ilvl w:val="0"/>
          <w:numId w:val="2"/>
        </w:numPr>
        <w:spacing w:after="60"/>
      </w:pPr>
      <w:r>
        <w:rPr>
          <w:rFonts w:ascii="Times New Roman" w:cs="Times New Roman" w:eastAsia="Times New Roman" w:hAnsi="Times New Roman"/>
        </w:rPr>
        <w:t xml:space="preserve">pendant le concours, l’instance centrale est verrouillée en écriture pour ce concours (RM-29) : une seule source de vérité existe à tout instant ;</w:t>
      </w:r>
    </w:p>
    <w:p>
      <w:pPr>
        <w:pStyle w:val="ListParagraph"/>
        <w:numPr>
          <w:ilvl w:val="0"/>
          <w:numId w:val="2"/>
        </w:numPr>
        <w:spacing w:after="60"/>
      </w:pPr>
      <w:r>
        <w:rPr>
          <w:rFonts w:ascii="Times New Roman" w:cs="Times New Roman" w:eastAsia="Times New Roman" w:hAnsi="Times New Roman"/>
        </w:rPr>
        <w:t xml:space="preserve">après le concours, le journal des opérations du serveur de salle est téléversé et importé de manière idempotente ; un rapport de cohérence est produit avant déverrouillage et publication.</w:t>
      </w:r>
    </w:p>
    <w:p>
      <w:pPr>
        <w:pStyle w:val="Heading2"/>
      </w:pPr>
      <w:bookmarkStart w:name="_h56" w:id="156"/>
      <w:r>
        <w:t xml:space="preserve">13.7. Architecture logique</w:t>
      </w:r>
      <w:bookmarkEnd w:id="156"/>
    </w:p>
    <w:p>
      <w:pPr>
        <w:keepNext/>
        <w:keepLines/>
        <w:pBdr>
          <w:top w:val="single" w:color="808080" w:sz="4" w:space="4"/>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SALLE (réseau Wi-Fi dédié, sans Internet)                         V1</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 Tablette tirage │ Tablettes jurés │ Écran scène │ Commande     │</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        └──────────── WSS / HTTPS (réseau local) ─────┘         │</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                              ▼                                 │</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 SERVEUR DE SALLE (ordinateur du prestataire, Docker Compose)   │</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   Nginx → Django ASGI (gestion + Channels) ⇄ Redis             │</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                  ▼                                             │</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             PostgreSQL ──► sauvegarde toutes les 15 min        │</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                            sur disque externe                  │</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  paquet de concours / journal d'opérations     V2</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  (hors session, lorsqu'Internet est disponible)</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 INSTANCE CENTRALE : même image Docker + Celery + stockage     │</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 objet chiffré ; préparation, archivage, publication           │</w:t>
      </w:r>
    </w:p>
    <w:p>
      <w:pPr>
        <w:keepNext w:val="false"/>
        <w:keepLines/>
        <w:pBdr>
          <w:left w:val="single" w:color="808080" w:sz="4" w:space="4"/>
          <w:bottom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w:t>
      </w:r>
    </w:p>
    <w:p>
      <w:pPr>
        <w:spacing w:after="120"/>
      </w:pPr>
    </w:p>
    <w:p>
      <w:pPr>
        <w:pStyle w:val="Heading2"/>
      </w:pPr>
      <w:bookmarkStart w:name="_h57" w:id="157"/>
      <w:r>
        <w:t xml:space="preserve">13.8. Architecture fonctionnelle en modules</w:t>
      </w:r>
      <w:bookmarkEnd w:id="157"/>
    </w:p>
    <w:p>
      <w:pPr>
        <w:pStyle w:val="ListParagraph"/>
        <w:numPr>
          <w:ilvl w:val="0"/>
          <w:numId w:val="2"/>
        </w:numPr>
        <w:spacing w:after="60"/>
      </w:pPr>
      <w:r>
        <w:rPr>
          <w:rFonts w:ascii="Courier New" w:cs="Courier New" w:eastAsia="Courier New" w:hAnsi="Courier New"/>
          <w:sz w:val="20"/>
          <w:szCs w:val="20"/>
        </w:rPr>
        <w:t xml:space="preserve">clients</w:t>
      </w:r>
      <w:r>
        <w:rPr>
          <w:rFonts w:ascii="Times New Roman" w:cs="Times New Roman" w:eastAsia="Times New Roman" w:hAnsi="Times New Roman"/>
        </w:rPr>
        <w:t xml:space="preserve"> : organisations clientes, missions, séparation des données ;</w:t>
      </w:r>
    </w:p>
    <w:p>
      <w:pPr>
        <w:pStyle w:val="ListParagraph"/>
        <w:numPr>
          <w:ilvl w:val="0"/>
          <w:numId w:val="2"/>
        </w:numPr>
        <w:spacing w:after="60"/>
      </w:pPr>
      <w:r>
        <w:rPr>
          <w:rFonts w:ascii="Courier New" w:cs="Courier New" w:eastAsia="Courier New" w:hAnsi="Courier New"/>
          <w:sz w:val="20"/>
          <w:szCs w:val="20"/>
        </w:rPr>
        <w:t xml:space="preserve">utilisateurs</w:t>
      </w:r>
      <w:r>
        <w:rPr>
          <w:rFonts w:ascii="Times New Roman" w:cs="Times New Roman" w:eastAsia="Times New Roman" w:hAnsi="Times New Roman"/>
        </w:rPr>
        <w:t xml:space="preserve"> : comptes, codes d’accès des jurés, permissions ;</w:t>
      </w:r>
    </w:p>
    <w:p>
      <w:pPr>
        <w:pStyle w:val="ListParagraph"/>
        <w:numPr>
          <w:ilvl w:val="0"/>
          <w:numId w:val="2"/>
        </w:numPr>
        <w:spacing w:after="60"/>
      </w:pPr>
      <w:r>
        <w:rPr>
          <w:rFonts w:ascii="Courier New" w:cs="Courier New" w:eastAsia="Courier New" w:hAnsi="Courier New"/>
          <w:sz w:val="20"/>
          <w:szCs w:val="20"/>
        </w:rPr>
        <w:t xml:space="preserve">concours</w:t>
      </w:r>
      <w:r>
        <w:rPr>
          <w:rFonts w:ascii="Times New Roman" w:cs="Times New Roman" w:eastAsia="Times New Roman" w:hAnsi="Times New Roman"/>
        </w:rPr>
        <w:t xml:space="preserve"> : concours, éditions, catégories, épreuves, sessions et paramètres ;</w:t>
      </w:r>
    </w:p>
    <w:p>
      <w:pPr>
        <w:pStyle w:val="ListParagraph"/>
        <w:numPr>
          <w:ilvl w:val="0"/>
          <w:numId w:val="2"/>
        </w:numPr>
        <w:spacing w:after="60"/>
      </w:pPr>
      <w:r>
        <w:rPr>
          <w:rFonts w:ascii="Courier New" w:cs="Courier New" w:eastAsia="Courier New" w:hAnsi="Courier New"/>
          <w:sz w:val="20"/>
          <w:szCs w:val="20"/>
        </w:rPr>
        <w:t xml:space="preserve">candidats</w:t>
      </w:r>
      <w:r>
        <w:rPr>
          <w:rFonts w:ascii="Times New Roman" w:cs="Times New Roman" w:eastAsia="Times New Roman" w:hAnsi="Times New Roman"/>
        </w:rPr>
        <w:t xml:space="preserve"> : candidats, import, participations, consentements ;</w:t>
      </w:r>
    </w:p>
    <w:p>
      <w:pPr>
        <w:pStyle w:val="ListParagraph"/>
        <w:numPr>
          <w:ilvl w:val="0"/>
          <w:numId w:val="2"/>
        </w:numPr>
        <w:spacing w:after="60"/>
      </w:pPr>
      <w:r>
        <w:rPr>
          <w:rFonts w:ascii="Courier New" w:cs="Courier New" w:eastAsia="Courier New" w:hAnsi="Courier New"/>
          <w:sz w:val="20"/>
          <w:szCs w:val="20"/>
        </w:rPr>
        <w:t xml:space="preserve">questions</w:t>
      </w:r>
      <w:r>
        <w:rPr>
          <w:rFonts w:ascii="Times New Roman" w:cs="Times New Roman" w:eastAsia="Times New Roman" w:hAnsi="Times New Roman"/>
        </w:rPr>
        <w:t xml:space="preserve"> : questions, passages coraniques, séries, lots et règles de tirage ;</w:t>
      </w:r>
    </w:p>
    <w:p>
      <w:pPr>
        <w:pStyle w:val="ListParagraph"/>
        <w:numPr>
          <w:ilvl w:val="0"/>
          <w:numId w:val="2"/>
        </w:numPr>
        <w:spacing w:after="60"/>
      </w:pPr>
      <w:r>
        <w:rPr>
          <w:rFonts w:ascii="Courier New" w:cs="Courier New" w:eastAsia="Courier New" w:hAnsi="Courier New"/>
          <w:sz w:val="20"/>
          <w:szCs w:val="20"/>
        </w:rPr>
        <w:t xml:space="preserve">coran</w:t>
      </w:r>
      <w:r>
        <w:rPr>
          <w:rFonts w:ascii="Times New Roman" w:cs="Times New Roman" w:eastAsia="Times New Roman" w:hAnsi="Times New Roman"/>
        </w:rPr>
        <w:t xml:space="preserve"> : versions du corpus, sourates, versets, traductions ;</w:t>
      </w:r>
    </w:p>
    <w:p>
      <w:pPr>
        <w:pStyle w:val="ListParagraph"/>
        <w:numPr>
          <w:ilvl w:val="0"/>
          <w:numId w:val="2"/>
        </w:numPr>
        <w:spacing w:after="60"/>
      </w:pPr>
      <w:r>
        <w:rPr>
          <w:rFonts w:ascii="Courier New" w:cs="Courier New" w:eastAsia="Courier New" w:hAnsi="Courier New"/>
          <w:sz w:val="20"/>
          <w:szCs w:val="20"/>
        </w:rPr>
        <w:t xml:space="preserve">prestations</w:t>
      </w:r>
      <w:r>
        <w:rPr>
          <w:rFonts w:ascii="Times New Roman" w:cs="Times New Roman" w:eastAsia="Times New Roman" w:hAnsi="Times New Roman"/>
        </w:rPr>
        <w:t xml:space="preserve"> : déroulement, tirages et état des prestations ;</w:t>
      </w:r>
    </w:p>
    <w:p>
      <w:pPr>
        <w:pStyle w:val="ListParagraph"/>
        <w:numPr>
          <w:ilvl w:val="0"/>
          <w:numId w:val="2"/>
        </w:numPr>
        <w:spacing w:after="60"/>
      </w:pPr>
      <w:r>
        <w:rPr>
          <w:rFonts w:ascii="Courier New" w:cs="Courier New" w:eastAsia="Courier New" w:hAnsi="Courier New"/>
          <w:sz w:val="20"/>
          <w:szCs w:val="20"/>
        </w:rPr>
        <w:t xml:space="preserve">presentation</w:t>
      </w:r>
      <w:r>
        <w:rPr>
          <w:rFonts w:ascii="Times New Roman" w:cs="Times New Roman" w:eastAsia="Times New Roman" w:hAnsi="Times New Roman"/>
        </w:rPr>
        <w:t xml:space="preserve"> : diapositives, animation et synchronisation ;</w:t>
      </w:r>
    </w:p>
    <w:p>
      <w:pPr>
        <w:pStyle w:val="ListParagraph"/>
        <w:numPr>
          <w:ilvl w:val="0"/>
          <w:numId w:val="2"/>
        </w:numPr>
        <w:spacing w:after="60"/>
      </w:pPr>
      <w:r>
        <w:rPr>
          <w:rFonts w:ascii="Courier New" w:cs="Courier New" w:eastAsia="Courier New" w:hAnsi="Courier New"/>
          <w:sz w:val="20"/>
          <w:szCs w:val="20"/>
        </w:rPr>
        <w:t xml:space="preserve">jury</w:t>
      </w:r>
      <w:r>
        <w:rPr>
          <w:rFonts w:ascii="Times New Roman" w:cs="Times New Roman" w:eastAsia="Times New Roman" w:hAnsi="Times New Roman"/>
        </w:rPr>
        <w:t xml:space="preserve"> : affectations, critères et notes ;</w:t>
      </w:r>
    </w:p>
    <w:p>
      <w:pPr>
        <w:pStyle w:val="ListParagraph"/>
        <w:numPr>
          <w:ilvl w:val="0"/>
          <w:numId w:val="2"/>
        </w:numPr>
        <w:spacing w:after="60"/>
      </w:pPr>
      <w:r>
        <w:rPr>
          <w:rFonts w:ascii="Courier New" w:cs="Courier New" w:eastAsia="Courier New" w:hAnsi="Courier New"/>
          <w:sz w:val="20"/>
          <w:szCs w:val="20"/>
        </w:rPr>
        <w:t xml:space="preserve">resultats</w:t>
      </w:r>
      <w:r>
        <w:rPr>
          <w:rFonts w:ascii="Times New Roman" w:cs="Times New Roman" w:eastAsia="Times New Roman" w:hAnsi="Times New Roman"/>
        </w:rPr>
        <w:t xml:space="preserve"> : calculs, classements, procès-verbaux et documents PDF ;</w:t>
      </w:r>
    </w:p>
    <w:p>
      <w:pPr>
        <w:pStyle w:val="ListParagraph"/>
        <w:numPr>
          <w:ilvl w:val="0"/>
          <w:numId w:val="2"/>
        </w:numPr>
        <w:spacing w:after="60"/>
      </w:pPr>
      <w:r>
        <w:rPr>
          <w:rFonts w:ascii="Courier New" w:cs="Courier New" w:eastAsia="Courier New" w:hAnsi="Courier New"/>
          <w:sz w:val="20"/>
          <w:szCs w:val="20"/>
        </w:rPr>
        <w:t xml:space="preserve">audit</w:t>
      </w:r>
      <w:r>
        <w:rPr>
          <w:rFonts w:ascii="Times New Roman" w:cs="Times New Roman" w:eastAsia="Times New Roman" w:hAnsi="Times New Roman"/>
        </w:rPr>
        <w:t xml:space="preserve"> : historique des actions sensibles ;</w:t>
      </w:r>
    </w:p>
    <w:p>
      <w:pPr>
        <w:pStyle w:val="ListParagraph"/>
        <w:numPr>
          <w:ilvl w:val="0"/>
          <w:numId w:val="2"/>
        </w:numPr>
        <w:spacing w:after="60"/>
      </w:pPr>
      <w:r>
        <w:rPr>
          <w:rFonts w:ascii="Courier New" w:cs="Courier New" w:eastAsia="Courier New" w:hAnsi="Courier New"/>
          <w:sz w:val="20"/>
          <w:szCs w:val="20"/>
        </w:rPr>
        <w:t xml:space="preserve">synchro</w:t>
      </w:r>
      <w:r>
        <w:rPr>
          <w:rFonts w:ascii="Times New Roman" w:cs="Times New Roman" w:eastAsia="Times New Roman" w:hAnsi="Times New Roman"/>
        </w:rPr>
        <w:t xml:space="preserve"> (V2) : paquets de concours et resynchronisation.</w:t>
      </w:r>
    </w:p>
    <w:p>
      <w:pPr>
        <w:pStyle w:val="Heading1"/>
      </w:pPr>
      <w:bookmarkStart w:name="_h58" w:id="158"/>
      <w:r>
        <w:t xml:space="preserve">14. Modèle de données prévisionnel</w:t>
      </w:r>
      <w:bookmarkEnd w:id="158"/>
    </w:p>
    <w:p>
      <w:pPr>
        <w:pStyle w:val="Heading2"/>
      </w:pPr>
      <w:bookmarkStart w:name="_h59" w:id="159"/>
      <w:r>
        <w:t xml:space="preserve">14.1. Principales entités</w:t>
      </w:r>
      <w:bookmarkEnd w:id="159"/>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900"/>
        <w:gridCol w:w="6172"/>
      </w:tblGrid>
      <w:tr>
        <w:trPr>
          <w:cantSplit/>
          <w:tblHeader/>
        </w:trPr>
        <w:tc>
          <w:tcPr>
            <w:tcW w:type="dxa" w:w="2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Entité</w:t>
            </w:r>
          </w:p>
        </w:tc>
        <w:tc>
          <w:tcPr>
            <w:tcW w:type="dxa" w:w="617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Informations principales</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Organisation (client)</w:t>
            </w:r>
          </w:p>
        </w:tc>
        <w:tc>
          <w:tcPr>
            <w:tcW w:type="dxa" w:w="6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Nom, logo, couleurs, coordonnées, responsable client, statut.</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Mission</w:t>
            </w:r>
          </w:p>
        </w:tc>
        <w:tc>
          <w:tcPr>
            <w:tcW w:type="dxa" w:w="6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Organisation, concours, dates, lieu, opérateurs affectés, formule commerciale, statut.</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Utilisateur</w:t>
            </w:r>
          </w:p>
        </w:tc>
        <w:tc>
          <w:tcPr>
            <w:tcW w:type="dxa" w:w="6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Identifiants, rôle, état du compte, authentification à deux facteurs.</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Code d’accès de juré</w:t>
            </w:r>
          </w:p>
        </w:tc>
        <w:tc>
          <w:tcPr>
            <w:tcW w:type="dxa" w:w="6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Juré, session, code, période de validité.</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Concours</w:t>
            </w:r>
          </w:p>
        </w:tc>
        <w:tc>
          <w:tcPr>
            <w:tcW w:type="dxa" w:w="6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Organisation, nom, édition, dates, format, version du corpus, double validation, état.</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Catégorie</w:t>
            </w:r>
          </w:p>
        </w:tc>
        <w:tc>
          <w:tcPr>
            <w:tcW w:type="dxa" w:w="6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Concours, discipline, conditions d’admission, règles de classement.</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Épreuve</w:t>
            </w:r>
          </w:p>
        </w:tc>
        <w:tc>
          <w:tcPr>
            <w:tcW w:type="dxa" w:w="6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Catégorie, règles, T, P, règles de réutilisation (RM-21), mode d’affichage, barème.</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Candidat</w:t>
            </w:r>
          </w:p>
        </w:tc>
        <w:tc>
          <w:tcPr>
            <w:tcW w:type="dxa" w:w="6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Identité et coordonnées minimales, date de naissance si nécessaire.</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Consentement</w:t>
            </w:r>
          </w:p>
        </w:tc>
        <w:tc>
          <w:tcPr>
            <w:tcW w:type="dxa" w:w="6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Candidat, représentant légal, version du formulaire, date, consentements accordés, document, statut.</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Participation</w:t>
            </w:r>
          </w:p>
        </w:tc>
        <w:tc>
          <w:tcPr>
            <w:tcW w:type="dxa" w:w="6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Candidat, concours, catégorie, numéro de candidat, statut.</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Session</w:t>
            </w:r>
          </w:p>
        </w:tc>
        <w:tc>
          <w:tcPr>
            <w:tcW w:type="dxa" w:w="6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Concours, date, lieu, ordre de passage, serveur de salle utilisé.</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Prestation</w:t>
            </w:r>
          </w:p>
        </w:tc>
        <w:tc>
          <w:tcPr>
            <w:tcW w:type="dxa" w:w="6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Participation, épreuve, session, rang dans l’ordre de passage, état.</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Version du corpus, Sourate, Verset, Traduction</w:t>
            </w:r>
          </w:p>
        </w:tc>
        <w:tc>
          <w:tcPr>
            <w:tcW w:type="dxa" w:w="6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Cf. §12.</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Passage coranique</w:t>
            </w:r>
          </w:p>
        </w:tc>
        <w:tc>
          <w:tcPr>
            <w:tcW w:type="dxa" w:w="6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Référence de début, référence de fin, version du corpus.</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Question</w:t>
            </w:r>
          </w:p>
        </w:tc>
        <w:tc>
          <w:tcPr>
            <w:tcW w:type="dxa" w:w="6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Type (passage coranique ou énoncé), contenu, organisation.</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Série</w:t>
            </w:r>
          </w:p>
        </w:tc>
        <w:tc>
          <w:tcPr>
            <w:tcW w:type="dxa" w:w="6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Lot, libellé, questions ordonnées (exactement P), statut de disponibilité.</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Lot</w:t>
            </w:r>
          </w:p>
        </w:tc>
        <w:tc>
          <w:tcPr>
            <w:tcW w:type="dxa" w:w="6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Épreuve, séries.</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Tirage</w:t>
            </w:r>
          </w:p>
        </w:tc>
        <w:tc>
          <w:tcPr>
            <w:tcW w:type="dxa" w:w="6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Prestation, série, rang (1 à T), horodatage, terminal déclencheur, identifiant de demande, statut, motif d’annulation.</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Affectation de jury</w:t>
            </w:r>
          </w:p>
        </w:tc>
        <w:tc>
          <w:tcPr>
            <w:tcW w:type="dxa" w:w="6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Juré, épreuve.</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Critère de notation</w:t>
            </w:r>
          </w:p>
        </w:tc>
        <w:tc>
          <w:tcPr>
            <w:tcW w:type="dxa" w:w="6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Épreuve, libellé, maximum, coefficient.</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Évaluation</w:t>
            </w:r>
          </w:p>
        </w:tc>
        <w:tc>
          <w:tcPr>
            <w:tcW w:type="dxa" w:w="6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Juré, prestation, notes par critère, observation, statut de validation.</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Événement de présentation</w:t>
            </w:r>
          </w:p>
        </w:tc>
        <w:tc>
          <w:tcPr>
            <w:tcW w:type="dxa" w:w="6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Prestation, version d’état, commande, auteur, horodatage.</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Incident</w:t>
            </w:r>
          </w:p>
        </w:tc>
        <w:tc>
          <w:tcPr>
            <w:tcW w:type="dxa" w:w="6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Concours, auteur, description, statut.</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Historique d’audit</w:t>
            </w:r>
          </w:p>
        </w:tc>
        <w:tc>
          <w:tcPr>
            <w:tcW w:type="dxa" w:w="6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Auteur, action, date, objet, terminal, empreinte chaînée.</w:t>
            </w:r>
          </w:p>
        </w:tc>
      </w:tr>
    </w:tbl>
    <w:p>
      <w:pPr>
        <w:spacing w:after="120"/>
      </w:pPr>
    </w:p>
    <w:p>
      <w:pPr>
        <w:pStyle w:val="Heading2"/>
      </w:pPr>
      <w:bookmarkStart w:name="_h60" w:id="160"/>
      <w:r>
        <w:t xml:space="preserve">14.2. Règles d’intégrité</w:t>
      </w:r>
      <w:bookmarkEnd w:id="160"/>
    </w:p>
    <w:p>
      <w:pPr>
        <w:pStyle w:val="ListParagraph"/>
        <w:numPr>
          <w:ilvl w:val="0"/>
          <w:numId w:val="2"/>
        </w:numPr>
        <w:spacing w:after="60"/>
      </w:pPr>
      <w:r>
        <w:rPr>
          <w:rFonts w:ascii="Times New Roman" w:cs="Times New Roman" w:eastAsia="Times New Roman" w:hAnsi="Times New Roman"/>
        </w:rPr>
        <w:t xml:space="preserve">un tirage ne peut pas être enregistré pour une participation non admise ;</w:t>
      </w:r>
    </w:p>
    <w:p>
      <w:pPr>
        <w:pStyle w:val="ListParagraph"/>
        <w:numPr>
          <w:ilvl w:val="0"/>
          <w:numId w:val="2"/>
        </w:numPr>
        <w:spacing w:after="60"/>
      </w:pPr>
      <w:r>
        <w:rPr>
          <w:rFonts w:ascii="Times New Roman" w:cs="Times New Roman" w:eastAsia="Times New Roman" w:hAnsi="Times New Roman"/>
        </w:rPr>
        <w:t xml:space="preserve">une série doit appartenir au lot de l’épreuve concernée et contenir exactement P questions ;</w:t>
      </w:r>
    </w:p>
    <w:p>
      <w:pPr>
        <w:pStyle w:val="ListParagraph"/>
        <w:numPr>
          <w:ilvl w:val="0"/>
          <w:numId w:val="2"/>
        </w:numPr>
        <w:spacing w:after="60"/>
      </w:pPr>
      <w:r>
        <w:rPr>
          <w:rFonts w:ascii="Times New Roman" w:cs="Times New Roman" w:eastAsia="Times New Roman" w:hAnsi="Times New Roman"/>
        </w:rPr>
        <w:t xml:space="preserve">un tirage validé ne peut pas être remplacé silencieusement ;</w:t>
      </w:r>
    </w:p>
    <w:p>
      <w:pPr>
        <w:pStyle w:val="ListParagraph"/>
        <w:numPr>
          <w:ilvl w:val="0"/>
          <w:numId w:val="2"/>
        </w:numPr>
        <w:spacing w:after="60"/>
      </w:pPr>
      <w:r>
        <w:rPr>
          <w:rFonts w:ascii="Times New Roman" w:cs="Times New Roman" w:eastAsia="Times New Roman" w:hAnsi="Times New Roman"/>
        </w:rPr>
        <w:t xml:space="preserve">une évaluation ne peut être validée que par le juré concerné ;</w:t>
      </w:r>
    </w:p>
    <w:p>
      <w:pPr>
        <w:pStyle w:val="ListParagraph"/>
        <w:numPr>
          <w:ilvl w:val="0"/>
          <w:numId w:val="2"/>
        </w:numPr>
        <w:spacing w:after="60"/>
      </w:pPr>
      <w:r>
        <w:rPr>
          <w:rFonts w:ascii="Times New Roman" w:cs="Times New Roman" w:eastAsia="Times New Roman" w:hAnsi="Times New Roman"/>
        </w:rPr>
        <w:t xml:space="preserve">un classement définitif ne peut être remis ou publié avant validation par le responsable client ;</w:t>
      </w:r>
    </w:p>
    <w:p>
      <w:pPr>
        <w:pStyle w:val="ListParagraph"/>
        <w:numPr>
          <w:ilvl w:val="0"/>
          <w:numId w:val="2"/>
        </w:numPr>
        <w:spacing w:after="60"/>
      </w:pPr>
      <w:r>
        <w:rPr>
          <w:rFonts w:ascii="Times New Roman" w:cs="Times New Roman" w:eastAsia="Times New Roman" w:hAnsi="Times New Roman"/>
        </w:rPr>
        <w:t xml:space="preserve">les données d’un client ne sont jamais visibles dans le concours d’un autre client ;</w:t>
      </w:r>
    </w:p>
    <w:p>
      <w:pPr>
        <w:pStyle w:val="ListParagraph"/>
        <w:numPr>
          <w:ilvl w:val="0"/>
          <w:numId w:val="2"/>
        </w:numPr>
        <w:spacing w:after="60"/>
      </w:pPr>
      <w:r>
        <w:rPr>
          <w:rFonts w:ascii="Times New Roman" w:cs="Times New Roman" w:eastAsia="Times New Roman" w:hAnsi="Times New Roman"/>
        </w:rPr>
        <w:t xml:space="preserve">les données du corpus coranique ne peuvent pas être modifiées depuis l’application.</w:t>
      </w:r>
    </w:p>
    <w:p>
      <w:pPr>
        <w:pStyle w:val="Heading1"/>
      </w:pPr>
      <w:bookmarkStart w:name="_h61" w:id="161"/>
      <w:r>
        <w:t xml:space="preserve">15. Sécurité, confidentialité et fiabilité *</w:t>
      </w:r>
      <w:bookmarkEnd w:id="161"/>
    </w:p>
    <w:p>
      <w:pPr>
        <w:spacing w:after="120"/>
        <w:jc w:val="both"/>
      </w:pPr>
      <w:r>
        <w:rPr>
          <w:rFonts w:ascii="Times New Roman" w:cs="Times New Roman" w:eastAsia="Times New Roman" w:hAnsi="Times New Roman"/>
        </w:rPr>
        <w:t xml:space="preserve">Le référentiel de vérification retenu est l’</w:t>
      </w:r>
      <w:r>
        <w:rPr>
          <w:rFonts w:ascii="Times New Roman" w:cs="Times New Roman" w:eastAsia="Times New Roman" w:hAnsi="Times New Roman"/>
          <w:b/>
          <w:bCs/>
        </w:rPr>
        <w:t xml:space="preserve">OWASP ASVS niveau 1</w:t>
      </w:r>
      <w:r>
        <w:rPr>
          <w:rFonts w:ascii="Times New Roman" w:cs="Times New Roman" w:eastAsia="Times New Roman" w:hAnsi="Times New Roman"/>
        </w:rPr>
        <w:t xml:space="preserve"> pour la V1 et la V2, et le </w:t>
      </w:r>
      <w:r>
        <w:rPr>
          <w:rFonts w:ascii="Times New Roman" w:cs="Times New Roman" w:eastAsia="Times New Roman" w:hAnsi="Times New Roman"/>
          <w:b/>
          <w:bCs/>
        </w:rPr>
        <w:t xml:space="preserve">niveau 2</w:t>
      </w:r>
      <w:r>
        <w:rPr>
          <w:rFonts w:ascii="Times New Roman" w:cs="Times New Roman" w:eastAsia="Times New Roman" w:hAnsi="Times New Roman"/>
        </w:rPr>
        <w:t xml:space="preserve"> comme prérequis à toute ouverture en libre-service (V3).</w:t>
      </w:r>
    </w:p>
    <w:p>
      <w:pPr>
        <w:pStyle w:val="Heading2"/>
      </w:pPr>
      <w:bookmarkStart w:name="_h62" w:id="162"/>
      <w:r>
        <w:t xml:space="preserve">15.1. Authentification et autorisations</w:t>
      </w:r>
      <w:bookmarkEnd w:id="162"/>
    </w:p>
    <w:p>
      <w:pPr>
        <w:pStyle w:val="ListParagraph"/>
        <w:numPr>
          <w:ilvl w:val="0"/>
          <w:numId w:val="2"/>
        </w:numPr>
        <w:spacing w:after="60"/>
      </w:pPr>
      <w:r>
        <w:rPr>
          <w:rFonts w:ascii="Times New Roman" w:cs="Times New Roman" w:eastAsia="Times New Roman" w:hAnsi="Times New Roman"/>
        </w:rPr>
        <w:t xml:space="preserve">comptes nominatifs pour l’administrateur QURANOVA, les opérateurs et les responsables clients ; authentification à deux facteurs obligatoire pour l’administrateur et les opérateurs ;</w:t>
      </w:r>
    </w:p>
    <w:p>
      <w:pPr>
        <w:pStyle w:val="ListParagraph"/>
        <w:numPr>
          <w:ilvl w:val="0"/>
          <w:numId w:val="2"/>
        </w:numPr>
        <w:spacing w:after="60"/>
      </w:pPr>
      <w:r>
        <w:rPr>
          <w:rFonts w:ascii="Times New Roman" w:cs="Times New Roman" w:eastAsia="Times New Roman" w:hAnsi="Times New Roman"/>
        </w:rPr>
        <w:t xml:space="preserve">mots de passe d’au moins 12 caractères, hachage Argon2 ou PBKDF2 ;</w:t>
      </w:r>
    </w:p>
    <w:p>
      <w:pPr>
        <w:pStyle w:val="ListParagraph"/>
        <w:numPr>
          <w:ilvl w:val="0"/>
          <w:numId w:val="2"/>
        </w:numPr>
        <w:spacing w:after="60"/>
      </w:pPr>
      <w:r>
        <w:rPr>
          <w:rFonts w:ascii="Times New Roman" w:cs="Times New Roman" w:eastAsia="Times New Roman" w:hAnsi="Times New Roman"/>
        </w:rPr>
        <w:t xml:space="preserve">jurés : code personnel valable pour une session uniquement, désactivé à la clôture de la session ;</w:t>
      </w:r>
    </w:p>
    <w:p>
      <w:pPr>
        <w:pStyle w:val="ListParagraph"/>
        <w:numPr>
          <w:ilvl w:val="0"/>
          <w:numId w:val="2"/>
        </w:numPr>
        <w:spacing w:after="60"/>
      </w:pPr>
      <w:r>
        <w:rPr>
          <w:rFonts w:ascii="Times New Roman" w:cs="Times New Roman" w:eastAsia="Times New Roman" w:hAnsi="Times New Roman"/>
        </w:rPr>
        <w:t xml:space="preserve">tablette de tirage : ouverte en mode kiosque par l’opérateur ; le candidat appelé est fixé par l’opérateur ;</w:t>
      </w:r>
    </w:p>
    <w:p>
      <w:pPr>
        <w:pStyle w:val="ListParagraph"/>
        <w:numPr>
          <w:ilvl w:val="0"/>
          <w:numId w:val="2"/>
        </w:numPr>
        <w:spacing w:after="60"/>
      </w:pPr>
      <w:r>
        <w:rPr>
          <w:rFonts w:ascii="Times New Roman" w:cs="Times New Roman" w:eastAsia="Times New Roman" w:hAnsi="Times New Roman"/>
        </w:rPr>
        <w:t xml:space="preserve">contrôle des permissions côté serveur, y compris sur les messages WebSocket ;</w:t>
      </w:r>
    </w:p>
    <w:p>
      <w:pPr>
        <w:pStyle w:val="ListParagraph"/>
        <w:numPr>
          <w:ilvl w:val="0"/>
          <w:numId w:val="2"/>
        </w:numPr>
        <w:spacing w:after="60"/>
      </w:pPr>
      <w:r>
        <w:rPr>
          <w:rFonts w:ascii="Times New Roman" w:cs="Times New Roman" w:eastAsia="Times New Roman" w:hAnsi="Times New Roman"/>
        </w:rPr>
        <w:t xml:space="preserve">limitation des tentatives de connexion ; désactivation immédiate d’un compte ;</w:t>
      </w:r>
    </w:p>
    <w:p>
      <w:pPr>
        <w:pStyle w:val="ListParagraph"/>
        <w:numPr>
          <w:ilvl w:val="0"/>
          <w:numId w:val="2"/>
        </w:numPr>
        <w:spacing w:after="60"/>
      </w:pPr>
      <w:r>
        <w:rPr>
          <w:rFonts w:ascii="Times New Roman" w:cs="Times New Roman" w:eastAsia="Times New Roman" w:hAnsi="Times New Roman"/>
        </w:rPr>
        <w:t xml:space="preserve">les écrans de jury et de commande ne sont pas déconnectés pendant une prestation en cours.</w:t>
      </w:r>
    </w:p>
    <w:p>
      <w:pPr>
        <w:pStyle w:val="Heading2"/>
      </w:pPr>
      <w:bookmarkStart w:name="_h63" w:id="163"/>
      <w:r>
        <w:t xml:space="preserve">15.2. Sécurité applicative</w:t>
      </w:r>
      <w:bookmarkEnd w:id="163"/>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000"/>
        <w:gridCol w:w="7072"/>
      </w:tblGrid>
      <w:tr>
        <w:trPr>
          <w:cantSplit/>
          <w:tblHeader/>
        </w:trPr>
        <w:tc>
          <w:tcPr>
            <w:tcW w:type="dxa" w:w="2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Menace</w:t>
            </w:r>
          </w:p>
        </w:tc>
        <w:tc>
          <w:tcPr>
            <w:tcW w:type="dxa" w:w="707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Mesures exigées</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XSS</w:t>
            </w:r>
          </w:p>
        </w:tc>
        <w:tc>
          <w:tcPr>
            <w:tcW w:type="dxa" w:w="70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ind w:left="160" w:hanging="160"/>
            </w:pPr>
            <w:r>
              <w:rPr>
                <w:rFonts w:ascii="Times New Roman" w:cs="Times New Roman" w:eastAsia="Times New Roman" w:hAnsi="Times New Roman"/>
                <w:sz w:val="19"/>
                <w:szCs w:val="19"/>
              </w:rPr>
              <w:t xml:space="preserve">• échappement automatique des gabarits Django et de Vue.js ; interdiction de </w:t>
            </w:r>
            <w:r>
              <w:rPr>
                <w:rFonts w:ascii="Courier New" w:cs="Courier New" w:eastAsia="Courier New" w:hAnsi="Courier New"/>
                <w:sz w:val="17"/>
                <w:szCs w:val="17"/>
              </w:rPr>
              <w:t xml:space="preserve">v-html</w:t>
            </w:r>
            <w:r>
              <w:rPr>
                <w:rFonts w:ascii="Times New Roman" w:cs="Times New Roman" w:eastAsia="Times New Roman" w:hAnsi="Times New Roman"/>
                <w:sz w:val="19"/>
                <w:szCs w:val="19"/>
              </w:rPr>
              <w:t xml:space="preserve"> sur des données saisies</w:t>
            </w:r>
          </w:p>
          <w:p>
            <w:pPr>
              <w:spacing w:after="40"/>
              <w:ind w:left="160" w:hanging="160"/>
            </w:pPr>
            <w:r>
              <w:rPr>
                <w:rFonts w:ascii="Times New Roman" w:cs="Times New Roman" w:eastAsia="Times New Roman" w:hAnsi="Times New Roman"/>
                <w:sz w:val="19"/>
                <w:szCs w:val="19"/>
              </w:rPr>
              <w:t xml:space="preserve">• politique CSP sans script en ligne</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CSRF</w:t>
            </w:r>
          </w:p>
        </w:tc>
        <w:tc>
          <w:tcPr>
            <w:tcW w:type="dxa" w:w="70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ind w:left="160" w:hanging="160"/>
            </w:pPr>
            <w:r>
              <w:rPr>
                <w:rFonts w:ascii="Times New Roman" w:cs="Times New Roman" w:eastAsia="Times New Roman" w:hAnsi="Times New Roman"/>
                <w:sz w:val="19"/>
                <w:szCs w:val="19"/>
              </w:rPr>
              <w:t xml:space="preserve">• jetons CSRF Django, y compris pour les requêtes HTMX</w:t>
            </w:r>
          </w:p>
          <w:p>
            <w:pPr>
              <w:spacing w:after="40"/>
              <w:ind w:left="160" w:hanging="160"/>
            </w:pPr>
            <w:r>
              <w:rPr>
                <w:rFonts w:ascii="Times New Roman" w:cs="Times New Roman" w:eastAsia="Times New Roman" w:hAnsi="Times New Roman"/>
                <w:sz w:val="19"/>
                <w:szCs w:val="19"/>
              </w:rPr>
              <w:t xml:space="preserve">• cookies </w:t>
            </w:r>
            <w:r>
              <w:rPr>
                <w:rFonts w:ascii="Courier New" w:cs="Courier New" w:eastAsia="Courier New" w:hAnsi="Courier New"/>
                <w:sz w:val="17"/>
                <w:szCs w:val="17"/>
              </w:rPr>
              <w:t xml:space="preserve">Secure</w:t>
            </w:r>
            <w:r>
              <w:rPr>
                <w:rFonts w:ascii="Times New Roman" w:cs="Times New Roman" w:eastAsia="Times New Roman" w:hAnsi="Times New Roman"/>
                <w:sz w:val="19"/>
                <w:szCs w:val="19"/>
              </w:rPr>
              <w:t xml:space="preserve">, </w:t>
            </w:r>
            <w:r>
              <w:rPr>
                <w:rFonts w:ascii="Courier New" w:cs="Courier New" w:eastAsia="Courier New" w:hAnsi="Courier New"/>
                <w:sz w:val="17"/>
                <w:szCs w:val="17"/>
              </w:rPr>
              <w:t xml:space="preserve">HttpOnly</w:t>
            </w:r>
            <w:r>
              <w:rPr>
                <w:rFonts w:ascii="Times New Roman" w:cs="Times New Roman" w:eastAsia="Times New Roman" w:hAnsi="Times New Roman"/>
                <w:sz w:val="19"/>
                <w:szCs w:val="19"/>
              </w:rPr>
              <w:t xml:space="preserve">, </w:t>
            </w:r>
            <w:r>
              <w:rPr>
                <w:rFonts w:ascii="Courier New" w:cs="Courier New" w:eastAsia="Courier New" w:hAnsi="Courier New"/>
                <w:sz w:val="17"/>
                <w:szCs w:val="17"/>
              </w:rPr>
              <w:t xml:space="preserve">SameSite=Lax</w:t>
            </w:r>
          </w:p>
          <w:p>
            <w:pPr>
              <w:spacing w:after="40"/>
              <w:ind w:left="160" w:hanging="160"/>
            </w:pPr>
            <w:r>
              <w:rPr>
                <w:rFonts w:ascii="Times New Roman" w:cs="Times New Roman" w:eastAsia="Times New Roman" w:hAnsi="Times New Roman"/>
                <w:sz w:val="19"/>
                <w:szCs w:val="19"/>
              </w:rPr>
              <w:t xml:space="preserve">• contrôle de l’origine à l’ouverture des connexions WebSocket</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Injection SQL</w:t>
            </w:r>
          </w:p>
        </w:tc>
        <w:tc>
          <w:tcPr>
            <w:tcW w:type="dxa" w:w="70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Usage exclusif de l’ORM Django ou de requêtes paramétrées.</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IDOR</w:t>
            </w:r>
          </w:p>
        </w:tc>
        <w:tc>
          <w:tcPr>
            <w:tcW w:type="dxa" w:w="70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ind w:left="160" w:hanging="160"/>
            </w:pPr>
            <w:r>
              <w:rPr>
                <w:rFonts w:ascii="Times New Roman" w:cs="Times New Roman" w:eastAsia="Times New Roman" w:hAnsi="Times New Roman"/>
                <w:sz w:val="19"/>
                <w:szCs w:val="19"/>
              </w:rPr>
              <w:t xml:space="preserve">• contrôle d’autorisation au niveau de chaque objet et de chaque canal temps réel</w:t>
            </w:r>
          </w:p>
          <w:p>
            <w:pPr>
              <w:spacing w:after="40"/>
              <w:ind w:left="160" w:hanging="160"/>
            </w:pPr>
            <w:r>
              <w:rPr>
                <w:rFonts w:ascii="Times New Roman" w:cs="Times New Roman" w:eastAsia="Times New Roman" w:hAnsi="Times New Roman"/>
                <w:sz w:val="19"/>
                <w:szCs w:val="19"/>
              </w:rPr>
              <w:t xml:space="preserve">• filtre systématique par client (cf. §13.4)</w:t>
            </w:r>
          </w:p>
          <w:p>
            <w:pPr>
              <w:spacing w:after="40"/>
              <w:ind w:left="160" w:hanging="160"/>
            </w:pPr>
            <w:r>
              <w:rPr>
                <w:rFonts w:ascii="Times New Roman" w:cs="Times New Roman" w:eastAsia="Times New Roman" w:hAnsi="Times New Roman"/>
                <w:sz w:val="19"/>
                <w:szCs w:val="19"/>
              </w:rPr>
              <w:t xml:space="preserve">• identifiants UUID</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Import de fichiers</w:t>
            </w:r>
          </w:p>
        </w:tc>
        <w:tc>
          <w:tcPr>
            <w:tcW w:type="dxa" w:w="70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Contrôle du type et de la taille des fichiers CSV/Excel importés ; aucune formule exécutée ; neutralisation des cellules commençant par =, +, - ou @ lors des exports tableur.</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Réseau de salle</w:t>
            </w:r>
          </w:p>
        </w:tc>
        <w:tc>
          <w:tcPr>
            <w:tcW w:type="dxa" w:w="70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Réseau dédié chiffré, mot de passe changé à chaque mission, aucun appareil extérieur, interfaces de gestion accessibles depuis les seuls terminaux de l’opérateur.</w:t>
            </w:r>
          </w:p>
        </w:tc>
      </w:tr>
    </w:tbl>
    <w:p>
      <w:pPr>
        <w:spacing w:after="120"/>
      </w:pPr>
    </w:p>
    <w:p>
      <w:pPr>
        <w:keepNext/>
        <w:spacing w:after="80" w:before="120"/>
      </w:pPr>
      <w:r>
        <w:rPr>
          <w:rFonts w:ascii="Times New Roman" w:cs="Times New Roman" w:eastAsia="Times New Roman" w:hAnsi="Times New Roman"/>
          <w:b/>
          <w:bCs/>
        </w:rPr>
        <w:t xml:space="preserve">Validation côté serveur :</w:t>
      </w:r>
    </w:p>
    <w:p>
      <w:pPr>
        <w:spacing w:after="120"/>
        <w:jc w:val="both"/>
      </w:pPr>
      <w:r>
        <w:rPr>
          <w:rFonts w:ascii="Times New Roman" w:cs="Times New Roman" w:eastAsia="Times New Roman" w:hAnsi="Times New Roman"/>
        </w:rPr>
        <w:t xml:space="preserve">Toute donnée reçue (formulaires, fichiers importés, messages WebSocket, paquets de concours) est validée côté serveur. La validation côté navigateur n’a qu’une fonction ergonomique.</w:t>
      </w:r>
    </w:p>
    <w:p>
      <w:pPr>
        <w:keepNext/>
        <w:spacing w:after="80" w:before="120"/>
      </w:pPr>
      <w:r>
        <w:rPr>
          <w:rFonts w:ascii="Times New Roman" w:cs="Times New Roman" w:eastAsia="Times New Roman" w:hAnsi="Times New Roman"/>
          <w:b/>
          <w:bCs/>
        </w:rPr>
        <w:t xml:space="preserve">Journalisation des opérations sensibles :</w:t>
      </w:r>
    </w:p>
    <w:p>
      <w:pPr>
        <w:pStyle w:val="ListParagraph"/>
        <w:numPr>
          <w:ilvl w:val="0"/>
          <w:numId w:val="2"/>
        </w:numPr>
        <w:spacing w:after="60"/>
      </w:pPr>
      <w:r>
        <w:rPr>
          <w:rFonts w:ascii="Times New Roman" w:cs="Times New Roman" w:eastAsia="Times New Roman" w:hAnsi="Times New Roman"/>
        </w:rPr>
        <w:t xml:space="preserve">connexions, tirages et annulations, retours à la diapositive précédente, saisie et correction de notes, validation des résultats, import de candidats, consultation des données de mineurs, export ;</w:t>
      </w:r>
    </w:p>
    <w:p>
      <w:pPr>
        <w:pStyle w:val="ListParagraph"/>
        <w:numPr>
          <w:ilvl w:val="0"/>
          <w:numId w:val="2"/>
        </w:numPr>
        <w:spacing w:after="60"/>
      </w:pPr>
      <w:r>
        <w:rPr>
          <w:rFonts w:ascii="Times New Roman" w:cs="Times New Roman" w:eastAsia="Times New Roman" w:hAnsi="Times New Roman"/>
        </w:rPr>
        <w:t xml:space="preserve">journal en ajout seul, chaque entrée comportant l’empreinte de la précédente ; extrait joint au procès-verbal remis au client ;</w:t>
      </w:r>
    </w:p>
    <w:p>
      <w:pPr>
        <w:pStyle w:val="ListParagraph"/>
        <w:numPr>
          <w:ilvl w:val="0"/>
          <w:numId w:val="2"/>
        </w:numPr>
        <w:spacing w:after="60"/>
      </w:pPr>
      <w:r>
        <w:rPr>
          <w:rFonts w:ascii="Times New Roman" w:cs="Times New Roman" w:eastAsia="Times New Roman" w:hAnsi="Times New Roman"/>
        </w:rPr>
        <w:t xml:space="preserve">aucun mot de passe ni code d’accès en clair dans les journaux.</w:t>
      </w:r>
    </w:p>
    <w:p>
      <w:pPr>
        <w:keepNext/>
        <w:spacing w:after="80" w:before="120"/>
      </w:pPr>
      <w:r>
        <w:rPr>
          <w:rFonts w:ascii="Times New Roman" w:cs="Times New Roman" w:eastAsia="Times New Roman" w:hAnsi="Times New Roman"/>
          <w:b/>
          <w:bCs/>
        </w:rPr>
        <w:t xml:space="preserve">Gestion des secrets :</w:t>
      </w:r>
    </w:p>
    <w:p>
      <w:pPr>
        <w:pStyle w:val="ListParagraph"/>
        <w:numPr>
          <w:ilvl w:val="0"/>
          <w:numId w:val="2"/>
        </w:numPr>
        <w:spacing w:after="60"/>
      </w:pPr>
      <w:r>
        <w:rPr>
          <w:rFonts w:ascii="Times New Roman" w:cs="Times New Roman" w:eastAsia="Times New Roman" w:hAnsi="Times New Roman"/>
        </w:rPr>
        <w:t xml:space="preserve">aucun secret dans le dépôt Git (fichier d’environnement exclu, analyse automatique des secrets avant chaque envoi) ;</w:t>
      </w:r>
    </w:p>
    <w:p>
      <w:pPr>
        <w:pStyle w:val="ListParagraph"/>
        <w:numPr>
          <w:ilvl w:val="0"/>
          <w:numId w:val="2"/>
        </w:numPr>
        <w:spacing w:after="60"/>
      </w:pPr>
      <w:r>
        <w:rPr>
          <w:rFonts w:ascii="Times New Roman" w:cs="Times New Roman" w:eastAsia="Times New Roman" w:hAnsi="Times New Roman"/>
        </w:rPr>
        <w:t xml:space="preserve">rotation annuelle des secrets, et immédiate lors du départ d’un opérateur ou en cas de suspicion de compromission ;</w:t>
      </w:r>
    </w:p>
    <w:p>
      <w:pPr>
        <w:pStyle w:val="ListParagraph"/>
        <w:numPr>
          <w:ilvl w:val="0"/>
          <w:numId w:val="2"/>
        </w:numPr>
        <w:spacing w:after="60"/>
      </w:pPr>
      <w:r>
        <w:rPr>
          <w:rFonts w:ascii="Times New Roman" w:cs="Times New Roman" w:eastAsia="Times New Roman" w:hAnsi="Times New Roman"/>
        </w:rPr>
        <w:t xml:space="preserve">chiffrement du disque des serveurs de salle et des disques de sauvegarde.</w:t>
      </w:r>
    </w:p>
    <w:p>
      <w:pPr>
        <w:keepNext/>
        <w:spacing w:after="80" w:before="120"/>
      </w:pPr>
      <w:r>
        <w:rPr>
          <w:rFonts w:ascii="Times New Roman" w:cs="Times New Roman" w:eastAsia="Times New Roman" w:hAnsi="Times New Roman"/>
          <w:b/>
          <w:bCs/>
        </w:rPr>
        <w:t xml:space="preserve">Vérification avant la première mission :</w:t>
      </w:r>
    </w:p>
    <w:p>
      <w:pPr>
        <w:pStyle w:val="ListParagraph"/>
        <w:numPr>
          <w:ilvl w:val="0"/>
          <w:numId w:val="2"/>
        </w:numPr>
        <w:spacing w:after="60"/>
      </w:pPr>
      <w:r>
        <w:rPr>
          <w:rFonts w:ascii="Times New Roman" w:cs="Times New Roman" w:eastAsia="Times New Roman" w:hAnsi="Times New Roman"/>
        </w:rPr>
        <w:t xml:space="preserve">autoévaluation selon la liste de contrôle OWASP ASVS niveau 1 ;</w:t>
      </w:r>
    </w:p>
    <w:p>
      <w:pPr>
        <w:pStyle w:val="ListParagraph"/>
        <w:numPr>
          <w:ilvl w:val="0"/>
          <w:numId w:val="2"/>
        </w:numPr>
        <w:spacing w:after="60"/>
      </w:pPr>
      <w:r>
        <w:rPr>
          <w:rFonts w:ascii="Times New Roman" w:cs="Times New Roman" w:eastAsia="Times New Roman" w:hAnsi="Times New Roman"/>
        </w:rPr>
        <w:t xml:space="preserve">analyses automatiques : Bandit, pip-audit, npm audit, et analyse OWASP ZAP sur l’application en fonctionnement ;</w:t>
      </w:r>
    </w:p>
    <w:p>
      <w:pPr>
        <w:pStyle w:val="ListParagraph"/>
        <w:numPr>
          <w:ilvl w:val="0"/>
          <w:numId w:val="2"/>
        </w:numPr>
        <w:spacing w:after="60"/>
      </w:pPr>
      <w:r>
        <w:rPr>
          <w:rFonts w:ascii="Times New Roman" w:cs="Times New Roman" w:eastAsia="Times New Roman" w:hAnsi="Times New Roman"/>
        </w:rPr>
        <w:t xml:space="preserve">aucune vulnérabilité critique ou élevée ouverte ;</w:t>
      </w:r>
    </w:p>
    <w:p>
      <w:pPr>
        <w:pStyle w:val="ListParagraph"/>
        <w:numPr>
          <w:ilvl w:val="0"/>
          <w:numId w:val="2"/>
        </w:numPr>
        <w:spacing w:after="60"/>
      </w:pPr>
      <w:r>
        <w:rPr>
          <w:rFonts w:ascii="Times New Roman" w:cs="Times New Roman" w:eastAsia="Times New Roman" w:hAnsi="Times New Roman"/>
        </w:rPr>
        <w:t xml:space="preserve">un test d’intrusion réalisé par un tiers indépendant est obligatoire avant toute mise en ligne de l’instance centrale accessible aux clients (V2) et avant toute ouverture en libre-service (V3).</w:t>
      </w:r>
    </w:p>
    <w:p>
      <w:pPr>
        <w:pStyle w:val="Heading2"/>
      </w:pPr>
      <w:bookmarkStart w:name="_h64" w:id="164"/>
      <w:r>
        <w:t xml:space="preserve">15.3. Protection des résultats</w:t>
      </w:r>
      <w:bookmarkEnd w:id="164"/>
    </w:p>
    <w:p>
      <w:pPr>
        <w:spacing w:after="120"/>
        <w:jc w:val="both"/>
      </w:pPr>
      <w:r>
        <w:rPr>
          <w:rFonts w:ascii="Times New Roman" w:cs="Times New Roman" w:eastAsia="Times New Roman" w:hAnsi="Times New Roman"/>
        </w:rPr>
        <w:t xml:space="preserve">Les notes sont enregistrées avec l’identité du juré et l’heure de validation. Les corrections laissent une trace. Les notes ne sont pas visibles du candidat pendant l’évaluation, sauf si le règlement du client prévoit explicitement une communication particulière.</w:t>
      </w:r>
    </w:p>
    <w:p>
      <w:pPr>
        <w:pStyle w:val="Heading2"/>
      </w:pPr>
      <w:bookmarkStart w:name="_h65" w:id="165"/>
      <w:r>
        <w:t xml:space="preserve">15.4. Protection du tirage au sort</w:t>
      </w:r>
      <w:bookmarkEnd w:id="165"/>
    </w:p>
    <w:p>
      <w:pPr>
        <w:spacing w:after="120"/>
        <w:jc w:val="both"/>
      </w:pPr>
      <w:r>
        <w:rPr>
          <w:rFonts w:ascii="Times New Roman" w:cs="Times New Roman" w:eastAsia="Times New Roman" w:hAnsi="Times New Roman"/>
        </w:rPr>
        <w:t xml:space="preserve">Le tirage est effectué par le serveur selon la procédure de §8.5, avec un générateur aléatoire cryptographiquement sûr (module </w:t>
      </w:r>
      <w:r>
        <w:rPr>
          <w:rFonts w:ascii="Courier New" w:cs="Courier New" w:eastAsia="Courier New" w:hAnsi="Courier New"/>
          <w:sz w:val="20"/>
          <w:szCs w:val="20"/>
        </w:rPr>
        <w:t xml:space="preserve">secrets</w:t>
      </w:r>
      <w:r>
        <w:rPr>
          <w:rFonts w:ascii="Times New Roman" w:cs="Times New Roman" w:eastAsia="Times New Roman" w:hAnsi="Times New Roman"/>
        </w:rPr>
        <w:t xml:space="preserve"> de Python). Il est résistant aux doubles clics, aux requêtes répétées et aux actualisations de page.</w:t>
      </w:r>
    </w:p>
    <w:p>
      <w:pPr>
        <w:spacing w:after="120"/>
        <w:jc w:val="both"/>
      </w:pPr>
      <w:r>
        <w:rPr>
          <w:rFonts w:ascii="Times New Roman" w:cs="Times New Roman" w:eastAsia="Times New Roman" w:hAnsi="Times New Roman"/>
        </w:rPr>
        <w:t xml:space="preserve">Le système enregistre : le candidat et la participation ; l’épreuve et la prestation ; la série attribuée ; la date et l’heure ; le terminal ayant déclenché le tirage ; le statut ; toute annulation, avec motif et auteur. L’historique des tirages figure dans le procès-verbal remis au client.</w:t>
      </w:r>
    </w:p>
    <w:p>
      <w:pPr>
        <w:pStyle w:val="Heading2"/>
      </w:pPr>
      <w:bookmarkStart w:name="_h66" w:id="166"/>
      <w:r>
        <w:t xml:space="preserve">15.5. Sauvegardes et continuité</w:t>
      </w:r>
      <w:bookmarkEnd w:id="166"/>
    </w:p>
    <w:p>
      <w:pPr>
        <w:pStyle w:val="ListParagraph"/>
        <w:numPr>
          <w:ilvl w:val="0"/>
          <w:numId w:val="2"/>
        </w:numPr>
        <w:spacing w:after="60"/>
      </w:pPr>
      <w:r>
        <w:rPr>
          <w:rFonts w:ascii="Times New Roman" w:cs="Times New Roman" w:eastAsia="Times New Roman" w:hAnsi="Times New Roman"/>
        </w:rPr>
        <w:t xml:space="preserve">sauvegarde automatique de la base toutes les 15 minutes pendant une session, sur un disque externe chiffré relié au serveur de salle (perte de données maximale : 15 minutes) ;</w:t>
      </w:r>
    </w:p>
    <w:p>
      <w:pPr>
        <w:pStyle w:val="ListParagraph"/>
        <w:numPr>
          <w:ilvl w:val="0"/>
          <w:numId w:val="2"/>
        </w:numPr>
        <w:spacing w:after="60"/>
      </w:pPr>
      <w:r>
        <w:rPr>
          <w:rFonts w:ascii="Times New Roman" w:cs="Times New Roman" w:eastAsia="Times New Roman" w:hAnsi="Times New Roman"/>
        </w:rPr>
        <w:t xml:space="preserve">sauvegarde complète à la fin de chaque journée de concours, conservée sur un second support ; copie chiffrée en ligne dès qu’Internet est disponible (V2) ;</w:t>
      </w:r>
    </w:p>
    <w:p>
      <w:pPr>
        <w:pStyle w:val="ListParagraph"/>
        <w:numPr>
          <w:ilvl w:val="0"/>
          <w:numId w:val="2"/>
        </w:numPr>
        <w:spacing w:after="60"/>
      </w:pPr>
      <w:r>
        <w:rPr>
          <w:rFonts w:ascii="Times New Roman" w:cs="Times New Roman" w:eastAsia="Times New Roman" w:hAnsi="Times New Roman"/>
        </w:rPr>
        <w:t xml:space="preserve">conservation des sauvegardes : 30 jours après la clôture de la mission, puis suppression (les données archivées suivent les durées de §16.3) ;</w:t>
      </w:r>
    </w:p>
    <w:p>
      <w:pPr>
        <w:pStyle w:val="ListParagraph"/>
        <w:numPr>
          <w:ilvl w:val="0"/>
          <w:numId w:val="2"/>
        </w:numPr>
        <w:spacing w:after="60"/>
      </w:pPr>
      <w:r>
        <w:rPr>
          <w:rFonts w:ascii="Times New Roman" w:cs="Times New Roman" w:eastAsia="Times New Roman" w:hAnsi="Times New Roman"/>
        </w:rPr>
        <w:t xml:space="preserve">test de restauration sur l’ordinateur de secours avant chaque saison de concours et au moins une fois par trimestre ;</w:t>
      </w:r>
    </w:p>
    <w:p>
      <w:pPr>
        <w:pStyle w:val="ListParagraph"/>
        <w:numPr>
          <w:ilvl w:val="0"/>
          <w:numId w:val="2"/>
        </w:numPr>
        <w:spacing w:after="60"/>
      </w:pPr>
      <w:r>
        <w:rPr>
          <w:rFonts w:ascii="Times New Roman" w:cs="Times New Roman" w:eastAsia="Times New Roman" w:hAnsi="Times New Roman"/>
        </w:rPr>
        <w:t xml:space="preserve">procédures d’incident en salle décrites en §13.6.</w:t>
      </w:r>
    </w:p>
    <w:p>
      <w:pPr>
        <w:pStyle w:val="Heading1"/>
      </w:pPr>
      <w:bookmarkStart w:name="_h67" w:id="167"/>
      <w:r>
        <w:t xml:space="preserve">16. Protection des données personnelles *</w:t>
      </w:r>
      <w:bookmarkEnd w:id="167"/>
    </w:p>
    <w:p>
      <w:pPr>
        <w:spacing w:after="120"/>
        <w:jc w:val="both"/>
      </w:pPr>
      <w:r>
        <w:rPr>
          <w:rFonts w:ascii="Times New Roman" w:cs="Times New Roman" w:eastAsia="Times New Roman" w:hAnsi="Times New Roman"/>
        </w:rPr>
        <w:t xml:space="preserve">Le cadre de référence est la loi ivoirienne n° 2013-450 du 19 juin 2013 relative à la protection des données à caractère personnel, dont le respect est contrôlé par l’Autorité de Régulation des Télécommunications/TIC de Côte d’Ivoire (ARTCI).</w:t>
      </w:r>
    </w:p>
    <w:p>
      <w:pPr>
        <w:pBdr>
          <w:left w:val="single" w:color="404040" w:sz="24" w:space="8"/>
        </w:pBdr>
        <w:shd w:fill="F2F2F2" w:color="auto" w:val="clear"/>
        <w:spacing w:after="160" w:before="120"/>
        <w:ind w:left="200"/>
        <w:jc w:val="both"/>
      </w:pPr>
      <w:r>
        <w:rPr>
          <w:rFonts w:ascii="Times New Roman" w:cs="Times New Roman" w:eastAsia="Times New Roman" w:hAnsi="Times New Roman"/>
          <w:b/>
          <w:bCs/>
        </w:rPr>
        <w:t xml:space="preserve">Réserve :</w:t>
      </w:r>
      <w:r>
        <w:rPr>
          <w:rFonts w:ascii="Times New Roman" w:cs="Times New Roman" w:eastAsia="Times New Roman" w:hAnsi="Times New Roman"/>
        </w:rPr>
        <w:t xml:space="preserve"> les qualifications juridiques ci-dessous devront être confirmées par un conseil juridique avant le dépôt des formalités auprès de l’ARTCI et avant la première mission payante.</w:t>
      </w:r>
    </w:p>
    <w:p>
      <w:pPr>
        <w:pStyle w:val="Heading2"/>
      </w:pPr>
      <w:bookmarkStart w:name="_h68" w:id="168"/>
      <w:r>
        <w:t xml:space="preserve">16.1. Rôles et base légale du traitement</w:t>
      </w:r>
      <w:bookmarkEnd w:id="168"/>
    </w:p>
    <w:p>
      <w:pPr>
        <w:pStyle w:val="ListParagraph"/>
        <w:numPr>
          <w:ilvl w:val="0"/>
          <w:numId w:val="2"/>
        </w:numPr>
        <w:spacing w:after="60"/>
      </w:pPr>
      <w:r>
        <w:rPr>
          <w:rFonts w:ascii="Times New Roman" w:cs="Times New Roman" w:eastAsia="Times New Roman" w:hAnsi="Times New Roman"/>
          <w:b/>
          <w:bCs/>
        </w:rPr>
        <w:t xml:space="preserve">responsable de traitement</w:t>
      </w:r>
      <w:r>
        <w:rPr>
          <w:rFonts w:ascii="Times New Roman" w:cs="Times New Roman" w:eastAsia="Times New Roman" w:hAnsi="Times New Roman"/>
        </w:rPr>
        <w:t xml:space="preserve"> : l’organisation cliente, pour les données de son concours (candidats, représentants légaux, jurés, résultats) ; elle détermine la finalité et collecte les consentements ;</w:t>
      </w:r>
    </w:p>
    <w:p>
      <w:pPr>
        <w:pStyle w:val="ListParagraph"/>
        <w:numPr>
          <w:ilvl w:val="0"/>
          <w:numId w:val="2"/>
        </w:numPr>
        <w:spacing w:after="60"/>
      </w:pPr>
      <w:r>
        <w:rPr>
          <w:rFonts w:ascii="Times New Roman" w:cs="Times New Roman" w:eastAsia="Times New Roman" w:hAnsi="Times New Roman"/>
          <w:b/>
          <w:bCs/>
        </w:rPr>
        <w:t xml:space="preserve">sous-traitant</w:t>
      </w:r>
      <w:r>
        <w:rPr>
          <w:rFonts w:ascii="Times New Roman" w:cs="Times New Roman" w:eastAsia="Times New Roman" w:hAnsi="Times New Roman"/>
        </w:rPr>
        <w:t xml:space="preserve"> : le prestataire, qui traite ces données pour le compte du client dans le cadre de la mission ; ses obligations (sécurité, confidentialité, durée, restitution, suppression) figurent dans une clause dédiée du contrat de mission ;</w:t>
      </w:r>
    </w:p>
    <w:p>
      <w:pPr>
        <w:pStyle w:val="ListParagraph"/>
        <w:numPr>
          <w:ilvl w:val="0"/>
          <w:numId w:val="2"/>
        </w:numPr>
        <w:spacing w:after="60"/>
      </w:pPr>
      <w:r>
        <w:rPr>
          <w:rFonts w:ascii="Times New Roman" w:cs="Times New Roman" w:eastAsia="Times New Roman" w:hAnsi="Times New Roman"/>
        </w:rPr>
        <w:t xml:space="preserve">le prestataire est </w:t>
      </w:r>
      <w:r>
        <w:rPr>
          <w:rFonts w:ascii="Times New Roman" w:cs="Times New Roman" w:eastAsia="Times New Roman" w:hAnsi="Times New Roman"/>
          <w:b/>
          <w:bCs/>
        </w:rPr>
        <w:t xml:space="preserve">responsable de traitement</w:t>
      </w:r>
      <w:r>
        <w:rPr>
          <w:rFonts w:ascii="Times New Roman" w:cs="Times New Roman" w:eastAsia="Times New Roman" w:hAnsi="Times New Roman"/>
        </w:rPr>
        <w:t xml:space="preserve"> pour ses propres données de gestion (clients, opérateurs, comptes, facturation) ;</w:t>
      </w:r>
    </w:p>
    <w:p>
      <w:pPr>
        <w:pStyle w:val="ListParagraph"/>
        <w:numPr>
          <w:ilvl w:val="0"/>
          <w:numId w:val="2"/>
        </w:numPr>
        <w:spacing w:after="60"/>
      </w:pPr>
      <w:r>
        <w:rPr>
          <w:rFonts w:ascii="Times New Roman" w:cs="Times New Roman" w:eastAsia="Times New Roman" w:hAnsi="Times New Roman"/>
          <w:b/>
          <w:bCs/>
        </w:rPr>
        <w:t xml:space="preserve">finalité</w:t>
      </w:r>
      <w:r>
        <w:rPr>
          <w:rFonts w:ascii="Times New Roman" w:cs="Times New Roman" w:eastAsia="Times New Roman" w:hAnsi="Times New Roman"/>
        </w:rPr>
        <w:t xml:space="preserve"> : organisation, conduite et publication des résultats de concours coraniques ;</w:t>
      </w:r>
    </w:p>
    <w:p>
      <w:pPr>
        <w:pStyle w:val="ListParagraph"/>
        <w:numPr>
          <w:ilvl w:val="0"/>
          <w:numId w:val="2"/>
        </w:numPr>
        <w:spacing w:after="60"/>
      </w:pPr>
      <w:r>
        <w:rPr>
          <w:rFonts w:ascii="Times New Roman" w:cs="Times New Roman" w:eastAsia="Times New Roman" w:hAnsi="Times New Roman"/>
          <w:b/>
          <w:bCs/>
        </w:rPr>
        <w:t xml:space="preserve">base légale</w:t>
      </w:r>
      <w:r>
        <w:rPr>
          <w:rFonts w:ascii="Times New Roman" w:cs="Times New Roman" w:eastAsia="Times New Roman" w:hAnsi="Times New Roman"/>
        </w:rPr>
        <w:t xml:space="preserve"> : consentement préalable de la personne concernée ou de son représentant légal, et exécution du règlement du concours ;</w:t>
      </w:r>
    </w:p>
    <w:p>
      <w:pPr>
        <w:pStyle w:val="ListParagraph"/>
        <w:numPr>
          <w:ilvl w:val="0"/>
          <w:numId w:val="2"/>
        </w:numPr>
        <w:spacing w:after="60"/>
      </w:pPr>
      <w:r>
        <w:rPr>
          <w:rFonts w:ascii="Times New Roman" w:cs="Times New Roman" w:eastAsia="Times New Roman" w:hAnsi="Times New Roman"/>
          <w:b/>
          <w:bCs/>
        </w:rPr>
        <w:t xml:space="preserve">données sensibles</w:t>
      </w:r>
      <w:r>
        <w:rPr>
          <w:rFonts w:ascii="Times New Roman" w:cs="Times New Roman" w:eastAsia="Times New Roman" w:hAnsi="Times New Roman"/>
        </w:rPr>
        <w:t xml:space="preserve"> : la participation à un concours coranique est susceptible de révéler une conviction religieuse, qui relève des données sensibles au sens de la loi ; le consentement est donc exprès et écrit ;</w:t>
      </w:r>
    </w:p>
    <w:p>
      <w:pPr>
        <w:pStyle w:val="ListParagraph"/>
        <w:numPr>
          <w:ilvl w:val="0"/>
          <w:numId w:val="2"/>
        </w:numPr>
        <w:spacing w:after="60"/>
      </w:pPr>
      <w:r>
        <w:rPr>
          <w:rFonts w:ascii="Times New Roman" w:cs="Times New Roman" w:eastAsia="Times New Roman" w:hAnsi="Times New Roman"/>
          <w:b/>
          <w:bCs/>
        </w:rPr>
        <w:t xml:space="preserve">minimisation</w:t>
      </w:r>
      <w:r>
        <w:rPr>
          <w:rFonts w:ascii="Times New Roman" w:cs="Times New Roman" w:eastAsia="Times New Roman" w:hAnsi="Times New Roman"/>
        </w:rPr>
        <w:t xml:space="preserve"> : aucune pièce d’identité, aucune photographie et aucune donnée de santé ne sont collectées.</w:t>
      </w:r>
    </w:p>
    <w:p>
      <w:pPr>
        <w:pStyle w:val="Heading2"/>
      </w:pPr>
      <w:bookmarkStart w:name="_h69" w:id="169"/>
      <w:r>
        <w:t xml:space="preserve">16.2. Mineurs et consentement parental obligatoire</w:t>
      </w:r>
      <w:bookmarkEnd w:id="169"/>
    </w:p>
    <w:p>
      <w:pPr>
        <w:spacing w:after="120"/>
        <w:jc w:val="both"/>
      </w:pPr>
      <w:r>
        <w:rPr>
          <w:rFonts w:ascii="Times New Roman" w:cs="Times New Roman" w:eastAsia="Times New Roman" w:hAnsi="Times New Roman"/>
        </w:rPr>
        <w:t xml:space="preserve">Est considéré comme mineur tout candidat âgé de moins de 18 ans à la date de début du concours, conformément à la loi n° 2019-572 du 26 juin 2019 relative à la minorité.</w:t>
      </w:r>
    </w:p>
    <w:p>
      <w:pPr>
        <w:pStyle w:val="ListParagraph"/>
        <w:numPr>
          <w:ilvl w:val="0"/>
          <w:numId w:val="2"/>
        </w:numPr>
        <w:spacing w:after="60"/>
      </w:pPr>
      <w:r>
        <w:rPr>
          <w:rFonts w:ascii="Times New Roman" w:cs="Times New Roman" w:eastAsia="Times New Roman" w:hAnsi="Times New Roman"/>
        </w:rPr>
        <w:t xml:space="preserve">le prestataire fournit au client un </w:t>
      </w:r>
      <w:r>
        <w:rPr>
          <w:rFonts w:ascii="Times New Roman" w:cs="Times New Roman" w:eastAsia="Times New Roman" w:hAnsi="Times New Roman"/>
          <w:b/>
          <w:bCs/>
        </w:rPr>
        <w:t xml:space="preserve">modèle de formulaire</w:t>
      </w:r>
      <w:r>
        <w:rPr>
          <w:rFonts w:ascii="Times New Roman" w:cs="Times New Roman" w:eastAsia="Times New Roman" w:hAnsi="Times New Roman"/>
        </w:rPr>
        <w:t xml:space="preserve"> versionné comportant : l’identité du représentant légal et son lien avec le candidat ; les finalités, données, destinataires et durées ; trois consentements distincts et non précochés — (1) participation et traitement des données, (2) publication du nom dans les classements, (3) captation et diffusion de l’image ou de la voix ; les droits et la manière de les exercer ; la date et la signature ;</w:t>
      </w:r>
    </w:p>
    <w:p>
      <w:pPr>
        <w:pStyle w:val="ListParagraph"/>
        <w:numPr>
          <w:ilvl w:val="0"/>
          <w:numId w:val="2"/>
        </w:numPr>
        <w:spacing w:after="60"/>
      </w:pPr>
      <w:r>
        <w:rPr>
          <w:rFonts w:ascii="Times New Roman" w:cs="Times New Roman" w:eastAsia="Times New Roman" w:hAnsi="Times New Roman"/>
        </w:rPr>
        <w:t xml:space="preserve">le client collecte les formulaires signés et les transmet au prestataire ; l’opérateur enregistre dans l’application les consentements accordés et le document numérisé, stocké chiffré ;</w:t>
      </w:r>
    </w:p>
    <w:p>
      <w:pPr>
        <w:pStyle w:val="ListParagraph"/>
        <w:numPr>
          <w:ilvl w:val="0"/>
          <w:numId w:val="2"/>
        </w:numPr>
        <w:spacing w:after="60"/>
      </w:pPr>
      <w:r>
        <w:rPr>
          <w:rFonts w:ascii="Times New Roman" w:cs="Times New Roman" w:eastAsia="Times New Roman" w:hAnsi="Times New Roman"/>
        </w:rPr>
        <w:t xml:space="preserve">tant que le consentement (1) n’est pas enregistré, aucun tirage ne peut être déclenché pour le candidat (RM-28) ;</w:t>
      </w:r>
    </w:p>
    <w:p>
      <w:pPr>
        <w:pStyle w:val="ListParagraph"/>
        <w:numPr>
          <w:ilvl w:val="0"/>
          <w:numId w:val="2"/>
        </w:numPr>
        <w:spacing w:after="60"/>
      </w:pPr>
      <w:r>
        <w:rPr>
          <w:rFonts w:ascii="Times New Roman" w:cs="Times New Roman" w:eastAsia="Times New Roman" w:hAnsi="Times New Roman"/>
        </w:rPr>
        <w:t xml:space="preserve">sans le consentement (2), le candidat n’apparaît dans les classements publics que sous son numéro ; avec ce consentement, l’affichage public est limité au prénom et à l’initiale du nom ;</w:t>
      </w:r>
    </w:p>
    <w:p>
      <w:pPr>
        <w:pStyle w:val="ListParagraph"/>
        <w:numPr>
          <w:ilvl w:val="0"/>
          <w:numId w:val="2"/>
        </w:numPr>
        <w:spacing w:after="60"/>
      </w:pPr>
      <w:r>
        <w:rPr>
          <w:rFonts w:ascii="Times New Roman" w:cs="Times New Roman" w:eastAsia="Times New Roman" w:hAnsi="Times New Roman"/>
        </w:rPr>
        <w:t xml:space="preserve">le retrait d’un consentement est possible à tout moment et prend effet pour l’avenir.</w:t>
      </w:r>
    </w:p>
    <w:p>
      <w:pPr>
        <w:pStyle w:val="Heading2"/>
      </w:pPr>
      <w:bookmarkStart w:name="_h70" w:id="170"/>
      <w:r>
        <w:t xml:space="preserve">16.3. Durées de conservation par le prestataire</w:t>
      </w:r>
      <w:bookmarkEnd w:id="170"/>
    </w:p>
    <w:p>
      <w:pPr>
        <w:spacing w:after="120"/>
        <w:jc w:val="both"/>
      </w:pPr>
      <w:r>
        <w:rPr>
          <w:rFonts w:ascii="Times New Roman" w:cs="Times New Roman" w:eastAsia="Times New Roman" w:hAnsi="Times New Roman"/>
        </w:rPr>
        <w:t xml:space="preserve">Sauf instruction contraire écrite du client, les durées suivantes s’appliquent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gridCol w:w="2072"/>
      </w:tblGrid>
      <w:tr>
        <w:trPr>
          <w:cantSplit/>
          <w:tblHeader/>
        </w:trPr>
        <w:tc>
          <w:tcPr>
            <w:tcW w:type="dxa" w:w="3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Catégorie de données</w:t>
            </w:r>
          </w:p>
        </w:tc>
        <w:tc>
          <w:tcPr>
            <w:tcW w:type="dxa" w:w="3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Durée de conservation</w:t>
            </w:r>
          </w:p>
        </w:tc>
        <w:tc>
          <w:tcPr>
            <w:tcW w:type="dxa" w:w="207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Sort à l’échéance</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Coordonnées des candidats et des représentants légaux</w:t>
            </w:r>
          </w:p>
        </w:tc>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3 mois après la remise des résultats</w:t>
            </w:r>
          </w:p>
        </w:tc>
        <w:tc>
          <w:tcPr>
            <w:tcW w:type="dxa" w:w="20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Suppression</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Identité, participations, notes détaillées</w:t>
            </w:r>
          </w:p>
        </w:tc>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12 mois après la remise des résultats (traitement des contestations et préparation de l’édition suivante)</w:t>
            </w:r>
          </w:p>
        </w:tc>
        <w:tc>
          <w:tcPr>
            <w:tcW w:type="dxa" w:w="20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Anonymisation</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Procès-verbal et classements validés</w:t>
            </w:r>
          </w:p>
        </w:tc>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Remis au client ; copie conservée 3 ans</w:t>
            </w:r>
          </w:p>
        </w:tc>
        <w:tc>
          <w:tcPr>
            <w:tcW w:type="dxa" w:w="20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Suppression</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Formulaires de consentement</w:t>
            </w:r>
          </w:p>
        </w:tc>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Restitués au client à la fin de la mission ; copie conservée tant que les données concernées le sont</w:t>
            </w:r>
          </w:p>
        </w:tc>
        <w:tc>
          <w:tcPr>
            <w:tcW w:type="dxa" w:w="20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Suppression</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Journal d’audit</w:t>
            </w:r>
          </w:p>
        </w:tc>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3 ans</w:t>
            </w:r>
          </w:p>
        </w:tc>
        <w:tc>
          <w:tcPr>
            <w:tcW w:type="dxa" w:w="20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Suppression</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Sauvegardes</w:t>
            </w:r>
          </w:p>
        </w:tc>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30 jours après la clôture de la mission</w:t>
            </w:r>
          </w:p>
        </w:tc>
        <w:tc>
          <w:tcPr>
            <w:tcW w:type="dxa" w:w="20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Suppression</w:t>
            </w:r>
          </w:p>
        </w:tc>
      </w:tr>
    </w:tbl>
    <w:p>
      <w:pPr>
        <w:spacing w:after="120"/>
      </w:pPr>
    </w:p>
    <w:p>
      <w:pPr>
        <w:pStyle w:val="Heading2"/>
      </w:pPr>
      <w:bookmarkStart w:name="_h71" w:id="171"/>
      <w:r>
        <w:t xml:space="preserve">16.4. Droits des personnes concernées</w:t>
      </w:r>
      <w:bookmarkEnd w:id="171"/>
    </w:p>
    <w:p>
      <w:pPr>
        <w:pStyle w:val="ListParagraph"/>
        <w:numPr>
          <w:ilvl w:val="0"/>
          <w:numId w:val="2"/>
        </w:numPr>
        <w:spacing w:after="60"/>
      </w:pPr>
      <w:r>
        <w:rPr>
          <w:rFonts w:ascii="Times New Roman" w:cs="Times New Roman" w:eastAsia="Times New Roman" w:hAnsi="Times New Roman"/>
        </w:rPr>
        <w:t xml:space="preserve">les droits d’accès, de rectification, d’opposition et de suppression s’exercent auprès du client, responsable de traitement ;</w:t>
      </w:r>
    </w:p>
    <w:p>
      <w:pPr>
        <w:pStyle w:val="ListParagraph"/>
        <w:numPr>
          <w:ilvl w:val="0"/>
          <w:numId w:val="2"/>
        </w:numPr>
        <w:spacing w:after="60"/>
      </w:pPr>
      <w:r>
        <w:rPr>
          <w:rFonts w:ascii="Times New Roman" w:cs="Times New Roman" w:eastAsia="Times New Roman" w:hAnsi="Times New Roman"/>
        </w:rPr>
        <w:t xml:space="preserve">le prestataire assiste le client dans un délai de 15 jours : export de la fiche d’un candidat, rectification, anonymisation ou suppression ;</w:t>
      </w:r>
    </w:p>
    <w:p>
      <w:pPr>
        <w:pStyle w:val="ListParagraph"/>
        <w:numPr>
          <w:ilvl w:val="0"/>
          <w:numId w:val="2"/>
        </w:numPr>
        <w:spacing w:after="60"/>
      </w:pPr>
      <w:r>
        <w:rPr>
          <w:rFonts w:ascii="Times New Roman" w:cs="Times New Roman" w:eastAsia="Times New Roman" w:hAnsi="Times New Roman"/>
        </w:rPr>
        <w:t xml:space="preserve">pour un mineur, les droits sont exercés par son représentant légal ;</w:t>
      </w:r>
    </w:p>
    <w:p>
      <w:pPr>
        <w:pStyle w:val="ListParagraph"/>
        <w:numPr>
          <w:ilvl w:val="0"/>
          <w:numId w:val="2"/>
        </w:numPr>
        <w:spacing w:after="60"/>
      </w:pPr>
      <w:r>
        <w:rPr>
          <w:rFonts w:ascii="Times New Roman" w:cs="Times New Roman" w:eastAsia="Times New Roman" w:hAnsi="Times New Roman"/>
        </w:rPr>
        <w:t xml:space="preserve">lorsque des résultats ont été publiés, la suppression prend la forme d’une anonymisation afin de préserver l’intégrité du classement.</w:t>
      </w:r>
    </w:p>
    <w:p>
      <w:pPr>
        <w:pStyle w:val="Heading2"/>
      </w:pPr>
      <w:bookmarkStart w:name="_h72" w:id="172"/>
      <w:r>
        <w:t xml:space="preserve">16.5. Formalités auprès de l’ARTCI</w:t>
      </w:r>
      <w:bookmarkEnd w:id="172"/>
    </w:p>
    <w:p>
      <w:pPr>
        <w:pStyle w:val="ListParagraph"/>
        <w:numPr>
          <w:ilvl w:val="0"/>
          <w:numId w:val="2"/>
        </w:numPr>
        <w:spacing w:after="60"/>
      </w:pPr>
      <w:r>
        <w:rPr>
          <w:rFonts w:ascii="Times New Roman" w:cs="Times New Roman" w:eastAsia="Times New Roman" w:hAnsi="Times New Roman"/>
        </w:rPr>
        <w:t xml:space="preserve">le prestataire accomplit auprès de l’ARTCI les formalités relatives à ses traitements (déclaration et, le cas échéant, demande d’autorisation au titre des données sensibles et des données de mineurs) avant la première mission payante ;</w:t>
      </w:r>
    </w:p>
    <w:p>
      <w:pPr>
        <w:pStyle w:val="ListParagraph"/>
        <w:numPr>
          <w:ilvl w:val="0"/>
          <w:numId w:val="2"/>
        </w:numPr>
        <w:spacing w:after="60"/>
      </w:pPr>
      <w:r>
        <w:rPr>
          <w:rFonts w:ascii="Times New Roman" w:cs="Times New Roman" w:eastAsia="Times New Roman" w:hAnsi="Times New Roman"/>
        </w:rPr>
        <w:t xml:space="preserve">le prestataire remet à chaque client un dossier type facilitant ses propres formalités de responsable de traitement ;</w:t>
      </w:r>
    </w:p>
    <w:p>
      <w:pPr>
        <w:pStyle w:val="ListParagraph"/>
        <w:numPr>
          <w:ilvl w:val="0"/>
          <w:numId w:val="2"/>
        </w:numPr>
        <w:spacing w:after="60"/>
      </w:pPr>
      <w:r>
        <w:rPr>
          <w:rFonts w:ascii="Times New Roman" w:cs="Times New Roman" w:eastAsia="Times New Roman" w:hAnsi="Times New Roman"/>
        </w:rPr>
        <w:t xml:space="preserve">si l’instance centrale (V2) est hébergée hors de Côte d’Ivoire, l’autorisation de transfert requise est sollicitée au préalable ; un hébergement en Côte d’Ivoire est à privilégier ;</w:t>
      </w:r>
    </w:p>
    <w:p>
      <w:pPr>
        <w:pStyle w:val="ListParagraph"/>
        <w:numPr>
          <w:ilvl w:val="0"/>
          <w:numId w:val="2"/>
        </w:numPr>
        <w:spacing w:after="60"/>
      </w:pPr>
      <w:r>
        <w:rPr>
          <w:rFonts w:ascii="Times New Roman" w:cs="Times New Roman" w:eastAsia="Times New Roman" w:hAnsi="Times New Roman"/>
        </w:rPr>
        <w:t xml:space="preserve">toute violation de données est notifiée sans délai au client concerné et, selon les exigences applicables, à l’ARTCI.</w:t>
      </w:r>
    </w:p>
    <w:p>
      <w:pPr>
        <w:pStyle w:val="Heading2"/>
      </w:pPr>
      <w:bookmarkStart w:name="_h73" w:id="173"/>
      <w:r>
        <w:t xml:space="preserve">16.6. Registre des traitements</w:t>
      </w:r>
      <w:bookmarkEnd w:id="173"/>
    </w:p>
    <w:p>
      <w:pPr>
        <w:spacing w:after="120"/>
        <w:jc w:val="both"/>
      </w:pPr>
      <w:r>
        <w:rPr>
          <w:rFonts w:ascii="Times New Roman" w:cs="Times New Roman" w:eastAsia="Times New Roman" w:hAnsi="Times New Roman"/>
        </w:rPr>
        <w:t xml:space="preserve">Le prestataire tient un registre de ses traitements et des traitements effectués pour le compte de ses clients (catégories de traitements, clients, mesures de sécurité, transferts éventuels). Il est mis à jour à chaque nouvelle mission.</w:t>
      </w:r>
    </w:p>
    <w:p>
      <w:pPr>
        <w:pStyle w:val="Heading1"/>
      </w:pPr>
      <w:bookmarkStart w:name="_h74" w:id="174"/>
      <w:r>
        <w:t xml:space="preserve">17. Restitution et portabilité des données *</w:t>
      </w:r>
      <w:bookmarkEnd w:id="174"/>
    </w:p>
    <w:p>
      <w:pPr>
        <w:pStyle w:val="Heading2"/>
      </w:pPr>
      <w:bookmarkStart w:name="_h75" w:id="175"/>
      <w:r>
        <w:t xml:space="preserve">17.1. Restitution à la fin de chaque mission</w:t>
      </w:r>
      <w:bookmarkEnd w:id="175"/>
    </w:p>
    <w:p>
      <w:pPr>
        <w:pStyle w:val="ListParagraph"/>
        <w:numPr>
          <w:ilvl w:val="0"/>
          <w:numId w:val="2"/>
        </w:numPr>
        <w:spacing w:after="60"/>
      </w:pPr>
      <w:r>
        <w:rPr>
          <w:rFonts w:ascii="Times New Roman" w:cs="Times New Roman" w:eastAsia="Times New Roman" w:hAnsi="Times New Roman"/>
        </w:rPr>
        <w:t xml:space="preserve">remise au client, au plus tard 7 jours après le concours, du procès-verbal signé, des classements (PDF et tableur) et d’un export des données du concours au format CSV (V1) ou CSV et JSON (V2) ;</w:t>
      </w:r>
    </w:p>
    <w:p>
      <w:pPr>
        <w:pStyle w:val="ListParagraph"/>
        <w:numPr>
          <w:ilvl w:val="0"/>
          <w:numId w:val="2"/>
        </w:numPr>
        <w:spacing w:after="60"/>
      </w:pPr>
      <w:r>
        <w:rPr>
          <w:rFonts w:ascii="Times New Roman" w:cs="Times New Roman" w:eastAsia="Times New Roman" w:hAnsi="Times New Roman"/>
        </w:rPr>
        <w:t xml:space="preserve">les exports CSV sont en UTF-8, avec séparateur point-virgule, un fichier par entité et des en-têtes documentés ;</w:t>
      </w:r>
    </w:p>
    <w:p>
      <w:pPr>
        <w:pStyle w:val="ListParagraph"/>
        <w:numPr>
          <w:ilvl w:val="0"/>
          <w:numId w:val="2"/>
        </w:numPr>
        <w:spacing w:after="60"/>
      </w:pPr>
      <w:r>
        <w:rPr>
          <w:rFonts w:ascii="Times New Roman" w:cs="Times New Roman" w:eastAsia="Times New Roman" w:hAnsi="Times New Roman"/>
        </w:rPr>
        <w:t xml:space="preserve">restitution des formulaires de consentement numérisés ;</w:t>
      </w:r>
    </w:p>
    <w:p>
      <w:pPr>
        <w:pStyle w:val="ListParagraph"/>
        <w:numPr>
          <w:ilvl w:val="0"/>
          <w:numId w:val="2"/>
        </w:numPr>
        <w:spacing w:after="60"/>
      </w:pPr>
      <w:r>
        <w:rPr>
          <w:rFonts w:ascii="Times New Roman" w:cs="Times New Roman" w:eastAsia="Times New Roman" w:hAnsi="Times New Roman"/>
        </w:rPr>
        <w:t xml:space="preserve">chaque export est journalisé et ne contient aucune donnée d’un autre client.</w:t>
      </w:r>
    </w:p>
    <w:p>
      <w:pPr>
        <w:pStyle w:val="Heading2"/>
      </w:pPr>
      <w:bookmarkStart w:name="_h76" w:id="176"/>
      <w:r>
        <w:t xml:space="preserve">17.2. Suppression à la demande du client</w:t>
      </w:r>
      <w:bookmarkEnd w:id="176"/>
    </w:p>
    <w:p>
      <w:pPr>
        <w:pStyle w:val="ListParagraph"/>
        <w:numPr>
          <w:ilvl w:val="0"/>
          <w:numId w:val="2"/>
        </w:numPr>
        <w:spacing w:after="60"/>
      </w:pPr>
      <w:r>
        <w:rPr>
          <w:rFonts w:ascii="Times New Roman" w:cs="Times New Roman" w:eastAsia="Times New Roman" w:hAnsi="Times New Roman"/>
        </w:rPr>
        <w:t xml:space="preserve">le client peut demander par écrit la suppression de ses données à tout moment ;</w:t>
      </w:r>
    </w:p>
    <w:p>
      <w:pPr>
        <w:pStyle w:val="ListParagraph"/>
        <w:numPr>
          <w:ilvl w:val="0"/>
          <w:numId w:val="2"/>
        </w:numPr>
        <w:spacing w:after="60"/>
      </w:pPr>
      <w:r>
        <w:rPr>
          <w:rFonts w:ascii="Times New Roman" w:cs="Times New Roman" w:eastAsia="Times New Roman" w:hAnsi="Times New Roman"/>
        </w:rPr>
        <w:t xml:space="preserve">le prestataire procède à la suppression dans un délai de 30 jours, les sauvegardes étant purgées à l’expiration de leur rotation ;</w:t>
      </w:r>
    </w:p>
    <w:p>
      <w:pPr>
        <w:pStyle w:val="ListParagraph"/>
        <w:numPr>
          <w:ilvl w:val="0"/>
          <w:numId w:val="2"/>
        </w:numPr>
        <w:spacing w:after="60"/>
      </w:pPr>
      <w:r>
        <w:rPr>
          <w:rFonts w:ascii="Times New Roman" w:cs="Times New Roman" w:eastAsia="Times New Roman" w:hAnsi="Times New Roman"/>
        </w:rPr>
        <w:t xml:space="preserve">une attestation de suppression est remise au client.</w:t>
      </w:r>
    </w:p>
    <w:p>
      <w:pPr>
        <w:pStyle w:val="Heading2"/>
      </w:pPr>
      <w:bookmarkStart w:name="_h77" w:id="177"/>
      <w:r>
        <w:t xml:space="preserve">17.3. Fin de la relation commerciale</w:t>
      </w:r>
      <w:bookmarkEnd w:id="177"/>
    </w:p>
    <w:p>
      <w:pPr>
        <w:spacing w:after="120"/>
        <w:jc w:val="both"/>
      </w:pPr>
      <w:r>
        <w:rPr>
          <w:rFonts w:ascii="Times New Roman" w:cs="Times New Roman" w:eastAsia="Times New Roman" w:hAnsi="Times New Roman"/>
        </w:rPr>
        <w:t xml:space="preserve">À la fin de la relation, le prestataire remet au client un export complet de l’ensemble de ses concours dans un délai de 15 jours ouvrés, puis supprime les données selon §17.2, sauf instruction contraire écrite. Le corpus coranique, public, n’est pas concerné.</w:t>
      </w:r>
    </w:p>
    <w:p>
      <w:pPr>
        <w:pStyle w:val="Heading1"/>
      </w:pPr>
      <w:bookmarkStart w:name="_h78" w:id="178"/>
      <w:r>
        <w:t xml:space="preserve">18. Exigences non fonctionnelles</w:t>
      </w:r>
      <w:bookmarkEnd w:id="178"/>
    </w:p>
    <w:p>
      <w:pPr>
        <w:pStyle w:val="Heading2"/>
      </w:pPr>
      <w:bookmarkStart w:name="_h79" w:id="179"/>
      <w:r>
        <w:t xml:space="preserve">18.1. Objectifs chiffrés *</w:t>
      </w:r>
      <w:bookmarkEnd w:id="179"/>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2472"/>
      </w:tblGrid>
      <w:tr>
        <w:trPr>
          <w:cantSplit/>
          <w:tblHeader/>
        </w:trPr>
        <w:tc>
          <w:tcPr>
            <w:tcW w:type="dxa" w:w="2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Domaine</w:t>
            </w:r>
          </w:p>
        </w:tc>
        <w:tc>
          <w:tcPr>
            <w:tcW w:type="dxa" w:w="4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Exigence cible</w:t>
            </w:r>
          </w:p>
        </w:tc>
        <w:tc>
          <w:tcPr>
            <w:tcW w:type="dxa" w:w="247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Méthode de mesure</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Capacité d’un serveur de salle</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Un concours de 500 candidats, 30 terminaux connectés simultanément</w:t>
            </w:r>
          </w:p>
        </w:tc>
        <w:tc>
          <w:tcPr>
            <w:tcW w:type="dxa" w:w="24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REC-19</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Temps de réponse (réseau local)</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95 % des requêtes inférieures à 300 ms ; tirage confirmé en moins de 1 s</w:t>
            </w:r>
          </w:p>
        </w:tc>
        <w:tc>
          <w:tcPr>
            <w:tcW w:type="dxa" w:w="24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REC-19</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Temps réel</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Propagation d’une commande à tous les écrans en moins de 300 ms pour 95 % des commandes</w:t>
            </w:r>
          </w:p>
        </w:tc>
        <w:tc>
          <w:tcPr>
            <w:tcW w:type="dxa" w:w="24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REC-20</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Reconnexion d’un écran</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Retour à l’état courant en moins de 2 s après rétablissement du réseau</w:t>
            </w:r>
          </w:p>
        </w:tc>
        <w:tc>
          <w:tcPr>
            <w:tcW w:type="dxa" w:w="24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REC-21, REC-23</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Continuité en salle</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Aucune interruption de plus de 5 minutes imputable au dispositif ; autonomie électrique d’au moins 1 heure</w:t>
            </w:r>
          </w:p>
        </w:tc>
        <w:tc>
          <w:tcPr>
            <w:tcW w:type="dxa" w:w="24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REC-36, REC-41</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Restauration</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Perte maximale de 15 minutes ; reprise sur l’ordinateur de secours en moins de 15 minutes</w:t>
            </w:r>
          </w:p>
        </w:tc>
        <w:tc>
          <w:tcPr>
            <w:tcW w:type="dxa" w:w="24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REC-36</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Installation en salle</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Dispositif opérationnel en moins de 45 minutes à l’arrivée sur site</w:t>
            </w:r>
          </w:p>
        </w:tc>
        <w:tc>
          <w:tcPr>
            <w:tcW w:type="dxa" w:w="24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Répétition générale (REC-40)</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Préparation d’un concours</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Import et paramétrage d’un concours type en moins de 2 heures</w:t>
            </w:r>
          </w:p>
        </w:tc>
        <w:tc>
          <w:tcPr>
            <w:tcW w:type="dxa" w:w="24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Mesure lors du concours pilote</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Documents</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Procès-verbal généré en moins de 30 secondes</w:t>
            </w:r>
          </w:p>
        </w:tc>
        <w:tc>
          <w:tcPr>
            <w:tcW w:type="dxa" w:w="24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REC-42</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Missions simultanées (V2)</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Au moins 3 missions le même jour, avec 3 serveurs de salle</w:t>
            </w:r>
          </w:p>
        </w:tc>
        <w:tc>
          <w:tcPr>
            <w:tcW w:type="dxa" w:w="24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Recette V2</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Disponibilité de l’instance centrale (V2)</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99 % par mois hors maintenance ; aucune maintenance un jour de mission</w:t>
            </w:r>
          </w:p>
        </w:tc>
        <w:tc>
          <w:tcPr>
            <w:tcW w:type="dxa" w:w="24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Sonde externe</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Fiabilité</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Aucun saut involontaire de diapositive</w:t>
            </w:r>
          </w:p>
        </w:tc>
        <w:tc>
          <w:tcPr>
            <w:tcW w:type="dxa" w:w="24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REC-07, REC-24</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Intégrité coranique</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Texte identique octet par octet au corpus validé</w:t>
            </w:r>
          </w:p>
        </w:tc>
        <w:tc>
          <w:tcPr>
            <w:tcW w:type="dxa" w:w="24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REC-30</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Maintenabilité</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Couverture des tests automatisés d’au moins 70 % sur les modules métier et 100 % des règles RM</w:t>
            </w:r>
          </w:p>
        </w:tc>
        <w:tc>
          <w:tcPr>
            <w:tcW w:type="dxa" w:w="24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Rapport de couverture</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Compatibilité</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Tablettes Android 10 ou supérieur (Chrome) ; Chrome, Edge et Firefox récents ; écran scène 1920 × 1080</w:t>
            </w:r>
          </w:p>
        </w:tc>
        <w:tc>
          <w:tcPr>
            <w:tcW w:type="dxa" w:w="24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Recette sur le matériel du kit</w:t>
            </w:r>
          </w:p>
        </w:tc>
      </w:tr>
    </w:tbl>
    <w:p>
      <w:pPr>
        <w:spacing w:after="120"/>
      </w:pPr>
    </w:p>
    <w:p>
      <w:pPr>
        <w:pStyle w:val="Heading2"/>
      </w:pPr>
      <w:bookmarkStart w:name="_h80" w:id="180"/>
      <w:r>
        <w:t xml:space="preserve">18.2. Accessibilité</w:t>
      </w:r>
      <w:bookmarkEnd w:id="180"/>
    </w:p>
    <w:p>
      <w:pPr>
        <w:spacing w:after="120"/>
        <w:jc w:val="both"/>
      </w:pPr>
      <w:r>
        <w:rPr>
          <w:rFonts w:ascii="Times New Roman" w:cs="Times New Roman" w:eastAsia="Times New Roman" w:hAnsi="Times New Roman"/>
        </w:rPr>
        <w:t xml:space="preserve">Le référentiel d’accessibilité retenu est </w:t>
      </w:r>
      <w:r>
        <w:rPr>
          <w:rFonts w:ascii="Times New Roman" w:cs="Times New Roman" w:eastAsia="Times New Roman" w:hAnsi="Times New Roman"/>
          <w:b/>
          <w:bCs/>
        </w:rPr>
        <w:t xml:space="preserve">WCAG 2.1, niveau AA</w:t>
      </w:r>
      <w:r>
        <w:rPr>
          <w:rFonts w:ascii="Times New Roman" w:cs="Times New Roman" w:eastAsia="Times New Roman" w:hAnsi="Times New Roman"/>
        </w:rPr>
        <w:t xml:space="preserve">, pour toutes les interfaces à l’exception du contenu coranique lui-même, dont la présentation obéit aux règles de §9. Critères mesurables exigés :</w:t>
      </w:r>
    </w:p>
    <w:p>
      <w:pPr>
        <w:pStyle w:val="ListParagraph"/>
        <w:numPr>
          <w:ilvl w:val="0"/>
          <w:numId w:val="2"/>
        </w:numPr>
        <w:spacing w:after="60"/>
      </w:pPr>
      <w:r>
        <w:rPr>
          <w:rFonts w:ascii="Times New Roman" w:cs="Times New Roman" w:eastAsia="Times New Roman" w:hAnsi="Times New Roman"/>
        </w:rPr>
        <w:t xml:space="preserve">contraste d’au moins 4,5:1 pour le texte courant, 3:1 pour le texte de grande taille et les composants d’interface ;</w:t>
      </w:r>
    </w:p>
    <w:p>
      <w:pPr>
        <w:pStyle w:val="ListParagraph"/>
        <w:numPr>
          <w:ilvl w:val="0"/>
          <w:numId w:val="2"/>
        </w:numPr>
        <w:spacing w:after="60"/>
      </w:pPr>
      <w:r>
        <w:rPr>
          <w:rFonts w:ascii="Times New Roman" w:cs="Times New Roman" w:eastAsia="Times New Roman" w:hAnsi="Times New Roman"/>
        </w:rPr>
        <w:t xml:space="preserve">totalité des fonctions utilisables au clavier, focus toujours visible, absence de piège au clavier ;</w:t>
      </w:r>
    </w:p>
    <w:p>
      <w:pPr>
        <w:pStyle w:val="ListParagraph"/>
        <w:numPr>
          <w:ilvl w:val="0"/>
          <w:numId w:val="2"/>
        </w:numPr>
        <w:spacing w:after="60"/>
      </w:pPr>
      <w:r>
        <w:rPr>
          <w:rFonts w:ascii="Times New Roman" w:cs="Times New Roman" w:eastAsia="Times New Roman" w:hAnsi="Times New Roman"/>
        </w:rPr>
        <w:t xml:space="preserve">agrandissement à 200 % sans perte de contenu, et affichage sur 320 pixels CSS de large sans défilement horizontal ;</w:t>
      </w:r>
    </w:p>
    <w:p>
      <w:pPr>
        <w:pStyle w:val="ListParagraph"/>
        <w:numPr>
          <w:ilvl w:val="0"/>
          <w:numId w:val="2"/>
        </w:numPr>
        <w:spacing w:after="60"/>
      </w:pPr>
      <w:r>
        <w:rPr>
          <w:rFonts w:ascii="Times New Roman" w:cs="Times New Roman" w:eastAsia="Times New Roman" w:hAnsi="Times New Roman"/>
        </w:rPr>
        <w:t xml:space="preserve">étiquette associée à chaque champ de formulaire ; messages d’erreur identifiant le champ et la correction attendue ;</w:t>
      </w:r>
    </w:p>
    <w:p>
      <w:pPr>
        <w:pStyle w:val="ListParagraph"/>
        <w:numPr>
          <w:ilvl w:val="0"/>
          <w:numId w:val="2"/>
        </w:numPr>
        <w:spacing w:after="60"/>
      </w:pPr>
      <w:r>
        <w:rPr>
          <w:rFonts w:ascii="Times New Roman" w:cs="Times New Roman" w:eastAsia="Times New Roman" w:hAnsi="Times New Roman"/>
        </w:rPr>
        <w:t xml:space="preserve">attributs de langue (</w:t>
      </w:r>
      <w:r>
        <w:rPr>
          <w:rFonts w:ascii="Courier New" w:cs="Courier New" w:eastAsia="Courier New" w:hAnsi="Courier New"/>
          <w:sz w:val="20"/>
          <w:szCs w:val="20"/>
        </w:rPr>
        <w:t xml:space="preserve">lang="fr"</w:t>
      </w:r>
      <w:r>
        <w:rPr>
          <w:rFonts w:ascii="Times New Roman" w:cs="Times New Roman" w:eastAsia="Times New Roman" w:hAnsi="Times New Roman"/>
        </w:rPr>
        <w:t xml:space="preserve"> pour l’interface, </w:t>
      </w:r>
      <w:r>
        <w:rPr>
          <w:rFonts w:ascii="Courier New" w:cs="Courier New" w:eastAsia="Courier New" w:hAnsi="Courier New"/>
          <w:sz w:val="20"/>
          <w:szCs w:val="20"/>
        </w:rPr>
        <w:t xml:space="preserve">lang="ar" dir="rtl"</w:t>
      </w:r>
      <w:r>
        <w:rPr>
          <w:rFonts w:ascii="Times New Roman" w:cs="Times New Roman" w:eastAsia="Times New Roman" w:hAnsi="Times New Roman"/>
        </w:rPr>
        <w:t xml:space="preserve"> pour le texte coranique) ;</w:t>
      </w:r>
    </w:p>
    <w:p>
      <w:pPr>
        <w:pStyle w:val="ListParagraph"/>
        <w:numPr>
          <w:ilvl w:val="0"/>
          <w:numId w:val="2"/>
        </w:numPr>
        <w:spacing w:after="60"/>
      </w:pPr>
      <w:r>
        <w:rPr>
          <w:rFonts w:ascii="Times New Roman" w:cs="Times New Roman" w:eastAsia="Times New Roman" w:hAnsi="Times New Roman"/>
        </w:rPr>
        <w:t xml:space="preserve">annonce des changements d’état importants (tirage enregistré, verset courant) aux technologies d’assistance sur les écrans jury et commande ;</w:t>
      </w:r>
    </w:p>
    <w:p>
      <w:pPr>
        <w:pStyle w:val="ListParagraph"/>
        <w:numPr>
          <w:ilvl w:val="0"/>
          <w:numId w:val="2"/>
        </w:numPr>
        <w:spacing w:after="60"/>
      </w:pPr>
      <w:r>
        <w:rPr>
          <w:rFonts w:ascii="Times New Roman" w:cs="Times New Roman" w:eastAsia="Times New Roman" w:hAnsi="Times New Roman"/>
        </w:rPr>
        <w:t xml:space="preserve">respect de la préférence « réduction des animations » sur les écrans individuels (fondu à la place du balayage), l’écran scène conservant le balayage de RM-12 ;</w:t>
      </w:r>
    </w:p>
    <w:p>
      <w:pPr>
        <w:pStyle w:val="ListParagraph"/>
        <w:numPr>
          <w:ilvl w:val="0"/>
          <w:numId w:val="2"/>
        </w:numPr>
        <w:spacing w:after="60"/>
      </w:pPr>
      <w:r>
        <w:rPr>
          <w:rFonts w:ascii="Times New Roman" w:cs="Times New Roman" w:eastAsia="Times New Roman" w:hAnsi="Times New Roman"/>
        </w:rPr>
        <w:t xml:space="preserve">absence de contenu clignotant plus de trois fois par seconde ;</w:t>
      </w:r>
    </w:p>
    <w:p>
      <w:pPr>
        <w:pStyle w:val="ListParagraph"/>
        <w:numPr>
          <w:ilvl w:val="0"/>
          <w:numId w:val="2"/>
        </w:numPr>
        <w:spacing w:after="60"/>
      </w:pPr>
      <w:r>
        <w:rPr>
          <w:rFonts w:ascii="Times New Roman" w:cs="Times New Roman" w:eastAsia="Times New Roman" w:hAnsi="Times New Roman"/>
        </w:rPr>
        <w:t xml:space="preserve">exigence propre au projet : cibles tactiles d’au moins 44 × 44 pixels pour le bouton de tirage et les commandes du diaporama ;</w:t>
      </w:r>
    </w:p>
    <w:p>
      <w:pPr>
        <w:pStyle w:val="ListParagraph"/>
        <w:numPr>
          <w:ilvl w:val="0"/>
          <w:numId w:val="2"/>
        </w:numPr>
        <w:spacing w:after="60"/>
      </w:pPr>
      <w:r>
        <w:rPr>
          <w:rFonts w:ascii="Times New Roman" w:cs="Times New Roman" w:eastAsia="Times New Roman" w:hAnsi="Times New Roman"/>
        </w:rPr>
        <w:t xml:space="preserve">mesure : zéro violation « critique » ou « sérieuse » à l’audit automatisé (axe-core) sur les parcours clés, et vérification manuelle des écrans temps réel sur les tablettes utilisées en salle.</w:t>
      </w:r>
    </w:p>
    <w:p>
      <w:pPr>
        <w:pStyle w:val="Heading1"/>
      </w:pPr>
      <w:bookmarkStart w:name="_h81" w:id="181"/>
      <w:r>
        <w:t xml:space="preserve">19. Règles métier détaillées</w:t>
      </w:r>
      <w:bookmarkEnd w:id="181"/>
    </w:p>
    <w:p>
      <w:pPr>
        <w:spacing w:after="120"/>
        <w:jc w:val="both"/>
      </w:pPr>
      <w:r>
        <w:rPr>
          <w:rFonts w:ascii="Times New Roman" w:cs="Times New Roman" w:eastAsia="Times New Roman" w:hAnsi="Times New Roman"/>
        </w:rPr>
        <w:t xml:space="preserve">Cette section formalise les règles qui devront être respectées par le logiciel. La règle RM-31 est ajoutée par la présente version ; les règles RM-02 à RM-05, RM-11, RM-18 et RM-26 sont adaptées au modèle d’exploitation.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300"/>
        <w:gridCol w:w="7772"/>
      </w:tblGrid>
      <w:tr>
        <w:trPr>
          <w:cantSplit/>
          <w:tblHeader/>
        </w:trPr>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Référence</w:t>
            </w:r>
          </w:p>
        </w:tc>
        <w:tc>
          <w:tcPr>
            <w:tcW w:type="dxa" w:w="777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Règle métier</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RM-01</w:t>
            </w:r>
          </w:p>
        </w:tc>
        <w:tc>
          <w:tcPr>
            <w:tcW w:type="dxa" w:w="7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Chaque concours est rattaché à une organisation cliente.</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RM-02</w:t>
            </w:r>
          </w:p>
        </w:tc>
        <w:tc>
          <w:tcPr>
            <w:tcW w:type="dxa" w:w="7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L’opérateur enregistre le nombre de candidats attendu ou autorisé, selon les indications du client.</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RM-03</w:t>
            </w:r>
          </w:p>
        </w:tc>
        <w:tc>
          <w:tcPr>
            <w:tcW w:type="dxa" w:w="7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L’opérateur définit, pour chaque épreuve, le nombre de tirages par candidat (T) et le nombre de questions par série (P) ; le nombre de questions par candidat est calculé (Q = T × P).</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RM-04</w:t>
            </w:r>
          </w:p>
        </w:tc>
        <w:tc>
          <w:tcPr>
            <w:tcW w:type="dxa" w:w="7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L’opérateur enregistre les jurés désignés par le client et leurs affectations.</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RM-05</w:t>
            </w:r>
          </w:p>
        </w:tc>
        <w:tc>
          <w:tcPr>
            <w:tcW w:type="dxa" w:w="7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Les candidats sont inscrits par un opérateur à partir des informations transmises par le client.</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RM-06</w:t>
            </w:r>
          </w:p>
        </w:tc>
        <w:tc>
          <w:tcPr>
            <w:tcW w:type="dxa" w:w="7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Le candidat déclenche son tirage au sort par une action explicite sur l’écran de tirage.</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RM-07</w:t>
            </w:r>
          </w:p>
        </w:tc>
        <w:tc>
          <w:tcPr>
            <w:tcW w:type="dxa" w:w="7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Le tirage est effectué côté serveur et enregistré avant sa confirmation.</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RM-08</w:t>
            </w:r>
          </w:p>
        </w:tc>
        <w:tc>
          <w:tcPr>
            <w:tcW w:type="dxa" w:w="7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Le passage coranique est défini par une référence de début et une référence de fin.</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RM-09</w:t>
            </w:r>
          </w:p>
        </w:tc>
        <w:tc>
          <w:tcPr>
            <w:tcW w:type="dxa" w:w="7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Le texte affiché provient du corpus coranique validé.</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RM-10</w:t>
            </w:r>
          </w:p>
        </w:tc>
        <w:tc>
          <w:tcPr>
            <w:tcW w:type="dxa" w:w="7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Les versets sont présentés une diapositive à la fois.</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RM-11</w:t>
            </w:r>
          </w:p>
        </w:tc>
        <w:tc>
          <w:tcPr>
            <w:tcW w:type="dxa" w:w="7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L’avancement à la diapositive suivante est commandé manuellement par l’opérateur.</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RM-12</w:t>
            </w:r>
          </w:p>
        </w:tc>
        <w:tc>
          <w:tcPr>
            <w:tcW w:type="dxa" w:w="7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L’animation de transition s’effectue de droite vers la gauche.</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RM-13</w:t>
            </w:r>
          </w:p>
        </w:tc>
        <w:tc>
          <w:tcPr>
            <w:tcW w:type="dxa" w:w="7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Les écrans autorisés sont synchronisés sur la même diapositive courante.</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RM-14</w:t>
            </w:r>
          </w:p>
        </w:tc>
        <w:tc>
          <w:tcPr>
            <w:tcW w:type="dxa" w:w="7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Le candidat ne dispose ni des commandes de présentation, ni des fonctions de notation, ni du texte des versets.</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RM-15</w:t>
            </w:r>
          </w:p>
        </w:tc>
        <w:tc>
          <w:tcPr>
            <w:tcW w:type="dxa" w:w="7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Chaque juré saisit et valide ses propres notes.</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RM-16</w:t>
            </w:r>
          </w:p>
        </w:tc>
        <w:tc>
          <w:tcPr>
            <w:tcW w:type="dxa" w:w="7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Les notes manquantes sont distinguées des notes égales à zéro.</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RM-17</w:t>
            </w:r>
          </w:p>
        </w:tc>
        <w:tc>
          <w:tcPr>
            <w:tcW w:type="dxa" w:w="7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Le calcul des résultats applique uniquement le barème et les règles validés.</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RM-18</w:t>
            </w:r>
          </w:p>
        </w:tc>
        <w:tc>
          <w:tcPr>
            <w:tcW w:type="dxa" w:w="7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Le classement définitif est validé par le responsable client avant toute remise ou publication ; l’opérateur ne peut pas le valider.</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RM-19</w:t>
            </w:r>
          </w:p>
        </w:tc>
        <w:tc>
          <w:tcPr>
            <w:tcW w:type="dxa" w:w="7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Toute correction sensible est conservée dans l’historique.</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RM-20</w:t>
            </w:r>
          </w:p>
        </w:tc>
        <w:tc>
          <w:tcPr>
            <w:tcW w:type="dxa" w:w="7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Les données de deux clients restent isolées.</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RM-21</w:t>
            </w:r>
          </w:p>
        </w:tc>
        <w:tc>
          <w:tcPr>
            <w:tcW w:type="dxa" w:w="7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Réutilisation des séries tirées : réattribution à un autre candidat (défaut : non), au même candidat dans une autre épreuve (défaut : non), exclusion définitive déduite (défaut : oui) ; jamais deux fois la même série pour un candidat dans une épreuve (cf. §8.5).</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RM-22</w:t>
            </w:r>
          </w:p>
        </w:tc>
        <w:tc>
          <w:tcPr>
            <w:tcW w:type="dxa" w:w="7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Toutes les séries d’un lot contiennent exactement P questions.</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RM-23</w:t>
            </w:r>
          </w:p>
        </w:tc>
        <w:tc>
          <w:tcPr>
            <w:tcW w:type="dxa" w:w="7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Une série est composée de questions rattachées à la version du corpus du concours.</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RM-24</w:t>
            </w:r>
          </w:p>
        </w:tc>
        <w:tc>
          <w:tcPr>
            <w:tcW w:type="dxa" w:w="7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L’ouverture d’une épreuve est bloquée si le lot est insuffisant au regard de N, T et RM-21 (cf. §8.2).</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RM-25</w:t>
            </w:r>
          </w:p>
        </w:tc>
        <w:tc>
          <w:tcPr>
            <w:tcW w:type="dxa" w:w="7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Un tirage annulé conserve sa trace ; sa série n’est réintégrée au lot que si aucune de ses diapositives n’a été affichée.</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RM-26</w:t>
            </w:r>
          </w:p>
        </w:tc>
        <w:tc>
          <w:tcPr>
            <w:tcW w:type="dxa" w:w="7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Lorsque la double validation est activée (V2), le classement définitif requiert la validation du responsable client et la contre-validation du superviseur.</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RM-27</w:t>
            </w:r>
          </w:p>
        </w:tc>
        <w:tc>
          <w:tcPr>
            <w:tcW w:type="dxa" w:w="7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Chaque concours est rattaché à une version unique et immuable du corpus, figée à son ouverture.</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RM-28</w:t>
            </w:r>
          </w:p>
        </w:tc>
        <w:tc>
          <w:tcPr>
            <w:tcW w:type="dxa" w:w="7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Aucun tirage ne peut être déclenché pour un candidat mineur sans consentement parental enregistré.</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RM-29</w:t>
            </w:r>
          </w:p>
        </w:tc>
        <w:tc>
          <w:tcPr>
            <w:tcW w:type="dxa" w:w="7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Pendant qu’un concours est conduit sur un serveur de salle, il est verrouillé en écriture sur l’instance centrale (V2).</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RM-30</w:t>
            </w:r>
          </w:p>
        </w:tc>
        <w:tc>
          <w:tcPr>
            <w:tcW w:type="dxa" w:w="7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Toute commande d’affichage porte un identifiant unique et la version d’état attendue ; une commande obsolète ou déjà traitée est rejetée.</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RM-31</w:t>
            </w:r>
          </w:p>
        </w:tc>
        <w:tc>
          <w:tcPr>
            <w:tcW w:type="dxa" w:w="7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Un concours ne peut être ouvert qu’après validation de sa configuration (catégories, épreuves, barèmes, lots, règles de réutilisation) par le responsable client.</w:t>
            </w:r>
          </w:p>
        </w:tc>
      </w:tr>
    </w:tbl>
    <w:p>
      <w:pPr>
        <w:spacing w:after="120"/>
      </w:pPr>
    </w:p>
    <w:p>
      <w:pPr>
        <w:pStyle w:val="Heading1"/>
      </w:pPr>
      <w:bookmarkStart w:name="_h82" w:id="182"/>
      <w:r>
        <w:t xml:space="preserve">20. Scénarios d’utilisation à couvrir</w:t>
      </w:r>
      <w:bookmarkEnd w:id="182"/>
    </w:p>
    <w:p>
      <w:pPr>
        <w:pStyle w:val="Heading2"/>
      </w:pPr>
      <w:bookmarkStart w:name="_h83" w:id="183"/>
      <w:r>
        <w:t xml:space="preserve">Scénario A — Préparer une mission</w:t>
      </w:r>
      <w:bookmarkEnd w:id="183"/>
    </w:p>
    <w:p>
      <w:pPr>
        <w:pStyle w:val="ListParagraph"/>
        <w:numPr>
          <w:ilvl w:val="0"/>
          <w:numId w:val="9"/>
        </w:numPr>
        <w:spacing w:after="60"/>
      </w:pPr>
      <w:r>
        <w:rPr>
          <w:rFonts w:ascii="Times New Roman" w:cs="Times New Roman" w:eastAsia="Times New Roman" w:hAnsi="Times New Roman"/>
        </w:rPr>
        <w:t xml:space="preserve">L’administrateur QURANOVA crée le client (ou le sélectionne) et la mission, et y affecte un opérateur.</w:t>
      </w:r>
    </w:p>
    <w:p>
      <w:pPr>
        <w:pStyle w:val="ListParagraph"/>
        <w:numPr>
          <w:ilvl w:val="0"/>
          <w:numId w:val="9"/>
        </w:numPr>
        <w:spacing w:after="60"/>
      </w:pPr>
      <w:r>
        <w:rPr>
          <w:rFonts w:ascii="Times New Roman" w:cs="Times New Roman" w:eastAsia="Times New Roman" w:hAnsi="Times New Roman"/>
        </w:rPr>
        <w:t xml:space="preserve">L’opérateur crée le concours, éventuellement par duplication de l’édition précédente.</w:t>
      </w:r>
    </w:p>
    <w:p>
      <w:pPr>
        <w:pStyle w:val="ListParagraph"/>
        <w:numPr>
          <w:ilvl w:val="0"/>
          <w:numId w:val="9"/>
        </w:numPr>
        <w:spacing w:after="60"/>
      </w:pPr>
      <w:r>
        <w:rPr>
          <w:rFonts w:ascii="Times New Roman" w:cs="Times New Roman" w:eastAsia="Times New Roman" w:hAnsi="Times New Roman"/>
        </w:rPr>
        <w:t xml:space="preserve">Il importe la liste des candidats transmise par le client et corrige les erreurs signalées.</w:t>
      </w:r>
    </w:p>
    <w:p>
      <w:pPr>
        <w:pStyle w:val="ListParagraph"/>
        <w:numPr>
          <w:ilvl w:val="0"/>
          <w:numId w:val="9"/>
        </w:numPr>
        <w:spacing w:after="60"/>
      </w:pPr>
      <w:r>
        <w:rPr>
          <w:rFonts w:ascii="Times New Roman" w:cs="Times New Roman" w:eastAsia="Times New Roman" w:hAnsi="Times New Roman"/>
        </w:rPr>
        <w:t xml:space="preserve">Il enregistre les consentements parentaux des mineurs.</w:t>
      </w:r>
    </w:p>
    <w:p>
      <w:pPr>
        <w:pStyle w:val="ListParagraph"/>
        <w:numPr>
          <w:ilvl w:val="0"/>
          <w:numId w:val="9"/>
        </w:numPr>
        <w:spacing w:after="60"/>
      </w:pPr>
      <w:r>
        <w:rPr>
          <w:rFonts w:ascii="Times New Roman" w:cs="Times New Roman" w:eastAsia="Times New Roman" w:hAnsi="Times New Roman"/>
        </w:rPr>
        <w:t xml:space="preserve">Il enregistre les jurés et leurs affectations.</w:t>
      </w:r>
    </w:p>
    <w:p>
      <w:pPr>
        <w:pStyle w:val="ListParagraph"/>
        <w:numPr>
          <w:ilvl w:val="0"/>
          <w:numId w:val="9"/>
        </w:numPr>
        <w:spacing w:after="60"/>
      </w:pPr>
      <w:r>
        <w:rPr>
          <w:rFonts w:ascii="Times New Roman" w:cs="Times New Roman" w:eastAsia="Times New Roman" w:hAnsi="Times New Roman"/>
        </w:rPr>
        <w:t xml:space="preserve">Il configure T et P, définit les passages coraniques et compose les séries des lots ; le système contrôle la suffisance des lots.</w:t>
      </w:r>
    </w:p>
    <w:p>
      <w:pPr>
        <w:pStyle w:val="ListParagraph"/>
        <w:numPr>
          <w:ilvl w:val="0"/>
          <w:numId w:val="9"/>
        </w:numPr>
        <w:spacing w:after="60"/>
      </w:pPr>
      <w:r>
        <w:rPr>
          <w:rFonts w:ascii="Times New Roman" w:cs="Times New Roman" w:eastAsia="Times New Roman" w:hAnsi="Times New Roman"/>
        </w:rPr>
        <w:t xml:space="preserve">Le responsable client valide la configuration.</w:t>
      </w:r>
    </w:p>
    <w:p>
      <w:pPr>
        <w:pStyle w:val="ListParagraph"/>
        <w:numPr>
          <w:ilvl w:val="0"/>
          <w:numId w:val="9"/>
        </w:numPr>
        <w:spacing w:after="60"/>
      </w:pPr>
      <w:r>
        <w:rPr>
          <w:rFonts w:ascii="Times New Roman" w:cs="Times New Roman" w:eastAsia="Times New Roman" w:hAnsi="Times New Roman"/>
        </w:rPr>
        <w:t xml:space="preserve">L’opérateur prépare le serveur de salle, imprime les fiches de secours et ouvre le concours le jour J.</w:t>
      </w:r>
    </w:p>
    <w:p>
      <w:pPr>
        <w:pStyle w:val="Heading2"/>
      </w:pPr>
      <w:bookmarkStart w:name="_h84" w:id="184"/>
      <w:r>
        <w:t xml:space="preserve">Scénario B — Conduire une prestation</w:t>
      </w:r>
      <w:bookmarkEnd w:id="184"/>
    </w:p>
    <w:p>
      <w:pPr>
        <w:pStyle w:val="ListParagraph"/>
        <w:numPr>
          <w:ilvl w:val="0"/>
          <w:numId w:val="10"/>
        </w:numPr>
        <w:spacing w:after="60"/>
      </w:pPr>
      <w:r>
        <w:rPr>
          <w:rFonts w:ascii="Times New Roman" w:cs="Times New Roman" w:eastAsia="Times New Roman" w:hAnsi="Times New Roman"/>
        </w:rPr>
        <w:t xml:space="preserve">L’opérateur appelle le candidat attendu selon l’ordre de passage.</w:t>
      </w:r>
    </w:p>
    <w:p>
      <w:pPr>
        <w:pStyle w:val="ListParagraph"/>
        <w:numPr>
          <w:ilvl w:val="0"/>
          <w:numId w:val="10"/>
        </w:numPr>
        <w:spacing w:after="60"/>
      </w:pPr>
      <w:r>
        <w:rPr>
          <w:rFonts w:ascii="Times New Roman" w:cs="Times New Roman" w:eastAsia="Times New Roman" w:hAnsi="Times New Roman"/>
        </w:rPr>
        <w:t xml:space="preserve">Le candidat se présente devant la tablette de tirage.</w:t>
      </w:r>
    </w:p>
    <w:p>
      <w:pPr>
        <w:pStyle w:val="ListParagraph"/>
        <w:numPr>
          <w:ilvl w:val="0"/>
          <w:numId w:val="10"/>
        </w:numPr>
        <w:spacing w:after="60"/>
      </w:pPr>
      <w:r>
        <w:rPr>
          <w:rFonts w:ascii="Times New Roman" w:cs="Times New Roman" w:eastAsia="Times New Roman" w:hAnsi="Times New Roman"/>
        </w:rPr>
        <w:t xml:space="preserve">Il clique sur le bouton de tirage.</w:t>
      </w:r>
    </w:p>
    <w:p>
      <w:pPr>
        <w:pStyle w:val="ListParagraph"/>
        <w:numPr>
          <w:ilvl w:val="0"/>
          <w:numId w:val="10"/>
        </w:numPr>
        <w:spacing w:after="60"/>
      </w:pPr>
      <w:r>
        <w:rPr>
          <w:rFonts w:ascii="Times New Roman" w:cs="Times New Roman" w:eastAsia="Times New Roman" w:hAnsi="Times New Roman"/>
        </w:rPr>
        <w:t xml:space="preserve">Le serveur sélectionne et enregistre la série.</w:t>
      </w:r>
    </w:p>
    <w:p>
      <w:pPr>
        <w:pStyle w:val="ListParagraph"/>
        <w:numPr>
          <w:ilvl w:val="0"/>
          <w:numId w:val="10"/>
        </w:numPr>
        <w:spacing w:after="60"/>
      </w:pPr>
      <w:r>
        <w:rPr>
          <w:rFonts w:ascii="Times New Roman" w:cs="Times New Roman" w:eastAsia="Times New Roman" w:hAnsi="Times New Roman"/>
        </w:rPr>
        <w:t xml:space="preserve">Les écrans autorisés reçoivent le résultat du tirage.</w:t>
      </w:r>
    </w:p>
    <w:p>
      <w:pPr>
        <w:pStyle w:val="ListParagraph"/>
        <w:numPr>
          <w:ilvl w:val="0"/>
          <w:numId w:val="10"/>
        </w:numPr>
        <w:spacing w:after="60"/>
      </w:pPr>
      <w:r>
        <w:rPr>
          <w:rFonts w:ascii="Times New Roman" w:cs="Times New Roman" w:eastAsia="Times New Roman" w:hAnsi="Times New Roman"/>
        </w:rPr>
        <w:t xml:space="preserve">L’opérateur démarre la prestation.</w:t>
      </w:r>
    </w:p>
    <w:p>
      <w:pPr>
        <w:pStyle w:val="ListParagraph"/>
        <w:numPr>
          <w:ilvl w:val="0"/>
          <w:numId w:val="10"/>
        </w:numPr>
        <w:spacing w:after="60"/>
      </w:pPr>
      <w:r>
        <w:rPr>
          <w:rFonts w:ascii="Times New Roman" w:cs="Times New Roman" w:eastAsia="Times New Roman" w:hAnsi="Times New Roman"/>
        </w:rPr>
        <w:t xml:space="preserve">Les diapositives défilent une à une, au rythme des clics de l’opérateur.</w:t>
      </w:r>
    </w:p>
    <w:p>
      <w:pPr>
        <w:pStyle w:val="ListParagraph"/>
        <w:numPr>
          <w:ilvl w:val="0"/>
          <w:numId w:val="10"/>
        </w:numPr>
        <w:spacing w:after="60"/>
      </w:pPr>
      <w:r>
        <w:rPr>
          <w:rFonts w:ascii="Times New Roman" w:cs="Times New Roman" w:eastAsia="Times New Roman" w:hAnsi="Times New Roman"/>
        </w:rPr>
        <w:t xml:space="preserve">Les jurés saisissent leurs notes sur leur tablette.</w:t>
      </w:r>
    </w:p>
    <w:p>
      <w:pPr>
        <w:pStyle w:val="ListParagraph"/>
        <w:numPr>
          <w:ilvl w:val="0"/>
          <w:numId w:val="10"/>
        </w:numPr>
        <w:spacing w:after="60"/>
      </w:pPr>
      <w:r>
        <w:rPr>
          <w:rFonts w:ascii="Times New Roman" w:cs="Times New Roman" w:eastAsia="Times New Roman" w:hAnsi="Times New Roman"/>
        </w:rPr>
        <w:t xml:space="preserve">L’opérateur termine la prestation.</w:t>
      </w:r>
    </w:p>
    <w:p>
      <w:pPr>
        <w:pStyle w:val="ListParagraph"/>
        <w:numPr>
          <w:ilvl w:val="0"/>
          <w:numId w:val="10"/>
        </w:numPr>
        <w:spacing w:after="60"/>
      </w:pPr>
      <w:r>
        <w:rPr>
          <w:rFonts w:ascii="Times New Roman" w:cs="Times New Roman" w:eastAsia="Times New Roman" w:hAnsi="Times New Roman"/>
        </w:rPr>
        <w:t xml:space="preserve">Les notes sont validées et la prestation est clôturée.</w:t>
      </w:r>
    </w:p>
    <w:p>
      <w:pPr>
        <w:pStyle w:val="Heading2"/>
      </w:pPr>
      <w:bookmarkStart w:name="_h85" w:id="185"/>
      <w:r>
        <w:t xml:space="preserve">Scénario C — Valider et remettre les résultats</w:t>
      </w:r>
      <w:bookmarkEnd w:id="185"/>
    </w:p>
    <w:p>
      <w:pPr>
        <w:pStyle w:val="ListParagraph"/>
        <w:numPr>
          <w:ilvl w:val="0"/>
          <w:numId w:val="11"/>
        </w:numPr>
        <w:spacing w:after="60"/>
      </w:pPr>
      <w:r>
        <w:rPr>
          <w:rFonts w:ascii="Times New Roman" w:cs="Times New Roman" w:eastAsia="Times New Roman" w:hAnsi="Times New Roman"/>
        </w:rPr>
        <w:t xml:space="preserve">Le système vérifie que les évaluations requises sont présentes.</w:t>
      </w:r>
    </w:p>
    <w:p>
      <w:pPr>
        <w:pStyle w:val="ListParagraph"/>
        <w:numPr>
          <w:ilvl w:val="0"/>
          <w:numId w:val="11"/>
        </w:numPr>
        <w:spacing w:after="60"/>
      </w:pPr>
      <w:r>
        <w:rPr>
          <w:rFonts w:ascii="Times New Roman" w:cs="Times New Roman" w:eastAsia="Times New Roman" w:hAnsi="Times New Roman"/>
        </w:rPr>
        <w:t xml:space="preserve">Il calcule les résultats selon le barème applicable.</w:t>
      </w:r>
    </w:p>
    <w:p>
      <w:pPr>
        <w:pStyle w:val="ListParagraph"/>
        <w:numPr>
          <w:ilvl w:val="0"/>
          <w:numId w:val="11"/>
        </w:numPr>
        <w:spacing w:after="60"/>
      </w:pPr>
      <w:r>
        <w:rPr>
          <w:rFonts w:ascii="Times New Roman" w:cs="Times New Roman" w:eastAsia="Times New Roman" w:hAnsi="Times New Roman"/>
        </w:rPr>
        <w:t xml:space="preserve">L’opérateur présente les classements provisoires au responsable client.</w:t>
      </w:r>
    </w:p>
    <w:p>
      <w:pPr>
        <w:pStyle w:val="ListParagraph"/>
        <w:numPr>
          <w:ilvl w:val="0"/>
          <w:numId w:val="11"/>
        </w:numPr>
        <w:spacing w:after="60"/>
      </w:pPr>
      <w:r>
        <w:rPr>
          <w:rFonts w:ascii="Times New Roman" w:cs="Times New Roman" w:eastAsia="Times New Roman" w:hAnsi="Times New Roman"/>
        </w:rPr>
        <w:t xml:space="preserve">Les éventuelles anomalies sont résolues.</w:t>
      </w:r>
    </w:p>
    <w:p>
      <w:pPr>
        <w:pStyle w:val="ListParagraph"/>
        <w:numPr>
          <w:ilvl w:val="0"/>
          <w:numId w:val="11"/>
        </w:numPr>
        <w:spacing w:after="60"/>
      </w:pPr>
      <w:r>
        <w:rPr>
          <w:rFonts w:ascii="Times New Roman" w:cs="Times New Roman" w:eastAsia="Times New Roman" w:hAnsi="Times New Roman"/>
        </w:rPr>
        <w:t xml:space="preserve">Le responsable client valide les résultats ; le superviseur les contre-valide si la double validation est activée.</w:t>
      </w:r>
    </w:p>
    <w:p>
      <w:pPr>
        <w:pStyle w:val="ListParagraph"/>
        <w:numPr>
          <w:ilvl w:val="0"/>
          <w:numId w:val="11"/>
        </w:numPr>
        <w:spacing w:after="60"/>
      </w:pPr>
      <w:r>
        <w:rPr>
          <w:rFonts w:ascii="Times New Roman" w:cs="Times New Roman" w:eastAsia="Times New Roman" w:hAnsi="Times New Roman"/>
        </w:rPr>
        <w:t xml:space="preserve">Le classement définitif est affiché sur l’écran scène ; le procès-verbal est généré, signé et remis au client.</w:t>
      </w:r>
    </w:p>
    <w:p>
      <w:pPr>
        <w:pStyle w:val="Heading2"/>
      </w:pPr>
      <w:bookmarkStart w:name="_h86" w:id="186"/>
      <w:r>
        <w:t xml:space="preserve">Scénario D — Plusieurs clients</w:t>
      </w:r>
      <w:bookmarkEnd w:id="186"/>
    </w:p>
    <w:p>
      <w:pPr>
        <w:pStyle w:val="ListParagraph"/>
        <w:numPr>
          <w:ilvl w:val="0"/>
          <w:numId w:val="12"/>
        </w:numPr>
        <w:spacing w:after="60"/>
      </w:pPr>
      <w:r>
        <w:rPr>
          <w:rFonts w:ascii="Times New Roman" w:cs="Times New Roman" w:eastAsia="Times New Roman" w:hAnsi="Times New Roman"/>
        </w:rPr>
        <w:t xml:space="preserve">Le prestataire réalise des missions pour deux clients différents.</w:t>
      </w:r>
    </w:p>
    <w:p>
      <w:pPr>
        <w:pStyle w:val="ListParagraph"/>
        <w:numPr>
          <w:ilvl w:val="0"/>
          <w:numId w:val="12"/>
        </w:numPr>
        <w:spacing w:after="60"/>
      </w:pPr>
      <w:r>
        <w:rPr>
          <w:rFonts w:ascii="Times New Roman" w:cs="Times New Roman" w:eastAsia="Times New Roman" w:hAnsi="Times New Roman"/>
        </w:rPr>
        <w:t xml:space="preserve">Chaque concours possède ses propres candidats, jurés, séries, sessions et résultats.</w:t>
      </w:r>
    </w:p>
    <w:p>
      <w:pPr>
        <w:pStyle w:val="ListParagraph"/>
        <w:numPr>
          <w:ilvl w:val="0"/>
          <w:numId w:val="12"/>
        </w:numPr>
        <w:spacing w:after="60"/>
      </w:pPr>
      <w:r>
        <w:rPr>
          <w:rFonts w:ascii="Times New Roman" w:cs="Times New Roman" w:eastAsia="Times New Roman" w:hAnsi="Times New Roman"/>
        </w:rPr>
        <w:t xml:space="preserve">Un opérateur affecté à la mission du client A ne voit pas les données du client B.</w:t>
      </w:r>
    </w:p>
    <w:p>
      <w:pPr>
        <w:pStyle w:val="ListParagraph"/>
        <w:numPr>
          <w:ilvl w:val="0"/>
          <w:numId w:val="12"/>
        </w:numPr>
        <w:spacing w:after="60"/>
      </w:pPr>
      <w:r>
        <w:rPr>
          <w:rFonts w:ascii="Times New Roman" w:cs="Times New Roman" w:eastAsia="Times New Roman" w:hAnsi="Times New Roman"/>
        </w:rPr>
        <w:t xml:space="preserve">L’administrateur QURANOVA conserve une vue générale de toutes les missions.</w:t>
      </w:r>
    </w:p>
    <w:p>
      <w:pPr>
        <w:pStyle w:val="Heading2"/>
      </w:pPr>
      <w:bookmarkStart w:name="_h87" w:id="187"/>
      <w:r>
        <w:t xml:space="preserve">Scénario E — Panne du serveur de salle</w:t>
      </w:r>
      <w:bookmarkEnd w:id="187"/>
    </w:p>
    <w:p>
      <w:pPr>
        <w:pStyle w:val="ListParagraph"/>
        <w:numPr>
          <w:ilvl w:val="0"/>
          <w:numId w:val="13"/>
        </w:numPr>
        <w:spacing w:after="60"/>
      </w:pPr>
      <w:r>
        <w:rPr>
          <w:rFonts w:ascii="Times New Roman" w:cs="Times New Roman" w:eastAsia="Times New Roman" w:hAnsi="Times New Roman"/>
        </w:rPr>
        <w:t xml:space="preserve">Le serveur de salle tombe en panne pendant une session.</w:t>
      </w:r>
    </w:p>
    <w:p>
      <w:pPr>
        <w:pStyle w:val="ListParagraph"/>
        <w:numPr>
          <w:ilvl w:val="0"/>
          <w:numId w:val="13"/>
        </w:numPr>
        <w:spacing w:after="60"/>
      </w:pPr>
      <w:r>
        <w:rPr>
          <w:rFonts w:ascii="Times New Roman" w:cs="Times New Roman" w:eastAsia="Times New Roman" w:hAnsi="Times New Roman"/>
        </w:rPr>
        <w:t xml:space="preserve">L’opérateur démarre l’ordinateur de secours et y restaure la dernière sauvegarde du disque externe.</w:t>
      </w:r>
    </w:p>
    <w:p>
      <w:pPr>
        <w:pStyle w:val="ListParagraph"/>
        <w:numPr>
          <w:ilvl w:val="0"/>
          <w:numId w:val="13"/>
        </w:numPr>
        <w:spacing w:after="60"/>
      </w:pPr>
      <w:r>
        <w:rPr>
          <w:rFonts w:ascii="Times New Roman" w:cs="Times New Roman" w:eastAsia="Times New Roman" w:hAnsi="Times New Roman"/>
        </w:rPr>
        <w:t xml:space="preserve">Les écrans se reconnectent à l’ordinateur de secours, qui reprend la même adresse sur le réseau local.</w:t>
      </w:r>
    </w:p>
    <w:p>
      <w:pPr>
        <w:pStyle w:val="ListParagraph"/>
        <w:numPr>
          <w:ilvl w:val="0"/>
          <w:numId w:val="13"/>
        </w:numPr>
        <w:spacing w:after="60"/>
      </w:pPr>
      <w:r>
        <w:rPr>
          <w:rFonts w:ascii="Times New Roman" w:cs="Times New Roman" w:eastAsia="Times New Roman" w:hAnsi="Times New Roman"/>
        </w:rPr>
        <w:t xml:space="preserve">La session reprend à la dernière prestation clôturée ; une prestation interrompue est reprise à partir de son tirage enregistré, ou rejouée avec motif si le tirage est postérieur à la sauvegarde.</w:t>
      </w:r>
    </w:p>
    <w:p>
      <w:pPr>
        <w:pStyle w:val="ListParagraph"/>
        <w:numPr>
          <w:ilvl w:val="0"/>
          <w:numId w:val="13"/>
        </w:numPr>
        <w:spacing w:after="60"/>
      </w:pPr>
      <w:r>
        <w:rPr>
          <w:rFonts w:ascii="Times New Roman" w:cs="Times New Roman" w:eastAsia="Times New Roman" w:hAnsi="Times New Roman"/>
        </w:rPr>
        <w:t xml:space="preserve">L’incident est consigné dans le procès-verbal.</w:t>
      </w:r>
    </w:p>
    <w:p>
      <w:pPr>
        <w:pStyle w:val="Heading1"/>
      </w:pPr>
      <w:bookmarkStart w:name="_h88" w:id="188"/>
      <w:r>
        <w:t xml:space="preserve">21. Critères de recette et d’acceptation *</w:t>
      </w:r>
      <w:bookmarkEnd w:id="188"/>
    </w:p>
    <w:p>
      <w:pPr>
        <w:spacing w:after="120"/>
        <w:jc w:val="both"/>
      </w:pPr>
      <w:r>
        <w:rPr>
          <w:rFonts w:ascii="Times New Roman" w:cs="Times New Roman" w:eastAsia="Times New Roman" w:hAnsi="Times New Roman"/>
        </w:rPr>
        <w:t xml:space="preserve">Le prestataire étant à la fois réalisateur et utilisateur, la recette est une </w:t>
      </w:r>
      <w:r>
        <w:rPr>
          <w:rFonts w:ascii="Times New Roman" w:cs="Times New Roman" w:eastAsia="Times New Roman" w:hAnsi="Times New Roman"/>
          <w:b/>
          <w:bCs/>
        </w:rPr>
        <w:t xml:space="preserve">autorecette</w:t>
      </w:r>
      <w:r>
        <w:rPr>
          <w:rFonts w:ascii="Times New Roman" w:cs="Times New Roman" w:eastAsia="Times New Roman" w:hAnsi="Times New Roman"/>
        </w:rPr>
        <w:t xml:space="preserve"> formalisée, complétée par une répétition générale et un concours pilote. Elle est conduite sur le matériel réel du kit de salle. La V1 est déclarée apte à la première mission payante lorsque tous les tests ci-dessous sont conformes, qu’aucune anomalie bloquante ne subsiste et que le concours pilote s’est déroulé sans incident bloquant.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4172"/>
      </w:tblGrid>
      <w:tr>
        <w:trPr>
          <w:cantSplit/>
          <w:tblHeader/>
        </w:trPr>
        <w:tc>
          <w:tcPr>
            <w:tcW w:type="dxa" w:w="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ID</w:t>
            </w:r>
          </w:p>
        </w:tc>
        <w:tc>
          <w:tcPr>
            <w:tcW w:type="dxa" w:w="4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Test</w:t>
            </w:r>
          </w:p>
        </w:tc>
        <w:tc>
          <w:tcPr>
            <w:tcW w:type="dxa" w:w="417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Résultat attendu</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REC-01</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Créer deux clients</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Les deux clients sont enregistrés indépendamment.</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REC-02</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Créer un concours, par saisie puis par duplication</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Les paramètres obligatoires sont enregistrés et contrôlés ; la duplication reprend catégories, épreuves, barèmes et séries.</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REC-03</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Définir le nombre de candidats, de tirages par candidat, de questions par série et de jurés</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Les paramètres sont appliqués ; Q = T × P est calculé.</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REC-04</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Définir un passage coranique 2:142 à 2:150</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Le système reconnaît les 9 versets dans le bon ordre.</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REC-05</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Saisir une référence invalide</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Le système refuse la référence et explique l’erreur.</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REC-06</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Déclencher un tirage</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Un seul tirage valide est enregistré.</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REC-07</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Cliquer deux fois rapidement sur le bouton de tirage</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Aucun double tirage n’est créé.</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REC-08</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Passer à la diapositive suivante</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La diapositive suivante apparaît avec le balayage de droite vers la gauche.</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REC-09</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Ne pas cliquer sur « Diapositive suivante »</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La diapositive courante reste affichée.</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REC-10</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Connecter tous les écrans du kit</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Les écrans restent synchronisés.</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REC-11</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Saisir une note de juré</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La note est enregistrée pour le bon juré, la bonne prestation et le bon tirage.</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REC-12</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Omettre une note</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Le système signale une évaluation incomplète sans la convertir en zéro.</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REC-13</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Calculer un classement</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Les résultats correspondent au barème, vérifiés par un calcul manuel indépendant.</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REC-14</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Tenter un accès non autorisé (juré vers commande, tirage vers notation)</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L’accès est refusé côté serveur.</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REC-15</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Déconnecter puis reconnecter un écran</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L’écran retrouve l’état de présentation courant.</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REC-16</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Générer les documents de résultats</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Seuls les résultats validés par le responsable client figurent dans le procès-verbal définitif.</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REC-17</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Corriger une note validée</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La correction suit la procédure et laisse une trace.</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REC-18</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Restaurer une sauvegarde</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Les données récupérées sont cohérentes et exploitables.</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REC-19</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Simulation de charge en salle : 500 candidats, 30 terminaux, une journée de concours accélérée</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Objectifs de §18.1 atteints ; aucune erreur serveur.</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REC-20</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Mesurer la propagation des commandes</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95 % des commandes affichées sur tous les écrans en moins de 300 ms.</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REC-21</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Couper le Wi-Fi 30 secondes pendant une prestation</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Tous les écrans retrouvent l’état courant en moins de 2 s après rétablissement ; aucune commande perdue ni dupliquée.</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REC-23</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Redémarrer l’écran scène et une tablette de juré à la 5e diapositive</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Les écrans affichent la 5e diapositive en moins de 2 s, sans relance du tirage ni perte du brouillon de notes.</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REC-24</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Envoyer deux commandes « Diapositive suivante » simultanées</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Une seule commande est appliquée.</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REC-25</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IDOR : modifier les identifiants dans les URL et les messages WebSocket</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Refus systématique ; aucune donnée divulguée.</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REC-26</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XSS : saisir des charges de script dans les noms et observations, y compris par import</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Contenu échappé ; aucune exécution.</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REC-27</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CSRF : soumettre une requête forgée</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Requête rejetée.</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REC-28</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Injection SQL sur les champs, filtres et fichiers importés</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Aucun effet ; aucune vulnérabilité critique ou élevée à l’analyse automatisée.</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REC-29</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Un opérateur affecté au client A tente d’accéder aux données du client B</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Accès refusé.</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REC-30</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Contrôler l’intégrité du corpus</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114 sourates, 6 236 versets, empreinte conforme, export identique octet par octet.</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REC-31</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Saisir des versets invalides : 2:287, 115:1, 0:1, 1:0, fin antérieure au début</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Chaque référence est refusée avec un message explicite.</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REC-32</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Traversée de sourates : 1:6 à 2:5 et 113:5 à 114:6</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Respectivement 7 versets et 7 versets, dans l’ordre canonique, basmala de la sourate 2 non numérotée.</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REC-33</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Afficher le verset 2:282 avec une grande taille de texte</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Le verset est segmenté entre deux mots ; la concaténation des segments est identique au corpus.</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REC-34</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Accessibilité des parcours clés</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Critères de §18.2 respectés.</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REC-35</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Réutilisation des séries en configuration par défaut</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Une série tirée n’est plus proposée ; lot épuisé : tirage bloqué avec message.</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REC-36</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Simuler la panne du serveur de salle en cours de session</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Reprise sur l’ordinateur de secours en moins de 15 minutes, conformément au scénario E.</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REC-37</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Importer un fichier de candidats comportant des doublons, des champs manquants et des dates invalides</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Rapport d’erreurs ligne par ligne ; aucune donnée invalide enregistrée.</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REC-38</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Tirage pour un candidat mineur sans consentement enregistré</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Tirage refusé avec message explicite.</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REC-39</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Tentative de validation du classement par un opérateur</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Validation refusée ; seul le responsable client peut valider.</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REC-40</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Répétition générale : concours fictif de 20 candidats avec de vrais jurés, installation complète du kit</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Déroulement complet sans anomalie bloquante ; installation en moins de 45 minutes.</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REC-41</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Débrancher l’alimentation secteur pendant une prestation</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Aucune interruption grâce à l’onduleur et aux batteries.</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REC-42</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Générer le procès-verbal d’un concours de 500 candidats</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Document conforme généré en moins de 30 secondes.</w:t>
            </w:r>
          </w:p>
        </w:tc>
      </w:tr>
    </w:tbl>
    <w:p>
      <w:pPr>
        <w:spacing w:after="120"/>
      </w:pPr>
    </w:p>
    <w:p>
      <w:pPr>
        <w:spacing w:after="120"/>
        <w:jc w:val="both"/>
      </w:pPr>
      <w:r>
        <w:rPr>
          <w:rFonts w:ascii="Times New Roman" w:cs="Times New Roman" w:eastAsia="Times New Roman" w:hAnsi="Times New Roman"/>
        </w:rPr>
        <w:t xml:space="preserve">Le test REC-22 (repli SSE et long-polling) est reporté à la recette de la V2, ce mécanisme ne concernant que l’instance centrale.</w:t>
      </w:r>
    </w:p>
    <w:p>
      <w:pPr>
        <w:spacing w:after="120"/>
        <w:jc w:val="both"/>
      </w:pPr>
      <w:r>
        <w:rPr>
          <w:rFonts w:ascii="Times New Roman" w:cs="Times New Roman" w:eastAsia="Times New Roman" w:hAnsi="Times New Roman"/>
        </w:rPr>
        <w:t xml:space="preserve">Les anomalies sont classées en trois niveaux : </w:t>
      </w:r>
      <w:r>
        <w:rPr>
          <w:rFonts w:ascii="Times New Roman" w:cs="Times New Roman" w:eastAsia="Times New Roman" w:hAnsi="Times New Roman"/>
          <w:b/>
          <w:bCs/>
        </w:rPr>
        <w:t xml:space="preserve">bloquante</w:t>
      </w:r>
      <w:r>
        <w:rPr>
          <w:rFonts w:ascii="Times New Roman" w:cs="Times New Roman" w:eastAsia="Times New Roman" w:hAnsi="Times New Roman"/>
        </w:rPr>
        <w:t xml:space="preserve"> (fonction essentielle indisponible, atteinte à l’intégrité du texte, des tirages ou des notes, faille de sécurité critique ou élevée, fuite entre clients), </w:t>
      </w:r>
      <w:r>
        <w:rPr>
          <w:rFonts w:ascii="Times New Roman" w:cs="Times New Roman" w:eastAsia="Times New Roman" w:hAnsi="Times New Roman"/>
          <w:b/>
          <w:bCs/>
        </w:rPr>
        <w:t xml:space="preserve">majeure</w:t>
      </w:r>
      <w:r>
        <w:rPr>
          <w:rFonts w:ascii="Times New Roman" w:cs="Times New Roman" w:eastAsia="Times New Roman" w:hAnsi="Times New Roman"/>
        </w:rPr>
        <w:t xml:space="preserve"> (fonction dégradée sans contournement raisonnable) et </w:t>
      </w:r>
      <w:r>
        <w:rPr>
          <w:rFonts w:ascii="Times New Roman" w:cs="Times New Roman" w:eastAsia="Times New Roman" w:hAnsi="Times New Roman"/>
          <w:b/>
          <w:bCs/>
        </w:rPr>
        <w:t xml:space="preserve">mineure</w:t>
      </w:r>
      <w:r>
        <w:rPr>
          <w:rFonts w:ascii="Times New Roman" w:cs="Times New Roman" w:eastAsia="Times New Roman" w:hAnsi="Times New Roman"/>
        </w:rPr>
        <w:t xml:space="preserve">. Le résultat de l’autorecette est consigné dans un procès-verbal daté, conservé avec le code source.</w:t>
      </w:r>
    </w:p>
    <w:p>
      <w:pPr>
        <w:pStyle w:val="Heading1"/>
      </w:pPr>
      <w:bookmarkStart w:name="_h89" w:id="189"/>
      <w:r>
        <w:t xml:space="preserve">22. Exploitation des missions *</w:t>
      </w:r>
      <w:bookmarkEnd w:id="189"/>
    </w:p>
    <w:p>
      <w:pPr>
        <w:pStyle w:val="Heading2"/>
      </w:pPr>
      <w:bookmarkStart w:name="_h90" w:id="190"/>
      <w:r>
        <w:t xml:space="preserve">22.1. Déroulé type d’une mission</w:t>
      </w:r>
      <w:bookmarkEnd w:id="190"/>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4372"/>
        <w:gridCol w:w="1800"/>
      </w:tblGrid>
      <w:tr>
        <w:trPr>
          <w:cantSplit/>
          <w:tblHeader/>
        </w:trPr>
        <w:tc>
          <w:tcPr>
            <w:tcW w:type="dxa" w:w="1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Étape</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Échéance</w:t>
            </w:r>
          </w:p>
        </w:tc>
        <w:tc>
          <w:tcPr>
            <w:tcW w:type="dxa" w:w="437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Actions</w:t>
            </w:r>
          </w:p>
        </w:tc>
        <w:tc>
          <w:tcPr>
            <w:tcW w:type="dxa" w:w="1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Résultat</w:t>
            </w:r>
          </w:p>
        </w:tc>
      </w:tr>
      <w:tr>
        <w:trPr>
          <w:cantSplit/>
          <w:tblHeader w:val="false"/>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Devis et contrat</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J-45 à J-30</w:t>
            </w:r>
          </w:p>
        </w:tc>
        <w:tc>
          <w:tcPr>
            <w:tcW w:type="dxa" w:w="43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Recueil du besoin (nombre de candidats, catégories, lieu, format) ; choix de la formule ; contrat de mission comportant la clause de protection des données.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Contrat signé, acompte</w:t>
            </w:r>
          </w:p>
        </w:tc>
      </w:tr>
      <w:tr>
        <w:trPr>
          <w:cantSplit/>
          <w:tblHeader w:val="false"/>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Collecte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J-30 à J-10</w:t>
            </w:r>
          </w:p>
        </w:tc>
        <w:tc>
          <w:tcPr>
            <w:tcW w:type="dxa" w:w="43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Réception du règlement, du barème, de la liste des candidats (modèle CSV fourni), des formulaires de consentement et de la liste des jurés.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Données complètes</w:t>
            </w:r>
          </w:p>
        </w:tc>
      </w:tr>
      <w:tr>
        <w:trPr>
          <w:cantSplit/>
          <w:tblHeader w:val="false"/>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Paramétrage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J-10 à J-5</w:t>
            </w:r>
          </w:p>
        </w:tc>
        <w:tc>
          <w:tcPr>
            <w:tcW w:type="dxa" w:w="43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Import, configuration, constitution des séries ; contrôle de suffisance des lots ; validation par le responsable client (RM-31).</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Configuration validée</w:t>
            </w:r>
          </w:p>
        </w:tc>
      </w:tr>
      <w:tr>
        <w:trPr>
          <w:cantSplit/>
          <w:tblHeader w:val="false"/>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Formation des jurés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J-3 à J-1</w:t>
            </w:r>
          </w:p>
        </w:tc>
        <w:tc>
          <w:tcPr>
            <w:tcW w:type="dxa" w:w="43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Prise en main des tablettes de notation (30 minutes).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Jurés prêts</w:t>
            </w:r>
          </w:p>
        </w:tc>
      </w:tr>
      <w:tr>
        <w:trPr>
          <w:cantSplit/>
          <w:tblHeader w:val="false"/>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Préparation du kit</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J-1</w:t>
            </w:r>
          </w:p>
        </w:tc>
        <w:tc>
          <w:tcPr>
            <w:tcW w:type="dxa" w:w="43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Sauvegarde vérifiée, batteries chargées, mot de passe Wi-Fi changé, codes des jurés générés, fiches de secours imprimées, test complet du kit.</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Liste de contrôle J-1 signée</w:t>
            </w:r>
          </w:p>
        </w:tc>
      </w:tr>
      <w:tr>
        <w:trPr>
          <w:cantSplit/>
          <w:tblHeader w:val="false"/>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Jour J</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J</w:t>
            </w:r>
          </w:p>
        </w:tc>
        <w:tc>
          <w:tcPr>
            <w:tcW w:type="dxa" w:w="43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Installation (45 minutes au plus), test de synchronisation de tous les écrans, conduite des sessions, sauvegardes automatiques.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Concours conduit</w:t>
            </w:r>
          </w:p>
        </w:tc>
      </w:tr>
      <w:tr>
        <w:trPr>
          <w:cantSplit/>
          <w:tblHeader w:val="false"/>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Clôture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J à J+7</w:t>
            </w:r>
          </w:p>
        </w:tc>
        <w:tc>
          <w:tcPr>
            <w:tcW w:type="dxa" w:w="43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Validation des résultats par le responsable client, procès-verbal signé, remise des documents et de l’export, facture de solde, bilan de mission.</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Mission clôturée</w:t>
            </w:r>
          </w:p>
        </w:tc>
      </w:tr>
    </w:tbl>
    <w:p>
      <w:pPr>
        <w:spacing w:after="120"/>
      </w:pPr>
    </w:p>
    <w:p>
      <w:pPr>
        <w:pStyle w:val="Heading2"/>
      </w:pPr>
      <w:bookmarkStart w:name="_h91" w:id="191"/>
      <w:r>
        <w:t xml:space="preserve">22.2. Kit matériel de salle</w:t>
      </w:r>
      <w:bookmarkEnd w:id="191"/>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00"/>
        <w:gridCol w:w="1000"/>
        <w:gridCol w:w="3200"/>
        <w:gridCol w:w="2172"/>
      </w:tblGrid>
      <w:tr>
        <w:trPr>
          <w:cantSplit/>
          <w:tblHeader/>
        </w:trPr>
        <w:tc>
          <w:tcPr>
            <w:tcW w:type="dxa" w:w="2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Élément</w:t>
            </w:r>
          </w:p>
        </w:tc>
        <w:tc>
          <w:tcPr>
            <w:tcW w:type="dxa" w:w="1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Quantité</w:t>
            </w:r>
          </w:p>
        </w:tc>
        <w:tc>
          <w:tcPr>
            <w:tcW w:type="dxa" w:w="3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Rôle</w:t>
            </w:r>
          </w:p>
        </w:tc>
        <w:tc>
          <w:tcPr>
            <w:tcW w:type="dxa" w:w="217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Coût indicatif (FCFA)</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Ordinateur portable</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1</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Serveur de salle et poste de commande ; sortie HDMI vers l’écran scène</w:t>
            </w:r>
          </w:p>
        </w:tc>
        <w:tc>
          <w:tcPr>
            <w:tcW w:type="dxa" w:w="2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Existant</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Ordinateur de secours</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1</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Reprise en cas de panne (image Docker préinstallée)</w:t>
            </w:r>
          </w:p>
        </w:tc>
        <w:tc>
          <w:tcPr>
            <w:tcW w:type="dxa" w:w="2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0 – 250 000</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Tablettes Android 10 pouces</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4 à 6</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Tablette de tirage et tablettes des jurés, dont une de rechange</w:t>
            </w:r>
          </w:p>
        </w:tc>
        <w:tc>
          <w:tcPr>
            <w:tcW w:type="dxa" w:w="2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300 000 – 700 000</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Routeurs Wi-Fi</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2</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Réseau dédié et routeur de rechange préconfiguré</w:t>
            </w:r>
          </w:p>
        </w:tc>
        <w:tc>
          <w:tcPr>
            <w:tcW w:type="dxa" w:w="2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60 000 – 120 000</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Onduleur</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1</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Autonomie d’au moins 1 heure pour le serveur et le routeur</w:t>
            </w:r>
          </w:p>
        </w:tc>
        <w:tc>
          <w:tcPr>
            <w:tcW w:type="dxa" w:w="2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60 000 – 120 000</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Disques externes chiffrés</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2</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Sauvegardes automatiques et copie de fin de journée</w:t>
            </w:r>
          </w:p>
        </w:tc>
        <w:tc>
          <w:tcPr>
            <w:tcW w:type="dxa" w:w="2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40 000 – 80 000</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Câbles HDMI longs, adaptateurs, multiprises, rallonges</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Lot</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Raccordement à l’écran ou au vidéoprojecteur du lieu</w:t>
            </w:r>
          </w:p>
        </w:tc>
        <w:tc>
          <w:tcPr>
            <w:tcW w:type="dxa" w:w="2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30 000 – 60 000</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Mallette de transport</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1</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Protection et transport du kit</w:t>
            </w:r>
          </w:p>
        </w:tc>
        <w:tc>
          <w:tcPr>
            <w:tcW w:type="dxa" w:w="2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20 000 – 50 000</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Vidéoprojecteur (option)</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1</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Lorsque le lieu n’en dispose pas ; sinon location</w:t>
            </w:r>
          </w:p>
        </w:tc>
        <w:tc>
          <w:tcPr>
            <w:tcW w:type="dxa" w:w="2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250 000 – 500 000</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Total</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p>
        </w:tc>
        <w:tc>
          <w:tcPr>
            <w:tcW w:type="dxa" w:w="2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0,5 à 1,4 M sans vidéoprojecteur ; 0,8 à 1,9 M avec</w:t>
            </w:r>
          </w:p>
        </w:tc>
      </w:tr>
    </w:tbl>
    <w:p>
      <w:pPr>
        <w:spacing w:after="120"/>
      </w:pPr>
    </w:p>
    <w:p>
      <w:pPr>
        <w:pStyle w:val="Heading2"/>
      </w:pPr>
      <w:bookmarkStart w:name="_h92" w:id="192"/>
      <w:r>
        <w:t xml:space="preserve">22.3. Équipe d’opérateurs</w:t>
      </w:r>
      <w:bookmarkEnd w:id="192"/>
    </w:p>
    <w:p>
      <w:pPr>
        <w:pStyle w:val="ListParagraph"/>
        <w:numPr>
          <w:ilvl w:val="0"/>
          <w:numId w:val="2"/>
        </w:numPr>
        <w:spacing w:after="60"/>
      </w:pPr>
      <w:r>
        <w:rPr>
          <w:rFonts w:ascii="Times New Roman" w:cs="Times New Roman" w:eastAsia="Times New Roman" w:hAnsi="Times New Roman"/>
        </w:rPr>
        <w:t xml:space="preserve">le prestataire est l’opérateur principal et le chef de mission ;</w:t>
      </w:r>
    </w:p>
    <w:p>
      <w:pPr>
        <w:pStyle w:val="ListParagraph"/>
        <w:numPr>
          <w:ilvl w:val="0"/>
          <w:numId w:val="2"/>
        </w:numPr>
        <w:spacing w:after="60"/>
      </w:pPr>
      <w:r>
        <w:rPr>
          <w:rFonts w:ascii="Times New Roman" w:cs="Times New Roman" w:eastAsia="Times New Roman" w:hAnsi="Times New Roman"/>
        </w:rPr>
        <w:t xml:space="preserve">des opérateurs complémentaires (par exemple des étudiants en informatique) sont recrutés et rémunérés par mission, à raison de 15 000 à 30 000 FCFA par journée ;</w:t>
      </w:r>
    </w:p>
    <w:p>
      <w:pPr>
        <w:pStyle w:val="ListParagraph"/>
        <w:numPr>
          <w:ilvl w:val="0"/>
          <w:numId w:val="2"/>
        </w:numPr>
        <w:spacing w:after="60"/>
      </w:pPr>
      <w:r>
        <w:rPr>
          <w:rFonts w:ascii="Times New Roman" w:cs="Times New Roman" w:eastAsia="Times New Roman" w:hAnsi="Times New Roman"/>
        </w:rPr>
        <w:t xml:space="preserve">formation : une journée de formation à QURANOVA et au kit, puis au moins une mission en binôme avant d’opérer seul ;</w:t>
      </w:r>
    </w:p>
    <w:p>
      <w:pPr>
        <w:pStyle w:val="ListParagraph"/>
        <w:numPr>
          <w:ilvl w:val="0"/>
          <w:numId w:val="2"/>
        </w:numPr>
        <w:spacing w:after="60"/>
      </w:pPr>
      <w:r>
        <w:rPr>
          <w:rFonts w:ascii="Times New Roman" w:cs="Times New Roman" w:eastAsia="Times New Roman" w:hAnsi="Times New Roman"/>
        </w:rPr>
        <w:t xml:space="preserve">chaque opérateur dispose d’un compte nominatif à deux facteurs et signe un engagement de confidentialité ;</w:t>
      </w:r>
    </w:p>
    <w:p>
      <w:pPr>
        <w:pStyle w:val="ListParagraph"/>
        <w:numPr>
          <w:ilvl w:val="0"/>
          <w:numId w:val="2"/>
        </w:numPr>
        <w:spacing w:after="60"/>
      </w:pPr>
      <w:r>
        <w:rPr>
          <w:rFonts w:ascii="Times New Roman" w:cs="Times New Roman" w:eastAsia="Times New Roman" w:hAnsi="Times New Roman"/>
        </w:rPr>
        <w:t xml:space="preserve">à partir de la V2, chaque opérateur autonome dispose de son propre kit, ce qui permet de conduire plusieurs missions le même jour.</w:t>
      </w:r>
    </w:p>
    <w:p>
      <w:pPr>
        <w:pStyle w:val="Heading1"/>
      </w:pPr>
      <w:bookmarkStart w:name="_h93" w:id="193"/>
      <w:r>
        <w:t xml:space="preserve">23. Livrables *</w:t>
      </w:r>
      <w:bookmarkEnd w:id="193"/>
    </w:p>
    <w:p>
      <w:pPr>
        <w:spacing w:after="120"/>
        <w:jc w:val="both"/>
      </w:pPr>
      <w:r>
        <w:rPr>
          <w:rFonts w:ascii="Times New Roman" w:cs="Times New Roman" w:eastAsia="Times New Roman" w:hAnsi="Times New Roman"/>
        </w:rPr>
        <w:t xml:space="preserve">Le prestataire étant son propre maître d’ouvrage, les livrables ci-dessous constituent le référentiel interne du projet ; ils conditionnent la capacité à former des opérateurs et à reprendre le code dans la durée.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4472"/>
        <w:gridCol w:w="1800"/>
      </w:tblGrid>
      <w:tr>
        <w:trPr>
          <w:cantSplit/>
          <w:tblHeader/>
        </w:trPr>
        <w:tc>
          <w:tcPr>
            <w:tcW w:type="dxa" w:w="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Réf.</w:t>
            </w:r>
          </w:p>
        </w:tc>
        <w:tc>
          <w:tcPr>
            <w:tcW w:type="dxa" w:w="2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Livrable</w:t>
            </w:r>
          </w:p>
        </w:tc>
        <w:tc>
          <w:tcPr>
            <w:tcW w:type="dxa" w:w="447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Contenu</w:t>
            </w:r>
          </w:p>
        </w:tc>
        <w:tc>
          <w:tcPr>
            <w:tcW w:type="dxa" w:w="1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Échéance</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L-01</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Code source</w:t>
            </w:r>
          </w:p>
        </w:tc>
        <w:tc>
          <w:tcPr>
            <w:tcW w:type="dxa" w:w="44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Dépôt Git avec historique, étiquette par version, README, fichiers Docker, scripts d’installation du serveur de salle, liste et licences des dépendances.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Continu ; version V1 à la fin de la phase 2</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L-02</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Documentation technique</w:t>
            </w:r>
          </w:p>
        </w:tc>
        <w:tc>
          <w:tcPr>
            <w:tcW w:type="dxa" w:w="44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Installation et mise à jour du serveur de salle, sauvegarde et restauration, intégration du corpus, gestion des secrets.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Fin de la phase 3</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L-03</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Guide de l’opérateur</w:t>
            </w:r>
          </w:p>
        </w:tc>
        <w:tc>
          <w:tcPr>
            <w:tcW w:type="dxa" w:w="44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Procédure complète d’une mission (§22.1), listes de contrôle J-1 et jour J, procédures d’incident (§13.6).</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Avant le concours pilote</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L-04</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Fiches mémo</w:t>
            </w:r>
          </w:p>
        </w:tc>
        <w:tc>
          <w:tcPr>
            <w:tcW w:type="dxa" w:w="44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Fiche d’une page pour les jurés et fiche de conduite d’une prestation pour l’opérateur.</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Avant le concours pilote</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L-05</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Modèles destinés aux clients</w:t>
            </w:r>
          </w:p>
        </w:tc>
        <w:tc>
          <w:tcPr>
            <w:tcW w:type="dxa" w:w="44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Modèle d’import des candidats, formulaire de consentement parental, contrat de mission avec clause de protection des données, dossier type ARTCI.</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Avant le concours pilote</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L-06</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Tests</w:t>
            </w:r>
          </w:p>
        </w:tc>
        <w:tc>
          <w:tcPr>
            <w:tcW w:type="dxa" w:w="44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Tests automatisés (unitaires, intégration, bout en bout des écrans temps réel), script de simulation de charge, jeu de données fictives, cahier d’autorecette (REC).</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Fin de la phase 3</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L-07</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Procès-verbal de validation du corpus</w:t>
            </w:r>
          </w:p>
        </w:tc>
        <w:tc>
          <w:tcPr>
            <w:tcW w:type="dxa" w:w="44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Empreintes, contrôles automatiques, validation signée du référent coranique.</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Fin de la phase 0</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L-08</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Procès-verbal d’autorecette</w:t>
            </w:r>
          </w:p>
        </w:tc>
        <w:tc>
          <w:tcPr>
            <w:tcW w:type="dxa" w:w="44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Résultats des tests REC et de la répétition générale.</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Fin de la phase 3</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L-09</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Bilan du concours pilote</w:t>
            </w:r>
          </w:p>
        </w:tc>
        <w:tc>
          <w:tcPr>
            <w:tcW w:type="dxa" w:w="44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Déroulement, incidents, mesures (§18.1), retours du client et des jurés, corrections décidées.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Fin de la phase 4</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L-10</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Supports commerciaux</w:t>
            </w:r>
          </w:p>
        </w:tc>
        <w:tc>
          <w:tcPr>
            <w:tcW w:type="dxa" w:w="44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Plaquette, grille tarifaire, vidéo et photos du concours pilote, références.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Phase 5</w:t>
            </w:r>
          </w:p>
        </w:tc>
      </w:tr>
    </w:tbl>
    <w:p>
      <w:pPr>
        <w:spacing w:after="120"/>
      </w:pPr>
    </w:p>
    <w:p>
      <w:pPr>
        <w:pStyle w:val="Heading1"/>
      </w:pPr>
      <w:bookmarkStart w:name="_h94" w:id="194"/>
      <w:r>
        <w:t xml:space="preserve">24. Planning et phasage *</w:t>
      </w:r>
      <w:bookmarkEnd w:id="194"/>
    </w:p>
    <w:p>
      <w:pPr>
        <w:spacing w:after="120"/>
        <w:jc w:val="both"/>
      </w:pPr>
      <w:r>
        <w:rPr>
          <w:rFonts w:ascii="Times New Roman" w:cs="Times New Roman" w:eastAsia="Times New Roman" w:hAnsi="Times New Roman"/>
        </w:rPr>
        <w:t xml:space="preserve">Le planning repose sur un développeur unique disposant d’environ </w:t>
      </w:r>
      <w:r>
        <w:rPr>
          <w:rFonts w:ascii="Times New Roman" w:cs="Times New Roman" w:eastAsia="Times New Roman" w:hAnsi="Times New Roman"/>
          <w:b/>
          <w:bCs/>
        </w:rPr>
        <w:t xml:space="preserve">15 à 20 heures par semaine</w:t>
      </w:r>
      <w:r>
        <w:rPr>
          <w:rFonts w:ascii="Times New Roman" w:cs="Times New Roman" w:eastAsia="Times New Roman" w:hAnsi="Times New Roman"/>
        </w:rPr>
        <w:t xml:space="preserve">, en parallèle de ses autres activités. Il vise une première mission payante </w:t>
      </w:r>
      <w:r>
        <w:rPr>
          <w:rFonts w:ascii="Times New Roman" w:cs="Times New Roman" w:eastAsia="Times New Roman" w:hAnsi="Times New Roman"/>
          <w:b/>
          <w:bCs/>
        </w:rPr>
        <w:t xml:space="preserve">avant le Ramadan 2027</w:t>
      </w:r>
      <w:r>
        <w:rPr>
          <w:rFonts w:ascii="Times New Roman" w:cs="Times New Roman" w:eastAsia="Times New Roman" w:hAnsi="Times New Roman"/>
        </w:rPr>
        <w:t xml:space="preserve"> (début attendu vers le 8 février 2027, date à confirmer), période de forte demande. Le démarrage est fixé à la semaine du 5 octobre 2026.</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100"/>
        <w:gridCol w:w="1000"/>
        <w:gridCol w:w="1700"/>
        <w:gridCol w:w="3072"/>
        <w:gridCol w:w="1200"/>
      </w:tblGrid>
      <w:tr>
        <w:trPr>
          <w:cantSplit/>
          <w:tblHeader/>
        </w:trPr>
        <w:tc>
          <w:tcPr>
            <w:tcW w:type="dxa" w:w="2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Phase</w:t>
            </w:r>
          </w:p>
        </w:tc>
        <w:tc>
          <w:tcPr>
            <w:tcW w:type="dxa" w:w="1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Semaines</w:t>
            </w:r>
          </w:p>
        </w:tc>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Période indicative</w:t>
            </w:r>
          </w:p>
        </w:tc>
        <w:tc>
          <w:tcPr>
            <w:tcW w:type="dxa" w:w="307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Contenu</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Jalon</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0. Cadrage et corpus</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S1 – S2</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5 – 16 oct. 2026</w:t>
            </w:r>
          </w:p>
        </w:tc>
        <w:tc>
          <w:tcPr>
            <w:tcW w:type="dxa" w:w="30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Environnement de développement, import et contrôles du corpus, désignation du référent coranique.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J0 : corpus validé</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1. Conception</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S3 – S4</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19 – 30 oct. 2026</w:t>
            </w:r>
          </w:p>
        </w:tc>
        <w:tc>
          <w:tcPr>
            <w:tcW w:type="dxa" w:w="30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Modèle de données, maquettes des quatre écrans temps réel, protocole des messages.</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J1 : conception figée</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2. Développement V1 — itération 1</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S5 – S6</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2 – 13 nov. 2026</w:t>
            </w:r>
          </w:p>
        </w:tc>
        <w:tc>
          <w:tcPr>
            <w:tcW w:type="dxa" w:w="30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Clients, concours, catégories, épreuves, import des candidats, jurés.</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2. Développement V1 — itération 2</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S7 – S8</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16 – 27 nov. 2026</w:t>
            </w:r>
          </w:p>
        </w:tc>
        <w:tc>
          <w:tcPr>
            <w:tcW w:type="dxa" w:w="30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Passages coraniques, séries, lots, tirage et écran de tirage.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2. Développement V1 — itération 3</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S9 – S10</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30 nov. – 11 déc. 2026</w:t>
            </w:r>
          </w:p>
        </w:tc>
        <w:tc>
          <w:tcPr>
            <w:tcW w:type="dxa" w:w="30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Diaporama synchronisé, commande, écran scène, reprise d’état.</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J2 : parcours d’une prestation démontré</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2. Développement V1 — itération 4</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S11 – S12</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14 – 25 déc. 2026</w:t>
            </w:r>
          </w:p>
        </w:tc>
        <w:tc>
          <w:tcPr>
            <w:tcW w:type="dxa" w:w="30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Notation, calculs, classements, procès-verbal PDF, sauvegardes, journal d’audit.</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J3 : V1 complète</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3. Autorecette et kit</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S13 – S14</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28 déc. 2026 – 8 janv. 2027</w:t>
            </w:r>
          </w:p>
        </w:tc>
        <w:tc>
          <w:tcPr>
            <w:tcW w:type="dxa" w:w="30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Tests REC, acquisition et configuration du kit, formation d’un premier opérateur, répétition générale.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J4 : V1 apte au pilote</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4. Concours pilote</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S15 – S16</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11 – 22 janv. 2027</w:t>
            </w:r>
          </w:p>
        </w:tc>
        <w:tc>
          <w:tcPr>
            <w:tcW w:type="dxa" w:w="30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Concours réel, gratuit ou à tarif réduit, avec un client partenaire ; mesures et retours.</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J5 : pilote réussi</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5. Corrections et lancement</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S17 – S18</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25 janv. – 5 févr. 2027</w:t>
            </w:r>
          </w:p>
        </w:tc>
        <w:tc>
          <w:tcPr>
            <w:tcW w:type="dxa" w:w="30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Corrections issues du pilote, supports commerciaux, démarchage.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J6 : offre commerciale lancée</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6. V2</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Après la saison</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Mars – juin 2027 (8 à 10 semaines)</w:t>
            </w:r>
          </w:p>
        </w:tc>
        <w:tc>
          <w:tcPr>
            <w:tcW w:type="dxa" w:w="30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Instance centrale, synchronisation, certificats, exports JSON, concours en ligne, missions simultanées, test d’intrusion.</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J7 : V2 en service</w:t>
            </w:r>
          </w:p>
        </w:tc>
      </w:tr>
    </w:tbl>
    <w:p>
      <w:pPr>
        <w:spacing w:after="120"/>
      </w:pPr>
    </w:p>
    <w:p>
      <w:pPr>
        <w:keepNext/>
        <w:spacing w:after="80" w:before="120"/>
      </w:pPr>
      <w:r>
        <w:rPr>
          <w:rFonts w:ascii="Times New Roman" w:cs="Times New Roman" w:eastAsia="Times New Roman" w:hAnsi="Times New Roman"/>
          <w:b/>
          <w:bCs/>
        </w:rPr>
        <w:t xml:space="preserve">Gestion du risque de délai :</w:t>
      </w:r>
    </w:p>
    <w:p>
      <w:pPr>
        <w:pStyle w:val="ListParagraph"/>
        <w:numPr>
          <w:ilvl w:val="0"/>
          <w:numId w:val="2"/>
        </w:numPr>
        <w:spacing w:after="60"/>
      </w:pPr>
      <w:r>
        <w:rPr>
          <w:rFonts w:ascii="Times New Roman" w:cs="Times New Roman" w:eastAsia="Times New Roman" w:hAnsi="Times New Roman"/>
        </w:rPr>
        <w:t xml:space="preserve">le chemin critique est le diaporama synchronisé (itération 3) : il est développé avant les fonctions de confort ;</w:t>
      </w:r>
    </w:p>
    <w:p>
      <w:pPr>
        <w:pStyle w:val="ListParagraph"/>
        <w:numPr>
          <w:ilvl w:val="0"/>
          <w:numId w:val="2"/>
        </w:numPr>
        <w:spacing w:after="60"/>
      </w:pPr>
      <w:r>
        <w:rPr>
          <w:rFonts w:ascii="Times New Roman" w:cs="Times New Roman" w:eastAsia="Times New Roman" w:hAnsi="Times New Roman"/>
        </w:rPr>
        <w:t xml:space="preserve">en cas de retard, les fonctions suivantes sont reportées à la V2 sans compromettre le pilote : duplication de concours, personnalisation visuelle, journal d’audit chaîné (remplacé par un journal simple) ;</w:t>
      </w:r>
    </w:p>
    <w:p>
      <w:pPr>
        <w:pStyle w:val="ListParagraph"/>
        <w:numPr>
          <w:ilvl w:val="0"/>
          <w:numId w:val="2"/>
        </w:numPr>
        <w:spacing w:after="60"/>
      </w:pPr>
      <w:r>
        <w:rPr>
          <w:rFonts w:ascii="Times New Roman" w:cs="Times New Roman" w:eastAsia="Times New Roman" w:hAnsi="Times New Roman"/>
        </w:rPr>
        <w:t xml:space="preserve">le calendrier universitaire (examens, soutenance) est intégré dès la phase 0 et peut décaler le pilote après le Ramadan si nécessaire ;</w:t>
      </w:r>
    </w:p>
    <w:p>
      <w:pPr>
        <w:pStyle w:val="ListParagraph"/>
        <w:numPr>
          <w:ilvl w:val="0"/>
          <w:numId w:val="2"/>
        </w:numPr>
        <w:spacing w:after="60"/>
      </w:pPr>
      <w:r>
        <w:rPr>
          <w:rFonts w:ascii="Times New Roman" w:cs="Times New Roman" w:eastAsia="Times New Roman" w:hAnsi="Times New Roman"/>
        </w:rPr>
        <w:t xml:space="preserve">les fonctions déjà maîtrisées dans d’autres projets (Django, génération de PDF avec WeasyPrint) sont réutilisées.</w:t>
      </w:r>
    </w:p>
    <w:p>
      <w:pPr>
        <w:keepNext/>
        <w:spacing w:after="80" w:before="120"/>
      </w:pPr>
      <w:r>
        <w:rPr>
          <w:rFonts w:ascii="Times New Roman" w:cs="Times New Roman" w:eastAsia="Times New Roman" w:hAnsi="Times New Roman"/>
          <w:b/>
          <w:bCs/>
        </w:rPr>
        <w:t xml:space="preserve">Ressources :</w:t>
      </w:r>
    </w:p>
    <w:p>
      <w:pPr>
        <w:pStyle w:val="ListParagraph"/>
        <w:numPr>
          <w:ilvl w:val="0"/>
          <w:numId w:val="2"/>
        </w:numPr>
        <w:spacing w:after="60"/>
      </w:pPr>
      <w:r>
        <w:rPr>
          <w:rFonts w:ascii="Times New Roman" w:cs="Times New Roman" w:eastAsia="Times New Roman" w:hAnsi="Times New Roman"/>
        </w:rPr>
        <w:t xml:space="preserve">le prestataire : développement, conception, autorecette, conduite du pilote ;</w:t>
      </w:r>
    </w:p>
    <w:p>
      <w:pPr>
        <w:pStyle w:val="ListParagraph"/>
        <w:numPr>
          <w:ilvl w:val="0"/>
          <w:numId w:val="2"/>
        </w:numPr>
        <w:spacing w:after="60"/>
      </w:pPr>
      <w:r>
        <w:rPr>
          <w:rFonts w:ascii="Times New Roman" w:cs="Times New Roman" w:eastAsia="Times New Roman" w:hAnsi="Times New Roman"/>
        </w:rPr>
        <w:t xml:space="preserve">un référent coranique : environ 5 jours (validation du corpus, des traductions et du rendu) ;</w:t>
      </w:r>
    </w:p>
    <w:p>
      <w:pPr>
        <w:pStyle w:val="ListParagraph"/>
        <w:numPr>
          <w:ilvl w:val="0"/>
          <w:numId w:val="2"/>
        </w:numPr>
        <w:spacing w:after="60"/>
      </w:pPr>
      <w:r>
        <w:rPr>
          <w:rFonts w:ascii="Times New Roman" w:cs="Times New Roman" w:eastAsia="Times New Roman" w:hAnsi="Times New Roman"/>
        </w:rPr>
        <w:t xml:space="preserve">un à deux opérateurs à former avant le pilote ;</w:t>
      </w:r>
    </w:p>
    <w:p>
      <w:pPr>
        <w:pStyle w:val="ListParagraph"/>
        <w:numPr>
          <w:ilvl w:val="0"/>
          <w:numId w:val="2"/>
        </w:numPr>
        <w:spacing w:after="60"/>
      </w:pPr>
      <w:r>
        <w:rPr>
          <w:rFonts w:ascii="Times New Roman" w:cs="Times New Roman" w:eastAsia="Times New Roman" w:hAnsi="Times New Roman"/>
        </w:rPr>
        <w:t xml:space="preserve">un client pilote et trois jurés volontaires pour la répétition générale ;</w:t>
      </w:r>
    </w:p>
    <w:p>
      <w:pPr>
        <w:pStyle w:val="ListParagraph"/>
        <w:numPr>
          <w:ilvl w:val="0"/>
          <w:numId w:val="2"/>
        </w:numPr>
        <w:spacing w:after="60"/>
      </w:pPr>
      <w:r>
        <w:rPr>
          <w:rFonts w:ascii="Times New Roman" w:cs="Times New Roman" w:eastAsia="Times New Roman" w:hAnsi="Times New Roman"/>
        </w:rPr>
        <w:t xml:space="preserve">un conseil juridique ponctuel (contrat de mission, formalités ARTCI).</w:t>
      </w:r>
    </w:p>
    <w:p>
      <w:pPr>
        <w:pStyle w:val="Heading1"/>
      </w:pPr>
      <w:bookmarkStart w:name="_h95" w:id="195"/>
      <w:r>
        <w:t xml:space="preserve">25. Modèle économique et budget *</w:t>
      </w:r>
      <w:bookmarkEnd w:id="195"/>
    </w:p>
    <w:p>
      <w:pPr>
        <w:spacing w:after="120"/>
        <w:jc w:val="both"/>
      </w:pPr>
      <w:r>
        <w:rPr>
          <w:rFonts w:ascii="Times New Roman" w:cs="Times New Roman" w:eastAsia="Times New Roman" w:hAnsi="Times New Roman"/>
        </w:rPr>
        <w:t xml:space="preserve">Les montants ci-dessous sont des estimations indicatives en francs CFA, établies en 2026. Ils doivent être confirmés par les devis des fournisseurs et par les premiers retours des clients.</w:t>
      </w:r>
    </w:p>
    <w:p>
      <w:pPr>
        <w:pStyle w:val="Heading2"/>
      </w:pPr>
      <w:bookmarkStart w:name="_h96" w:id="196"/>
      <w:r>
        <w:t xml:space="preserve">25.1. Offre commerciale</w:t>
      </w:r>
      <w:bookmarkEnd w:id="196"/>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00"/>
        <w:gridCol w:w="4972"/>
        <w:gridCol w:w="2300"/>
      </w:tblGrid>
      <w:tr>
        <w:trPr>
          <w:cantSplit/>
          <w:tblHeader/>
        </w:trPr>
        <w:tc>
          <w:tcPr>
            <w:tcW w:type="dxa" w:w="1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Formule</w:t>
            </w:r>
          </w:p>
        </w:tc>
        <w:tc>
          <w:tcPr>
            <w:tcW w:type="dxa" w:w="497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Contenu</w:t>
            </w:r>
          </w:p>
        </w:tc>
        <w:tc>
          <w:tcPr>
            <w:tcW w:type="dxa" w:w="2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Prix indicatif (FCFA)</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Essentiel</w:t>
            </w:r>
          </w:p>
        </w:tc>
        <w:tc>
          <w:tcPr>
            <w:tcW w:type="dxa" w:w="49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QURANOVA, un opérateur, préparation du concours ; écran fourni par le client.</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150 000 – 250 000 par jour</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Standard</w:t>
            </w:r>
          </w:p>
        </w:tc>
        <w:tc>
          <w:tcPr>
            <w:tcW w:type="dxa" w:w="49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Formule Essentiel, avec le kit complet du prestataire (tablettes, réseau, serveur de secours) et la constitution des séries.</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300 000 – 500 000 par jour</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Premium / Finale</w:t>
            </w:r>
          </w:p>
        </w:tc>
        <w:tc>
          <w:tcPr>
            <w:tcW w:type="dxa" w:w="49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Formule Standard, avec vidéoprojecteur, habillage aux couleurs du client et des sponsors, certificats, captation ou diffusion vidéo (en partenariat).</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600 000 – 1 200 000 par jour</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Solidaire</w:t>
            </w:r>
          </w:p>
        </w:tc>
        <w:tc>
          <w:tcPr>
            <w:tcW w:type="dxa" w:w="49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Pour les petites écoles coraniques : tarif par candidat.</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500 – 1 000 par candidat (minimum à fixer)</w:t>
            </w:r>
          </w:p>
        </w:tc>
      </w:tr>
    </w:tbl>
    <w:p>
      <w:pPr>
        <w:spacing w:after="120"/>
      </w:pPr>
    </w:p>
    <w:p>
      <w:pPr>
        <w:spacing w:after="120"/>
        <w:jc w:val="both"/>
      </w:pPr>
      <w:r>
        <w:rPr>
          <w:rFonts w:ascii="Times New Roman" w:cs="Times New Roman" w:eastAsia="Times New Roman" w:hAnsi="Times New Roman"/>
        </w:rPr>
        <w:t xml:space="preserve">Un acompte de 30 à 50 % est demandé à la signature du contrat de mission. Les partenaires (banques proposant la finance islamique, agences de voyage pour le Hajj et la Omra, opérateurs télécoms, commerces) peuvent financer une partie de la formule Premium en échange de visibilité sur l’écran scène.</w:t>
      </w:r>
    </w:p>
    <w:p>
      <w:pPr>
        <w:pStyle w:val="Heading2"/>
      </w:pPr>
      <w:bookmarkStart w:name="_h97" w:id="197"/>
      <w:r>
        <w:t xml:space="preserve">25.2. Investissement initial</w:t>
      </w:r>
      <w:bookmarkEnd w:id="197"/>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5000"/>
        <w:gridCol w:w="4072"/>
      </w:tblGrid>
      <w:tr>
        <w:trPr>
          <w:cantSplit/>
          <w:tblHeader/>
        </w:trPr>
        <w:tc>
          <w:tcPr>
            <w:tcW w:type="dxa" w:w="5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Poste</w:t>
            </w:r>
          </w:p>
        </w:tc>
        <w:tc>
          <w:tcPr>
            <w:tcW w:type="dxa" w:w="407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Montant (FCFA)</w:t>
            </w:r>
          </w:p>
        </w:tc>
      </w:tr>
      <w:tr>
        <w:trPr>
          <w:cantSplit/>
          <w:tblHeader w:val="false"/>
        </w:trPr>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Développement</w:t>
            </w:r>
          </w:p>
        </w:tc>
        <w:tc>
          <w:tcPr>
            <w:tcW w:type="dxa" w:w="40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Aucune dépense : réalisé par le prestataire (temps investi)</w:t>
            </w:r>
          </w:p>
        </w:tc>
      </w:tr>
      <w:tr>
        <w:trPr>
          <w:cantSplit/>
          <w:tblHeader w:val="false"/>
        </w:trPr>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Kit matériel (§22.2)</w:t>
            </w:r>
          </w:p>
        </w:tc>
        <w:tc>
          <w:tcPr>
            <w:tcW w:type="dxa" w:w="40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500 000 – 1 900 000</w:t>
            </w:r>
          </w:p>
        </w:tc>
      </w:tr>
      <w:tr>
        <w:trPr>
          <w:cantSplit/>
          <w:tblHeader w:val="false"/>
        </w:trPr>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Conseil juridique et formalités ARTCI</w:t>
            </w:r>
          </w:p>
        </w:tc>
        <w:tc>
          <w:tcPr>
            <w:tcW w:type="dxa" w:w="40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À confirmer (barème ARTCI et honoraires)</w:t>
            </w:r>
          </w:p>
        </w:tc>
      </w:tr>
      <w:tr>
        <w:trPr>
          <w:cantSplit/>
          <w:tblHeader w:val="false"/>
        </w:trPr>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Nom de domaine, messagerie, divers</w:t>
            </w:r>
          </w:p>
        </w:tc>
        <w:tc>
          <w:tcPr>
            <w:tcW w:type="dxa" w:w="40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20 000 – 50 000 par an</w:t>
            </w:r>
          </w:p>
        </w:tc>
      </w:tr>
      <w:tr>
        <w:trPr>
          <w:cantSplit/>
          <w:tblHeader w:val="false"/>
        </w:trPr>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Total hors juridique</w:t>
            </w:r>
          </w:p>
        </w:tc>
        <w:tc>
          <w:tcPr>
            <w:tcW w:type="dxa" w:w="40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environ 0,5 à 2 M</w:t>
            </w:r>
          </w:p>
        </w:tc>
      </w:tr>
    </w:tbl>
    <w:p>
      <w:pPr>
        <w:spacing w:after="120"/>
      </w:pPr>
    </w:p>
    <w:p>
      <w:pPr>
        <w:pStyle w:val="Heading2"/>
      </w:pPr>
      <w:bookmarkStart w:name="_h98" w:id="198"/>
      <w:r>
        <w:t xml:space="preserve">25.3. Coûts récurrents</w:t>
      </w:r>
      <w:bookmarkEnd w:id="198"/>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5000"/>
        <w:gridCol w:w="4072"/>
      </w:tblGrid>
      <w:tr>
        <w:trPr>
          <w:cantSplit/>
          <w:tblHeader/>
        </w:trPr>
        <w:tc>
          <w:tcPr>
            <w:tcW w:type="dxa" w:w="5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Poste</w:t>
            </w:r>
          </w:p>
        </w:tc>
        <w:tc>
          <w:tcPr>
            <w:tcW w:type="dxa" w:w="407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Montant (FCFA)</w:t>
            </w:r>
          </w:p>
        </w:tc>
      </w:tr>
      <w:tr>
        <w:trPr>
          <w:cantSplit/>
          <w:tblHeader w:val="false"/>
        </w:trPr>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Hébergement de l’instance centrale (V2)</w:t>
            </w:r>
          </w:p>
        </w:tc>
        <w:tc>
          <w:tcPr>
            <w:tcW w:type="dxa" w:w="40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15 000 – 40 000 par mois, soit 180 000 – 480 000 par an</w:t>
            </w:r>
          </w:p>
        </w:tc>
      </w:tr>
      <w:tr>
        <w:trPr>
          <w:cantSplit/>
          <w:tblHeader w:val="false"/>
        </w:trPr>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Renouvellement du matériel (amortissement sur 3 ans)</w:t>
            </w:r>
          </w:p>
        </w:tc>
        <w:tc>
          <w:tcPr>
            <w:tcW w:type="dxa" w:w="40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170 000 – 630 000 par an</w:t>
            </w:r>
          </w:p>
        </w:tc>
      </w:tr>
      <w:tr>
        <w:trPr>
          <w:cantSplit/>
          <w:tblHeader w:val="false"/>
        </w:trPr>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Test d’intrusion avant la mise en ligne de la V2 (périmètre restreint)</w:t>
            </w:r>
          </w:p>
        </w:tc>
        <w:tc>
          <w:tcPr>
            <w:tcW w:type="dxa" w:w="40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1 500 000 – 3 000 000, une fois</w:t>
            </w:r>
          </w:p>
        </w:tc>
      </w:tr>
      <w:tr>
        <w:trPr>
          <w:cantSplit/>
          <w:tblHeader w:val="false"/>
        </w:trPr>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Coûts variables par mission (transport, opérateur supplémentaire, impressions)</w:t>
            </w:r>
          </w:p>
        </w:tc>
        <w:tc>
          <w:tcPr>
            <w:tcW w:type="dxa" w:w="40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30 000 – 100 000 par mission</w:t>
            </w:r>
          </w:p>
        </w:tc>
      </w:tr>
    </w:tbl>
    <w:p>
      <w:pPr>
        <w:spacing w:after="120"/>
      </w:pPr>
    </w:p>
    <w:p>
      <w:pPr>
        <w:pStyle w:val="Heading2"/>
      </w:pPr>
      <w:bookmarkStart w:name="_h99" w:id="199"/>
      <w:r>
        <w:t xml:space="preserve">25.4. Seuil de rentabilité</w:t>
      </w:r>
      <w:bookmarkEnd w:id="199"/>
    </w:p>
    <w:p>
      <w:pPr>
        <w:spacing w:after="120"/>
        <w:jc w:val="both"/>
      </w:pPr>
      <w:r>
        <w:rPr>
          <w:rFonts w:ascii="Times New Roman" w:cs="Times New Roman" w:eastAsia="Times New Roman" w:hAnsi="Times New Roman"/>
        </w:rPr>
        <w:t xml:space="preserve">Avec un prix moyen de 300 000 FCFA par mission et des coûts variables de 70 000 FCFA, la marge par mission est d’environ 230 000 FCFA. Les charges de la première année (kit, formalités, hébergement partiel) étant d’environ 2 M FCFA, </w:t>
      </w:r>
      <w:r>
        <w:rPr>
          <w:rFonts w:ascii="Times New Roman" w:cs="Times New Roman" w:eastAsia="Times New Roman" w:hAnsi="Times New Roman"/>
          <w:b/>
          <w:bCs/>
        </w:rPr>
        <w:t xml:space="preserve">une dizaine de missions</w:t>
      </w:r>
      <w:r>
        <w:rPr>
          <w:rFonts w:ascii="Times New Roman" w:cs="Times New Roman" w:eastAsia="Times New Roman" w:hAnsi="Times New Roman"/>
        </w:rPr>
        <w:t xml:space="preserve"> suffisent à couvrir l’investissement la première année ; à partir de la deuxième année, </w:t>
      </w:r>
      <w:r>
        <w:rPr>
          <w:rFonts w:ascii="Times New Roman" w:cs="Times New Roman" w:eastAsia="Times New Roman" w:hAnsi="Times New Roman"/>
          <w:b/>
          <w:bCs/>
        </w:rPr>
        <w:t xml:space="preserve">5 missions</w:t>
      </w:r>
      <w:r>
        <w:rPr>
          <w:rFonts w:ascii="Times New Roman" w:cs="Times New Roman" w:eastAsia="Times New Roman" w:hAnsi="Times New Roman"/>
        </w:rPr>
        <w:t xml:space="preserve"> couvrent les charges fixes.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072"/>
        <w:gridCol w:w="1000"/>
        <w:gridCol w:w="1600"/>
        <w:gridCol w:w="1500"/>
        <w:gridCol w:w="1400"/>
        <w:gridCol w:w="1500"/>
      </w:tblGrid>
      <w:tr>
        <w:trPr>
          <w:cantSplit/>
          <w:tblHeader/>
        </w:trPr>
        <w:tc>
          <w:tcPr>
            <w:tcW w:type="dxa" w:w="207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Scénario annuel</w:t>
            </w:r>
          </w:p>
        </w:tc>
        <w:tc>
          <w:tcPr>
            <w:tcW w:type="dxa" w:w="1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Missions</w:t>
            </w:r>
          </w:p>
        </w:tc>
        <w:tc>
          <w:tcPr>
            <w:tcW w:type="dxa" w:w="1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Chiffre d’affaires</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Coûts variables</w:t>
            </w:r>
          </w:p>
        </w:tc>
        <w:tc>
          <w:tcPr>
            <w:tcW w:type="dxa" w:w="1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Charges fixes</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Résultat avant impôts</w:t>
            </w:r>
          </w:p>
        </w:tc>
      </w:tr>
      <w:tr>
        <w:trPr>
          <w:cantSplit/>
          <w:tblHeader w:val="false"/>
        </w:trPr>
        <w:tc>
          <w:tcPr>
            <w:tcW w:type="dxa" w:w="20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Prudent</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10</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3 000 000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700 000</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2 100 000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environ 0,2 M</w:t>
            </w:r>
          </w:p>
        </w:tc>
      </w:tr>
      <w:tr>
        <w:trPr>
          <w:cantSplit/>
          <w:tblHeader w:val="false"/>
        </w:trPr>
        <w:tc>
          <w:tcPr>
            <w:tcW w:type="dxa" w:w="20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Médian</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25</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8 750 000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2 000 000</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2 100 000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environ 4,6 M</w:t>
            </w:r>
          </w:p>
        </w:tc>
      </w:tr>
      <w:tr>
        <w:trPr>
          <w:cantSplit/>
          <w:tblHeader w:val="false"/>
        </w:trPr>
        <w:tc>
          <w:tcPr>
            <w:tcW w:type="dxa" w:w="20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Ambitieux (2 à 3 opérateurs)</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50</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20 000 000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5 000 000</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4 700 000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environ 10,3 M</w:t>
            </w:r>
          </w:p>
        </w:tc>
      </w:tr>
    </w:tbl>
    <w:p>
      <w:pPr>
        <w:spacing w:after="120"/>
      </w:pPr>
    </w:p>
    <w:p>
      <w:pPr>
        <w:spacing w:after="120"/>
        <w:jc w:val="both"/>
      </w:pPr>
      <w:r>
        <w:rPr>
          <w:rFonts w:ascii="Times New Roman" w:cs="Times New Roman" w:eastAsia="Times New Roman" w:hAnsi="Times New Roman"/>
        </w:rPr>
        <w:t xml:space="preserve">Ces scénarios n’incluent ni les revenus de partenariat, ni la valorisation du temps de développement, ni les charges sociales et fiscales.</w:t>
      </w:r>
    </w:p>
    <w:p>
      <w:pPr>
        <w:pStyle w:val="Heading2"/>
      </w:pPr>
      <w:bookmarkStart w:name="_h100" w:id="200"/>
      <w:r>
        <w:t xml:space="preserve">25.5. Hypothèses à valider</w:t>
      </w:r>
      <w:bookmarkEnd w:id="200"/>
    </w:p>
    <w:p>
      <w:pPr>
        <w:pStyle w:val="ListParagraph"/>
        <w:numPr>
          <w:ilvl w:val="0"/>
          <w:numId w:val="2"/>
        </w:numPr>
        <w:spacing w:after="60"/>
      </w:pPr>
      <w:r>
        <w:rPr>
          <w:rFonts w:ascii="Times New Roman" w:cs="Times New Roman" w:eastAsia="Times New Roman" w:hAnsi="Times New Roman"/>
        </w:rPr>
        <w:t xml:space="preserve">nombre de concours organisés chaque année dans la zone ciblée et part accessible au prestataire ;</w:t>
      </w:r>
    </w:p>
    <w:p>
      <w:pPr>
        <w:pStyle w:val="ListParagraph"/>
        <w:numPr>
          <w:ilvl w:val="0"/>
          <w:numId w:val="2"/>
        </w:numPr>
        <w:spacing w:after="60"/>
      </w:pPr>
      <w:r>
        <w:rPr>
          <w:rFonts w:ascii="Times New Roman" w:cs="Times New Roman" w:eastAsia="Times New Roman" w:hAnsi="Times New Roman"/>
        </w:rPr>
        <w:t xml:space="preserve">prix acceptable pour les organisateurs, selon leur taille ;</w:t>
      </w:r>
    </w:p>
    <w:p>
      <w:pPr>
        <w:pStyle w:val="ListParagraph"/>
        <w:numPr>
          <w:ilvl w:val="0"/>
          <w:numId w:val="2"/>
        </w:numPr>
        <w:spacing w:after="60"/>
      </w:pPr>
      <w:r>
        <w:rPr>
          <w:rFonts w:ascii="Times New Roman" w:cs="Times New Roman" w:eastAsia="Times New Roman" w:hAnsi="Times New Roman"/>
        </w:rPr>
        <w:t xml:space="preserve">concentration de la demande autour du Ramadan et capacité à y répondre (opérateurs, kits) ;</w:t>
      </w:r>
    </w:p>
    <w:p>
      <w:pPr>
        <w:pStyle w:val="ListParagraph"/>
        <w:numPr>
          <w:ilvl w:val="0"/>
          <w:numId w:val="2"/>
        </w:numPr>
        <w:spacing w:after="60"/>
      </w:pPr>
      <w:r>
        <w:rPr>
          <w:rFonts w:ascii="Times New Roman" w:cs="Times New Roman" w:eastAsia="Times New Roman" w:hAnsi="Times New Roman"/>
        </w:rPr>
        <w:t xml:space="preserve">offres concurrentes (prestataires de sonorisation et de vidéo, solutions artisanales) ;</w:t>
      </w:r>
    </w:p>
    <w:p>
      <w:pPr>
        <w:pStyle w:val="ListParagraph"/>
        <w:numPr>
          <w:ilvl w:val="0"/>
          <w:numId w:val="2"/>
        </w:numPr>
        <w:spacing w:after="60"/>
      </w:pPr>
      <w:r>
        <w:rPr>
          <w:rFonts w:ascii="Times New Roman" w:cs="Times New Roman" w:eastAsia="Times New Roman" w:hAnsi="Times New Roman"/>
        </w:rPr>
        <w:t xml:space="preserve">disponibilité de partenaires prêts à financer la visibilité.</w:t>
      </w:r>
    </w:p>
    <w:p>
      <w:pPr>
        <w:spacing w:after="120"/>
        <w:jc w:val="both"/>
      </w:pPr>
      <w:r>
        <w:rPr>
          <w:rFonts w:ascii="Times New Roman" w:cs="Times New Roman" w:eastAsia="Times New Roman" w:hAnsi="Times New Roman"/>
        </w:rPr>
        <w:t xml:space="preserve">Ces hypothèses sont vérifiées par des entretiens avec une quinzaine d’organisateurs pendant les phases 0 à 3, puis par le bilan du concours pilote.</w:t>
      </w:r>
    </w:p>
    <w:p>
      <w:pPr>
        <w:pStyle w:val="Heading1"/>
      </w:pPr>
      <w:bookmarkStart w:name="_h101" w:id="201"/>
      <w:r>
        <w:t xml:space="preserve">26. Décisions techniques structurantes *</w:t>
      </w:r>
      <w:bookmarkEnd w:id="201"/>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300"/>
        <w:gridCol w:w="5672"/>
        <w:gridCol w:w="1100"/>
      </w:tblGrid>
      <w:tr>
        <w:trPr>
          <w:cantSplit/>
          <w:tblHeader/>
        </w:trPr>
        <w:tc>
          <w:tcPr>
            <w:tcW w:type="dxa" w:w="2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Sujet</w:t>
            </w:r>
          </w:p>
        </w:tc>
        <w:tc>
          <w:tcPr>
            <w:tcW w:type="dxa" w:w="567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Décision</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Référence</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Modèle d’exploitation</w:t>
            </w:r>
          </w:p>
        </w:tc>
        <w:tc>
          <w:tcPr>
            <w:tcW w:type="dxa" w:w="56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Outil interne du prestataire ; vente de missions et non de licences.</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§3.2</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Déploiement</w:t>
            </w:r>
          </w:p>
        </w:tc>
        <w:tc>
          <w:tcPr>
            <w:tcW w:type="dxa" w:w="56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Local d’abord : serveur de salle sur réseau Wi-Fi dédié ; instance centrale en V2.</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§13.1</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Interfaces</w:t>
            </w:r>
          </w:p>
        </w:tc>
        <w:tc>
          <w:tcPr>
            <w:tcW w:type="dxa" w:w="56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Gabarits Django et HTMX pour la gestion ; Vue.js 3 pour les quatre écrans temps réel.</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§13.3</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Séparation des clients</w:t>
            </w:r>
          </w:p>
        </w:tc>
        <w:tc>
          <w:tcPr>
            <w:tcW w:type="dxa" w:w="56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ourier New" w:cs="Courier New" w:eastAsia="Courier New" w:hAnsi="Courier New"/>
                <w:sz w:val="17"/>
                <w:szCs w:val="17"/>
              </w:rPr>
              <w:t xml:space="preserve">organization_id</w:t>
            </w:r>
            <w:r>
              <w:rPr>
                <w:rFonts w:ascii="Times New Roman" w:cs="Times New Roman" w:eastAsia="Times New Roman" w:hAnsi="Times New Roman"/>
                <w:sz w:val="19"/>
                <w:szCs w:val="19"/>
              </w:rPr>
              <w:t xml:space="preserve"> et filtrage applicatif ; RLS PostgreSQL en prérequis de la V3.</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§13.4</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Temps réel</w:t>
            </w:r>
          </w:p>
        </w:tc>
        <w:tc>
          <w:tcPr>
            <w:tcW w:type="dxa" w:w="56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WebSocket, état versionné détenu par le serveur, commandes idempotentes ; repli SSE et long-polling en V2.</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§13.5</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Continuité</w:t>
            </w:r>
          </w:p>
        </w:tc>
        <w:tc>
          <w:tcPr>
            <w:tcW w:type="dxa" w:w="56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Onduleur, routeur et ordinateur de secours, sauvegardes toutes les 15 minutes.</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§13.6, §15.5</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Corpus coranique</w:t>
            </w:r>
          </w:p>
        </w:tc>
        <w:tc>
          <w:tcPr>
            <w:tcW w:type="dxa" w:w="56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Source unique Tanzil, Uthmani, Hafs, versionnée et validée.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§12</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Tirage</w:t>
            </w:r>
          </w:p>
        </w:tc>
        <w:tc>
          <w:tcPr>
            <w:tcW w:type="dxa" w:w="56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Déclenché par le candidat, exécuté par le serveur, règles de réutilisation configurables.</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§8</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Validation des résultats</w:t>
            </w:r>
          </w:p>
        </w:tc>
        <w:tc>
          <w:tcPr>
            <w:tcW w:type="dxa" w:w="56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Par le responsable client, jamais par l’opérateur seul.</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§6.2, RM-18</w:t>
            </w:r>
          </w:p>
        </w:tc>
      </w:tr>
    </w:tbl>
    <w:p>
      <w:pPr>
        <w:spacing w:after="120"/>
      </w:pPr>
    </w:p>
    <w:p>
      <w:pPr>
        <w:pStyle w:val="Heading1"/>
      </w:pPr>
      <w:bookmarkStart w:name="_h102" w:id="202"/>
      <w:r>
        <w:t xml:space="preserve">27. Conclusion et prochaine étape</w:t>
      </w:r>
      <w:bookmarkEnd w:id="202"/>
    </w:p>
    <w:p>
      <w:pPr>
        <w:spacing w:after="120"/>
        <w:jc w:val="both"/>
      </w:pPr>
      <w:r>
        <w:rPr>
          <w:rFonts w:ascii="Times New Roman" w:cs="Times New Roman" w:eastAsia="Times New Roman" w:hAnsi="Times New Roman"/>
        </w:rPr>
        <w:t xml:space="preserve">Le présent document définit la feuille de route de QURANOVA en tant qu’outil de travail du prestataire. La priorité absolue est le parcours complet d’une prestation en salle, sans Internet : tirage, affichage synchronisé des versets, notation des jurés, calcul et procès-verbal. Ce parcours fait l’objet du jalon J2.</w:t>
      </w:r>
    </w:p>
    <w:p>
      <w:pPr>
        <w:spacing w:after="120"/>
        <w:jc w:val="both"/>
      </w:pPr>
      <w:r>
        <w:rPr>
          <w:rFonts w:ascii="Times New Roman" w:cs="Times New Roman" w:eastAsia="Times New Roman" w:hAnsi="Times New Roman"/>
          <w:b/>
          <w:bCs/>
        </w:rPr>
        <w:t xml:space="preserve">Prochaines étapes :</w:t>
      </w:r>
      <w:r>
        <w:rPr>
          <w:rFonts w:ascii="Times New Roman" w:cs="Times New Roman" w:eastAsia="Times New Roman" w:hAnsi="Times New Roman"/>
        </w:rPr>
        <w:t xml:space="preserve"> démarrer la phase 0 dans la semaine du 5 octobre 2026, désigner le référent coranique, identifier le client du concours pilote et engager les entretiens avec les organisateurs.</w:t>
      </w:r>
    </w:p>
    <w:p>
      <w:pPr>
        <w:pStyle w:val="Heading1"/>
      </w:pPr>
      <w:bookmarkStart w:name="_h103" w:id="203"/>
      <w:r>
        <w:t xml:space="preserve">Journal des modifications *</w:t>
      </w:r>
      <w:bookmarkEnd w:id="203"/>
    </w:p>
    <w:p>
      <w:pPr>
        <w:spacing w:after="120"/>
        <w:jc w:val="both"/>
      </w:pPr>
      <w:r>
        <w:rPr>
          <w:rFonts w:ascii="Times New Roman" w:cs="Times New Roman" w:eastAsia="Times New Roman" w:hAnsi="Times New Roman"/>
        </w:rPr>
        <w:t xml:space="preserve">Le tableau ci-dessous recense les modifications apportées à la version 1.1 pour produire la présente version 2.0. Le journal détaillé du passage de la version 1.0 à la version 1.1 figure dans le document de la version 1.1.</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1300"/>
        <w:gridCol w:w="3772"/>
        <w:gridCol w:w="2100"/>
      </w:tblGrid>
      <w:tr>
        <w:trPr>
          <w:cantSplit/>
          <w:tblHeader/>
        </w:trPr>
        <w:tc>
          <w:tcPr>
            <w:tcW w:type="dxa" w:w="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N°</w:t>
            </w:r>
          </w:p>
        </w:tc>
        <w:tc>
          <w:tcPr>
            <w:tcW w:type="dxa" w:w="1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Section</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Type</w:t>
            </w:r>
          </w:p>
        </w:tc>
        <w:tc>
          <w:tcPr>
            <w:tcW w:type="dxa" w:w="377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Description</w:t>
            </w:r>
          </w:p>
        </w:tc>
        <w:tc>
          <w:tcPr>
            <w:tcW w:type="dxa" w:w="2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Justification</w:t>
            </w:r>
          </w:p>
        </w:tc>
      </w:tr>
      <w:tr>
        <w:trPr>
          <w:cantSplit/>
          <w:tblHeader w:val="false"/>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1</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Page de garde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Modification</w:t>
            </w:r>
          </w:p>
        </w:tc>
        <w:tc>
          <w:tcPr>
            <w:tcW w:type="dxa" w:w="3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Version 2.0 ; nature « référentiel interne » ; maîtrise d’ouvrage et réalisation assurées par le prestataire.</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Le porteur du projet développe et exploite lui-même l’outil.</w:t>
            </w:r>
          </w:p>
        </w:tc>
      </w:tr>
      <w:tr>
        <w:trPr>
          <w:cantSplit/>
          <w:tblHeader w:val="false"/>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2</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§1</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Modification</w:t>
            </w:r>
          </w:p>
        </w:tc>
        <w:tc>
          <w:tcPr>
            <w:tcW w:type="dxa" w:w="3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Résumé exécutif réécrit : QURANOVA devient l’outil interne d’un prestataire qui vend des missions ; fonctionnement local d’abord.</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Nouveau modèle d’exploitation.</w:t>
            </w:r>
          </w:p>
        </w:tc>
      </w:tr>
      <w:tr>
        <w:trPr>
          <w:cantSplit/>
          <w:tblHeader w:val="false"/>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3</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§2</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Ajout</w:t>
            </w:r>
          </w:p>
        </w:tc>
        <w:tc>
          <w:tcPr>
            <w:tcW w:type="dxa" w:w="3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Termes ajoutés : prestataire, mission, opérateur, responsable client, serveur de salle, instance centrale. « Organisation » rendu équivalent à « client ».</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Éviter la confusion entre la mission commerciale et la prestation du candidat.</w:t>
            </w:r>
          </w:p>
        </w:tc>
      </w:tr>
      <w:tr>
        <w:trPr>
          <w:cantSplit/>
          <w:tblHeader w:val="false"/>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4</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§3</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Modification</w:t>
            </w:r>
          </w:p>
        </w:tc>
        <w:tc>
          <w:tcPr>
            <w:tcW w:type="dxa" w:w="3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Section étendue : contexte, modèle d’exploitation (§3.2) et justification économique (§3.3).</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Expliciter le modèle « vente de missions ».</w:t>
            </w:r>
          </w:p>
        </w:tc>
      </w:tr>
      <w:tr>
        <w:trPr>
          <w:cantSplit/>
          <w:tblHeader w:val="false"/>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5</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§4</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Modification</w:t>
            </w:r>
          </w:p>
        </w:tc>
        <w:tc>
          <w:tcPr>
            <w:tcW w:type="dxa" w:w="3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Objectifs adaptés : import des candidats, fonctionnement sans Internet, documents remis au client.</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Besoins propres à l’exploitation en mission.</w:t>
            </w:r>
          </w:p>
        </w:tc>
      </w:tr>
      <w:tr>
        <w:trPr>
          <w:cantSplit/>
          <w:tblHeader w:val="false"/>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6</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§5</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Modification</w:t>
            </w:r>
          </w:p>
        </w:tc>
        <w:tc>
          <w:tcPr>
            <w:tcW w:type="dxa" w:w="3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Périmètre découpé en V1 (pilote), V2 (industrialisation), V3 (évolutions) et exclusions.</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Développement par un développeur seul, priorisé.</w:t>
            </w:r>
          </w:p>
        </w:tc>
      </w:tr>
      <w:tr>
        <w:trPr>
          <w:cantSplit/>
          <w:tblHeader w:val="false"/>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7</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§6</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Modification</w:t>
            </w:r>
          </w:p>
        </w:tc>
        <w:tc>
          <w:tcPr>
            <w:tcW w:type="dxa" w:w="3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Rôles revus : administrateur QURANOVA, opérateur, responsable client, superviseur (V2). Séparation entre exécution (prestataire) et validation (client).</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Garantie de transparence pour le client.</w:t>
            </w:r>
          </w:p>
        </w:tc>
      </w:tr>
      <w:tr>
        <w:trPr>
          <w:cantSplit/>
          <w:tblHeader w:val="false"/>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8</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§7.1</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Modification</w:t>
            </w:r>
          </w:p>
        </w:tc>
        <w:tc>
          <w:tcPr>
            <w:tcW w:type="dxa" w:w="3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 Gestion multi-organisations » remplacé par « gestion des clients » (missions, personnalisation visuelle, historique).</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Les clients n’administrent pas eux-mêmes leur espace.</w:t>
            </w:r>
          </w:p>
        </w:tc>
      </w:tr>
      <w:tr>
        <w:trPr>
          <w:cantSplit/>
          <w:tblHeader w:val="false"/>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9</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§7.2</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Clarification</w:t>
            </w:r>
          </w:p>
        </w:tc>
        <w:tc>
          <w:tcPr>
            <w:tcW w:type="dxa" w:w="3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Validation de la configuration par le responsable client ; duplication d’un concours d’une édition précédente.</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Gain de temps sur les missions récurrentes.</w:t>
            </w:r>
          </w:p>
        </w:tc>
      </w:tr>
      <w:tr>
        <w:trPr>
          <w:cantSplit/>
          <w:tblHeader w:val="false"/>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10</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§7.3</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Ajout</w:t>
            </w:r>
          </w:p>
        </w:tc>
        <w:tc>
          <w:tcPr>
            <w:tcW w:type="dxa" w:w="3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Import des candidats depuis un fichier CSV ou Excel avec rapport d’erreurs ; génération de l’ordre de passage.</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Les données proviennent du client.</w:t>
            </w:r>
          </w:p>
        </w:tc>
      </w:tr>
      <w:tr>
        <w:trPr>
          <w:cantSplit/>
          <w:tblHeader w:val="false"/>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11</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§7.4</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Clarification</w:t>
            </w:r>
          </w:p>
        </w:tc>
        <w:tc>
          <w:tcPr>
            <w:tcW w:type="dxa" w:w="3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Accès des jurés par code personnel limité à la session, sur tablette du prestataire.</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Simplicité en salle, sans adresse électronique.</w:t>
            </w:r>
          </w:p>
        </w:tc>
      </w:tr>
      <w:tr>
        <w:trPr>
          <w:cantSplit/>
          <w:tblHeader w:val="false"/>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12</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§8 à §10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Clarification</w:t>
            </w:r>
          </w:p>
        </w:tc>
        <w:tc>
          <w:tcPr>
            <w:tcW w:type="dxa" w:w="3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 Organisateur de concours » remplacé par « opérateur » ; mode « concours en ligne » reporté en V2.</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Cohérence avec les nouveaux rôles.</w:t>
            </w:r>
          </w:p>
        </w:tc>
      </w:tr>
      <w:tr>
        <w:trPr>
          <w:cantSplit/>
          <w:tblHeader w:val="false"/>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13</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§10.4, §11</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Modification</w:t>
            </w:r>
          </w:p>
        </w:tc>
        <w:tc>
          <w:tcPr>
            <w:tcW w:type="dxa" w:w="3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Validation du classement définitif par le responsable client ; liste des documents remis au client en fin de mission.</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L’opérateur ne valide pas seul les résultats.</w:t>
            </w:r>
          </w:p>
        </w:tc>
      </w:tr>
      <w:tr>
        <w:trPr>
          <w:cantSplit/>
          <w:tblHeader w:val="false"/>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14</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§12</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Clarification</w:t>
            </w:r>
          </w:p>
        </w:tc>
        <w:tc>
          <w:tcPr>
            <w:tcW w:type="dxa" w:w="3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Rôles du superadministrateur attribués à l’administrateur QURANOVA.</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Cohérence terminologique.</w:t>
            </w:r>
          </w:p>
        </w:tc>
      </w:tr>
      <w:tr>
        <w:trPr>
          <w:cantSplit/>
          <w:tblHeader w:val="false"/>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15</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§13.1</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Modification</w:t>
            </w:r>
          </w:p>
        </w:tc>
        <w:tc>
          <w:tcPr>
            <w:tcW w:type="dxa" w:w="3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Principe « local d’abord » : serveur de salle sur réseau Wi-Fi dédié en V1, instance centrale en V2 ; configuration de la salle.</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Fiabilité sans Internet ; coût d’hébergement quasi nul en V1.</w:t>
            </w:r>
          </w:p>
        </w:tc>
      </w:tr>
      <w:tr>
        <w:trPr>
          <w:cantSplit/>
          <w:tblHeader w:val="false"/>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16</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§13.2</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Modification</w:t>
            </w:r>
          </w:p>
        </w:tc>
        <w:tc>
          <w:tcPr>
            <w:tcW w:type="dxa" w:w="3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Pile simplifiée : WeasyPrint pour les PDF ; Celery et supervision reportés en V2.</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Réduction de la charge de développement.</w:t>
            </w:r>
          </w:p>
        </w:tc>
      </w:tr>
      <w:tr>
        <w:trPr>
          <w:cantSplit/>
          <w:tblHeader w:val="false"/>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17</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§13.3</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Modification</w:t>
            </w:r>
          </w:p>
        </w:tc>
        <w:tc>
          <w:tcPr>
            <w:tcW w:type="dxa" w:w="3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Interfaces hybrides : gabarits Django et HTMX pour la gestion, Vue.js 3 limité aux quatre écrans temps réel.</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Productivité d’un développeur seul.</w:t>
            </w:r>
          </w:p>
        </w:tc>
      </w:tr>
      <w:tr>
        <w:trPr>
          <w:cantSplit/>
          <w:tblHeader w:val="false"/>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18</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§13.4</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Modification</w:t>
            </w:r>
          </w:p>
        </w:tc>
        <w:tc>
          <w:tcPr>
            <w:tcW w:type="dxa" w:w="3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Séparation des clients par </w:t>
            </w:r>
            <w:r>
              <w:rPr>
                <w:rFonts w:ascii="Courier New" w:cs="Courier New" w:eastAsia="Courier New" w:hAnsi="Courier New"/>
                <w:sz w:val="17"/>
                <w:szCs w:val="17"/>
              </w:rPr>
              <w:t xml:space="preserve">organization_id</w:t>
            </w:r>
            <w:r>
              <w:rPr>
                <w:rFonts w:ascii="Times New Roman" w:cs="Times New Roman" w:eastAsia="Times New Roman" w:hAnsi="Times New Roman"/>
                <w:sz w:val="19"/>
                <w:szCs w:val="19"/>
              </w:rPr>
              <w:t xml:space="preserve"> et filtrage applicatif ; RLS reportée et rendue obligatoire avant la V3.</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Risque d’accès croisé faible tant que seul le prestataire administre.</w:t>
            </w:r>
          </w:p>
        </w:tc>
      </w:tr>
      <w:tr>
        <w:trPr>
          <w:cantSplit/>
          <w:tblHeader w:val="false"/>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19</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§13.5</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Modification</w:t>
            </w:r>
          </w:p>
        </w:tc>
        <w:tc>
          <w:tcPr>
            <w:tcW w:type="dxa" w:w="3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WebSocket seul sur le réseau local ; repli SSE et long-polling limité à l’instance centrale (V2).</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Réseau de salle maîtrisé.</w:t>
            </w:r>
          </w:p>
        </w:tc>
      </w:tr>
      <w:tr>
        <w:trPr>
          <w:cantSplit/>
          <w:tblHeader w:val="false"/>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20</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§13.6</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Ajout</w:t>
            </w:r>
          </w:p>
        </w:tc>
        <w:tc>
          <w:tcPr>
            <w:tcW w:type="dxa" w:w="3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Procédures d’incident en salle (électricité, routeur, tablette, serveur) et synchronisation avec l’instance centrale.</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Remplace la stratégie de serveur local de secours de la v1.1, devenue le mode normal.</w:t>
            </w:r>
          </w:p>
        </w:tc>
      </w:tr>
      <w:tr>
        <w:trPr>
          <w:cantSplit/>
          <w:tblHeader w:val="false"/>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21</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§13.7, §13.8</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Modification</w:t>
            </w:r>
          </w:p>
        </w:tc>
        <w:tc>
          <w:tcPr>
            <w:tcW w:type="dxa" w:w="3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Schéma d’architecture et modules mis à jour (clients, missions, synchronisation).</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Nouveau mode de déploiement.</w:t>
            </w:r>
          </w:p>
        </w:tc>
      </w:tr>
      <w:tr>
        <w:trPr>
          <w:cantSplit/>
          <w:tblHeader w:val="false"/>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22</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§14</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Modification</w:t>
            </w:r>
          </w:p>
        </w:tc>
        <w:tc>
          <w:tcPr>
            <w:tcW w:type="dxa" w:w="3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Entités « Mission » et « Code d’accès de juré » ajoutées ; entités liées aux demandes de données simplifiées.</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Nouveau modèle d’exploitation.</w:t>
            </w:r>
          </w:p>
        </w:tc>
      </w:tr>
      <w:tr>
        <w:trPr>
          <w:cantSplit/>
          <w:tblHeader w:val="false"/>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23</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§15</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Modification</w:t>
            </w:r>
          </w:p>
        </w:tc>
        <w:tc>
          <w:tcPr>
            <w:tcW w:type="dxa" w:w="3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Référentiel OWASP ASVS niveau 1 pour V1 et V2 (niveau 2 avant V3) ; sécurité du réseau de salle ; autoévaluation avant la première mission ; test d’intrusion exigé avant la V2 en ligne ; sauvegardes toutes les 15 minutes sur disque externe.</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Exigences proportionnées au risque.</w:t>
            </w:r>
          </w:p>
        </w:tc>
      </w:tr>
      <w:tr>
        <w:trPr>
          <w:cantSplit/>
          <w:tblHeader w:val="false"/>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24</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§16</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Modification</w:t>
            </w:r>
          </w:p>
        </w:tc>
        <w:tc>
          <w:tcPr>
            <w:tcW w:type="dxa" w:w="3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Le client devient responsable de traitement, le prestataire sous-traitant ; clause contractuelle dans le contrat de mission ; durées de conservation raccourcies ; formalités ARTCI du prestataire.</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Répartition des rôles propre au modèle de prestation.</w:t>
            </w:r>
          </w:p>
        </w:tc>
      </w:tr>
      <w:tr>
        <w:trPr>
          <w:cantSplit/>
          <w:tblHeader w:val="false"/>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25</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§17</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Modification</w:t>
            </w:r>
          </w:p>
        </w:tc>
        <w:tc>
          <w:tcPr>
            <w:tcW w:type="dxa" w:w="3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 Export et portabilité » remplacé par « Restitution et portabilité » : remise des documents et des exports à la fin de chaque mission.</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Le client ne dispose pas d’un accès en libre-service.</w:t>
            </w:r>
          </w:p>
        </w:tc>
      </w:tr>
      <w:tr>
        <w:trPr>
          <w:cantSplit/>
          <w:tblHeader w:val="false"/>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26</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§18.1</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Modification</w:t>
            </w:r>
          </w:p>
        </w:tc>
        <w:tc>
          <w:tcPr>
            <w:tcW w:type="dxa" w:w="3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Objectifs chiffrés recalibrés sur un serveur de salle (500 candidats, 30 terminaux) ; ajout de l’installation en salle, de la préparation et de la continuité.</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Objectifs de 100 concours simultanés sans objet.</w:t>
            </w:r>
          </w:p>
        </w:tc>
      </w:tr>
      <w:tr>
        <w:trPr>
          <w:cantSplit/>
          <w:tblHeader w:val="false"/>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27</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§19</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Modification</w:t>
            </w:r>
          </w:p>
        </w:tc>
        <w:tc>
          <w:tcPr>
            <w:tcW w:type="dxa" w:w="3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RM-02 à RM-05, RM-11, RM-18 et RM-26 adaptées ; RM-31 ajoutée (validation de la configuration par le client).</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Nouveaux rôles.</w:t>
            </w:r>
          </w:p>
        </w:tc>
      </w:tr>
      <w:tr>
        <w:trPr>
          <w:cantSplit/>
          <w:tblHeader w:val="false"/>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28</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§20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Modification</w:t>
            </w:r>
          </w:p>
        </w:tc>
        <w:tc>
          <w:tcPr>
            <w:tcW w:type="dxa" w:w="3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Scénarios adaptés ; scénario E remplacé par la panne du serveur de salle.</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Nouveau mode de déploiement.</w:t>
            </w:r>
          </w:p>
        </w:tc>
      </w:tr>
      <w:tr>
        <w:trPr>
          <w:cantSplit/>
          <w:tblHeader w:val="false"/>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29</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§21</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Modification</w:t>
            </w:r>
          </w:p>
        </w:tc>
        <w:tc>
          <w:tcPr>
            <w:tcW w:type="dxa" w:w="3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Recette transformée en autorecette, répétition générale et concours pilote ; tests de charge recalibrés ; REC-22 reporté en V2 ; REC-36 à REC-42 adaptés ou ajoutés.</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Le réalisateur est aussi l’utilisateur.</w:t>
            </w:r>
          </w:p>
        </w:tc>
      </w:tr>
      <w:tr>
        <w:trPr>
          <w:cantSplit/>
          <w:tblHeader w:val="false"/>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30</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§22</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Ajout</w:t>
            </w:r>
          </w:p>
        </w:tc>
        <w:tc>
          <w:tcPr>
            <w:tcW w:type="dxa" w:w="3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Exploitation des missions : déroulé type, kit matériel chiffré, équipe d’opérateurs.</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Industrialiser les missions.</w:t>
            </w:r>
          </w:p>
        </w:tc>
      </w:tr>
      <w:tr>
        <w:trPr>
          <w:cantSplit/>
          <w:tblHeader w:val="false"/>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31</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§23</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Modification</w:t>
            </w:r>
          </w:p>
        </w:tc>
        <w:tc>
          <w:tcPr>
            <w:tcW w:type="dxa" w:w="3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Livrables internes (code, guide de l’opérateur, fiches mémo, modèles destinés aux clients, supports commerciaux).</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Plus de prestataire de développement externe.</w:t>
            </w:r>
          </w:p>
        </w:tc>
      </w:tr>
      <w:tr>
        <w:trPr>
          <w:cantSplit/>
          <w:tblHeader w:val="false"/>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32</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§24</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Modification</w:t>
            </w:r>
          </w:p>
        </w:tc>
        <w:tc>
          <w:tcPr>
            <w:tcW w:type="dxa" w:w="3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Planning d’un développeur seul (15 à 20 h par semaine) en 18 semaines jusqu’au lancement commercial, avec un concours pilote avant le Ramadan 2027 ; V2 après la saison.</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Ressources réelles du projet.</w:t>
            </w:r>
          </w:p>
        </w:tc>
      </w:tr>
      <w:tr>
        <w:trPr>
          <w:cantSplit/>
          <w:tblHeader w:val="false"/>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33</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§25</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Modification</w:t>
            </w:r>
          </w:p>
        </w:tc>
        <w:tc>
          <w:tcPr>
            <w:tcW w:type="dxa" w:w="3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Budget de développement externe remplacé par un modèle économique : offre, investissement, coûts récurrents, seuil de rentabilité, scénarios.</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Rentabilité fondée sur les missions.</w:t>
            </w:r>
          </w:p>
        </w:tc>
      </w:tr>
      <w:tr>
        <w:trPr>
          <w:cantSplit/>
          <w:tblHeader w:val="false"/>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34</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§26, §27</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Modification</w:t>
            </w:r>
          </w:p>
        </w:tc>
        <w:tc>
          <w:tcPr>
            <w:tcW w:type="dxa" w:w="3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Décisions structurantes et conclusion mises à jour.</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Cohérence d’ensemble.</w:t>
            </w:r>
          </w:p>
        </w:tc>
      </w:tr>
      <w:tr>
        <w:trPr>
          <w:cantSplit/>
          <w:tblHeader w:val="false"/>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35</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Ensemble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Correction</w:t>
            </w:r>
          </w:p>
        </w:tc>
        <w:tc>
          <w:tcPr>
            <w:tcW w:type="dxa" w:w="3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Titres marqués d’un astérisque en v1.1 et non modifiés en v2.0 : marque retirée (convention désormais relative à la v1.1).</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19"/>
                <w:szCs w:val="19"/>
              </w:rPr>
              <w:t xml:space="preserve">Lisibilité du suivi des versions.</w:t>
            </w:r>
          </w:p>
        </w:tc>
      </w:tr>
    </w:tbl>
    <w:p>
      <w:pPr>
        <w:spacing w:after="120"/>
      </w:pPr>
    </w:p>
    <w:sectPr>
      <w:footerReference w:type="default" r:id="rId7"/>
      <w:footerReference w:type="first" r:id="rId8"/>
      <w:pgSz w:w="11906" w:h="16838" w:orient="portrait"/>
      <w:pgMar w:top="1417" w:right="1417" w:bottom="1417" w:left="141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72"/>
      </w:tabs>
    </w:pPr>
    <w:r>
      <w:rPr>
        <w:rFonts w:ascii="Times New Roman" w:cs="Times New Roman" w:eastAsia="Times New Roman" w:hAnsi="Times New Roman"/>
        <w:color w:val="595959"/>
        <w:sz w:val="16"/>
        <w:szCs w:val="16"/>
      </w:rPr>
      <w:t xml:space="preserve">QURANOVA — Cahier des charges fonctionnel et technique — v2.0</w:t>
    </w:r>
    <w:r>
      <w:rPr>
        <w:rFonts w:ascii="Times New Roman" w:cs="Times New Roman" w:eastAsia="Times New Roman" w:hAnsi="Times New Roman"/>
        <w:color w:val="595959"/>
        <w:sz w:val="16"/>
        <w:szCs w:val="16"/>
      </w:rPr>
      <w:t xml:space="preserve">	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80" w:before="400"/>
      <w:outlineLvl w:val="0"/>
    </w:pPr>
    <w:rPr>
      <w:rFonts w:ascii="Times New Roman" w:cs="Times New Roman" w:eastAsia="Times New Roman" w:hAnsi="Times New Roman"/>
      <w:b/>
      <w:bCs/>
      <w:color w:val="000000"/>
      <w:sz w:val="34"/>
      <w:szCs w:val="34"/>
    </w:rPr>
  </w:style>
  <w:style w:type="paragraph" w:styleId="Heading2">
    <w:name w:val="Heading 2"/>
    <w:basedOn w:val="Normal"/>
    <w:next w:val="Normal"/>
    <w:qFormat/>
    <w:pPr>
      <w:keepNext/>
      <w:keepLines/>
      <w:spacing w:after="120" w:before="280"/>
      <w:outlineLvl w:val="1"/>
    </w:pPr>
    <w:rPr>
      <w:rFonts w:ascii="Times New Roman" w:cs="Times New Roman" w:eastAsia="Times New Roman" w:hAnsi="Times New Roman"/>
      <w:b/>
      <w:bCs/>
      <w:color w:val="000000"/>
      <w:sz w:val="27"/>
      <w:szCs w:val="27"/>
    </w:rPr>
  </w:style>
  <w:style w:type="paragraph" w:styleId="Heading3">
    <w:name w:val="Heading 3"/>
    <w:basedOn w:val="Normal"/>
    <w:next w:val="Normal"/>
    <w:qFormat/>
    <w:pPr>
      <w:keepNext/>
      <w:spacing w:after="100" w:before="20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QURANOVA — Cahier des charges fonctionnel et technique v2.0</dc:title>
  <dc:creator>AFAQ Success Academy</dc:creator>
  <cp:lastModifiedBy>Un-named</cp:lastModifiedBy>
  <cp:revision>1</cp:revision>
  <dcterms:created xsi:type="dcterms:W3CDTF">2026-10-02T22:58:10.165Z</dcterms:created>
  <dcterms:modified xsi:type="dcterms:W3CDTF">2026-10-02T22:58:10.166Z</dcterms:modified>
</cp:coreProperties>
</file>

<file path=docProps/custom.xml><?xml version="1.0" encoding="utf-8"?>
<Properties xmlns="http://schemas.openxmlformats.org/officeDocument/2006/custom-properties" xmlns:vt="http://schemas.openxmlformats.org/officeDocument/2006/docPropsVTypes"/>
</file>